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4" w:lineRule="exact"/>
        <w:rPr>
          <w:sz w:val="24"/>
          <w:szCs w:val="24"/>
          <w:color w:val="auto"/>
        </w:rPr>
      </w:pPr>
    </w:p>
    <w:p>
      <w:pPr>
        <w:jc w:val="center"/>
        <w:ind w:left="3660" w:right="920" w:hanging="2735"/>
        <w:spacing w:after="0" w:line="406" w:lineRule="auto"/>
        <w:tabs>
          <w:tab w:leader="none" w:pos="118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jc w:val="center"/>
        <w:ind w:left="3500" w:right="920" w:hanging="2579"/>
        <w:spacing w:after="0" w:line="406" w:lineRule="auto"/>
        <w:tabs>
          <w:tab w:leader="none" w:pos="11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3"/>
          </w:tcPr>
          <w:p>
            <w:pPr>
              <w:jc w:val="center"/>
              <w:ind w:left="3510"/>
              <w:spacing w:after="0"/>
              <w:rPr>
                <w:sz w:val="20"/>
                <w:szCs w:val="20"/>
                <w:color w:val="auto"/>
              </w:rPr>
            </w:pPr>
            <w:r>
              <w:rPr>
                <w:rFonts w:ascii="Arial" w:cs="Arial" w:eastAsia="Arial" w:hAnsi="Arial"/>
                <w:sz w:val="18"/>
                <w:szCs w:val="18"/>
                <w:b w:val="1"/>
                <w:bCs w:val="1"/>
                <w:color w:val="auto"/>
                <w:w w:val="91"/>
              </w:rPr>
              <w:t>Commission File Number: 001-39946</w:t>
            </w:r>
          </w:p>
        </w:tc>
        <w:tc>
          <w:tcPr>
            <w:tcW w:w="3580" w:type="dxa"/>
            <w:vAlign w:val="bottom"/>
          </w:tcPr>
          <w:p>
            <w:pPr>
              <w:spacing w:after="0"/>
              <w:rPr>
                <w:sz w:val="20"/>
                <w:szCs w:val="20"/>
                <w:color w:val="auto"/>
              </w:rPr>
            </w:pPr>
          </w:p>
        </w:tc>
      </w:tr>
      <w:tr>
        <w:trPr>
          <w:trHeight w:val="337"/>
        </w:trPr>
        <w:tc>
          <w:tcPr>
            <w:tcW w:w="7660" w:type="dxa"/>
            <w:vAlign w:val="bottom"/>
            <w:gridSpan w:val="3"/>
          </w:tcPr>
          <w:p>
            <w:pPr>
              <w:jc w:val="center"/>
              <w:ind w:left="3490"/>
              <w:spacing w:after="0"/>
              <w:rPr>
                <w:sz w:val="20"/>
                <w:szCs w:val="20"/>
                <w:color w:val="auto"/>
              </w:rPr>
            </w:pPr>
            <w:r>
              <w:rPr>
                <w:rFonts w:ascii="Arial" w:cs="Arial" w:eastAsia="Arial" w:hAnsi="Arial"/>
                <w:sz w:val="18"/>
                <w:szCs w:val="18"/>
                <w:b w:val="1"/>
                <w:bCs w:val="1"/>
                <w:color w:val="auto"/>
              </w:rPr>
              <w:t>AGRIFY CORPORATION</w:t>
            </w:r>
          </w:p>
        </w:tc>
        <w:tc>
          <w:tcPr>
            <w:tcW w:w="3580" w:type="dxa"/>
            <w:vAlign w:val="bottom"/>
          </w:tcPr>
          <w:p>
            <w:pPr>
              <w:spacing w:after="0"/>
              <w:rPr>
                <w:sz w:val="24"/>
                <w:szCs w:val="24"/>
                <w:color w:val="auto"/>
              </w:rPr>
            </w:pPr>
          </w:p>
        </w:tc>
      </w:tr>
      <w:tr>
        <w:trPr>
          <w:trHeight w:val="230"/>
        </w:trPr>
        <w:tc>
          <w:tcPr>
            <w:tcW w:w="7660" w:type="dxa"/>
            <w:vAlign w:val="bottom"/>
            <w:gridSpan w:val="3"/>
          </w:tcPr>
          <w:p>
            <w:pPr>
              <w:jc w:val="center"/>
              <w:ind w:left="3490"/>
              <w:spacing w:after="0"/>
              <w:rPr>
                <w:sz w:val="20"/>
                <w:szCs w:val="20"/>
                <w:color w:val="auto"/>
              </w:rPr>
            </w:pPr>
            <w:r>
              <w:rPr>
                <w:rFonts w:ascii="Arial" w:cs="Arial" w:eastAsia="Arial" w:hAnsi="Arial"/>
                <w:sz w:val="18"/>
                <w:szCs w:val="18"/>
                <w:color w:val="auto"/>
                <w:w w:val="90"/>
              </w:rPr>
              <w:t>(Exact name of registrant as specified in its charter)</w:t>
            </w:r>
          </w:p>
        </w:tc>
        <w:tc>
          <w:tcPr>
            <w:tcW w:w="3580" w:type="dxa"/>
            <w:vAlign w:val="bottom"/>
          </w:tcPr>
          <w:p>
            <w:pPr>
              <w:spacing w:after="0"/>
              <w:rPr>
                <w:sz w:val="20"/>
                <w:szCs w:val="20"/>
                <w:color w:val="auto"/>
              </w:rPr>
            </w:pPr>
          </w:p>
        </w:tc>
      </w:tr>
      <w:tr>
        <w:trPr>
          <w:trHeight w:val="358"/>
        </w:trPr>
        <w:tc>
          <w:tcPr>
            <w:tcW w:w="76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90"/>
              </w:rPr>
              <w:t>Nevada</w:t>
            </w:r>
          </w:p>
        </w:tc>
        <w:tc>
          <w:tcPr>
            <w:tcW w:w="3580" w:type="dxa"/>
            <w:vAlign w:val="bottom"/>
          </w:tcPr>
          <w:p>
            <w:pPr>
              <w:jc w:val="center"/>
              <w:ind w:right="1830"/>
              <w:spacing w:after="0"/>
              <w:rPr>
                <w:sz w:val="20"/>
                <w:szCs w:val="20"/>
                <w:color w:val="auto"/>
              </w:rPr>
            </w:pPr>
            <w:r>
              <w:rPr>
                <w:rFonts w:ascii="Arial" w:cs="Arial" w:eastAsia="Arial" w:hAnsi="Arial"/>
                <w:sz w:val="18"/>
                <w:szCs w:val="18"/>
                <w:b w:val="1"/>
                <w:bCs w:val="1"/>
                <w:color w:val="auto"/>
                <w:w w:val="89"/>
              </w:rPr>
              <w:t>30-0943453</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660" w:type="dxa"/>
            <w:vAlign w:val="bottom"/>
            <w:gridSpan w:val="3"/>
          </w:tcPr>
          <w:p>
            <w:pPr>
              <w:jc w:val="center"/>
              <w:ind w:right="2140"/>
              <w:spacing w:after="0"/>
              <w:rPr>
                <w:sz w:val="20"/>
                <w:szCs w:val="20"/>
                <w:color w:val="auto"/>
              </w:rPr>
            </w:pPr>
            <w:r>
              <w:rPr>
                <w:rFonts w:ascii="Arial" w:cs="Arial" w:eastAsia="Arial" w:hAnsi="Arial"/>
                <w:sz w:val="18"/>
                <w:szCs w:val="18"/>
                <w:color w:val="auto"/>
                <w:w w:val="92"/>
              </w:rPr>
              <w:t>incorporation or organization)</w:t>
            </w:r>
          </w:p>
        </w:tc>
        <w:tc>
          <w:tcPr>
            <w:tcW w:w="3580" w:type="dxa"/>
            <w:vAlign w:val="bottom"/>
          </w:tcPr>
          <w:p>
            <w:pPr>
              <w:jc w:val="center"/>
              <w:ind w:right="1830"/>
              <w:spacing w:after="0"/>
              <w:rPr>
                <w:sz w:val="20"/>
                <w:szCs w:val="20"/>
                <w:color w:val="auto"/>
              </w:rPr>
            </w:pPr>
            <w:r>
              <w:rPr>
                <w:rFonts w:ascii="Arial" w:cs="Arial" w:eastAsia="Arial" w:hAnsi="Arial"/>
                <w:sz w:val="18"/>
                <w:szCs w:val="18"/>
                <w:color w:val="auto"/>
                <w:w w:val="95"/>
              </w:rPr>
              <w:t>Identification No.)</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 Treble Cove 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 Unit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896-5243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phone number, including area code)</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58"/>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21"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0" w:lineRule="exact"/>
        <w:rPr>
          <w:sz w:val="24"/>
          <w:szCs w:val="24"/>
          <w:color w:val="auto"/>
        </w:rPr>
      </w:pPr>
    </w:p>
    <w:p>
      <w:pPr>
        <w:ind w:left="100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 w:lineRule="exact"/>
        <w:rPr>
          <w:sz w:val="24"/>
          <w:szCs w:val="24"/>
          <w:color w:val="auto"/>
        </w:rPr>
      </w:pPr>
    </w:p>
    <w:p>
      <w:pPr>
        <w:ind w:left="100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1"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Class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November 9, 2021</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50"/>
              <w:spacing w:after="0"/>
              <w:rPr>
                <w:sz w:val="20"/>
                <w:szCs w:val="20"/>
                <w:color w:val="auto"/>
              </w:rPr>
            </w:pPr>
            <w:r>
              <w:rPr>
                <w:rFonts w:ascii="Arial" w:cs="Arial" w:eastAsia="Arial" w:hAnsi="Arial"/>
                <w:sz w:val="18"/>
                <w:szCs w:val="18"/>
                <w:color w:val="auto"/>
              </w:rPr>
              <w:t>21,270,977</w:t>
            </w:r>
          </w:p>
        </w:tc>
      </w:tr>
      <w:tr>
        <w:trPr>
          <w:trHeight w:val="216"/>
        </w:trPr>
        <w:tc>
          <w:tcPr>
            <w:tcW w:w="5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574"/>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32"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920" w:type="dxa"/>
            <w:vAlign w:val="bottom"/>
            <w:gridSpan w:val="9"/>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5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96"/>
        </w:trPr>
        <w:tc>
          <w:tcPr>
            <w:tcW w:w="1140" w:type="dxa"/>
            <w:vAlign w:val="bottom"/>
            <w:gridSpan w:val="6"/>
            <w:shd w:val="clear" w:color="auto" w:fill="CCEEFF"/>
          </w:tcPr>
          <w:p>
            <w:pPr>
              <w:spacing w:after="0" w:line="142" w:lineRule="exact"/>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9100" w:type="dxa"/>
            <w:vAlign w:val="bottom"/>
            <w:gridSpan w:val="23"/>
            <w:shd w:val="clear" w:color="auto" w:fill="CCEEFF"/>
          </w:tcPr>
          <w:p>
            <w:pPr>
              <w:spacing w:after="0" w:line="142" w:lineRule="exact"/>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2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100" w:type="dxa"/>
            <w:vAlign w:val="bottom"/>
            <w:gridSpan w:val="2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2021 (unaudited) and December 31, 2020</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100" w:type="dxa"/>
            <w:vAlign w:val="bottom"/>
            <w:gridSpan w:val="23"/>
            <w:shd w:val="clear" w:color="auto" w:fill="CCEEFF"/>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for the three and nine months ended September 30, 2021 (unaudited) and</w:t>
              </w:r>
            </w:hyperlink>
          </w:p>
        </w:tc>
        <w:tc>
          <w:tcPr>
            <w:tcW w:w="1000" w:type="dxa"/>
            <w:vAlign w:val="bottom"/>
            <w:shd w:val="clear" w:color="auto" w:fill="CCEEFF"/>
          </w:tcPr>
          <w:p>
            <w:pPr>
              <w:spacing w:after="0"/>
              <w:rPr>
                <w:sz w:val="15"/>
                <w:szCs w:val="15"/>
                <w:color w:val="auto"/>
              </w:rPr>
            </w:pPr>
          </w:p>
        </w:tc>
      </w:tr>
      <w:tr>
        <w:trPr>
          <w:trHeight w:val="217"/>
        </w:trPr>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80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2020 (unaudited)</w:t>
              </w:r>
            </w:hyperlink>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2</w:t>
            </w:r>
          </w:p>
        </w:tc>
      </w:tr>
      <w:tr>
        <w:trPr>
          <w:trHeight w:val="216"/>
        </w:trPr>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5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52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Stockholders’ Equity for the three and nine months ended September 30, 2021</w:t>
              </w:r>
            </w:hyperlink>
          </w:p>
        </w:tc>
        <w:tc>
          <w:tcPr>
            <w:tcW w:w="580" w:type="dxa"/>
            <w:vAlign w:val="bottom"/>
            <w:tcBorders>
              <w:bottom w:val="single" w:sz="8" w:color="CCEEFF"/>
            </w:tcBorders>
            <w:gridSpan w:val="4"/>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6"/>
        </w:trPr>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940" w:type="dxa"/>
            <w:vAlign w:val="bottom"/>
            <w:gridSpan w:val="21"/>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and 2020 (unaudited)</w:t>
              </w:r>
            </w:hyperlink>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16"/>
        </w:trPr>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5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7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September 30, 2021 (unaudited) and 2020</w:t>
              </w:r>
            </w:hyperlink>
          </w:p>
        </w:tc>
        <w:tc>
          <w:tcPr>
            <w:tcW w:w="38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7"/>
        </w:trPr>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940" w:type="dxa"/>
            <w:vAlign w:val="bottom"/>
            <w:gridSpan w:val="21"/>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16"/>
        </w:trPr>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100" w:type="dxa"/>
            <w:vAlign w:val="bottom"/>
            <w:gridSpan w:val="23"/>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9100" w:type="dxa"/>
            <w:vAlign w:val="bottom"/>
            <w:gridSpan w:val="23"/>
            <w:shd w:val="clear" w:color="auto" w:fill="CCEEFF"/>
          </w:tcPr>
          <w:p>
            <w:pPr>
              <w:spacing w:after="0" w:line="176" w:lineRule="exact"/>
              <w:rPr>
                <w:rFonts w:ascii="Arial" w:cs="Arial" w:eastAsia="Arial" w:hAnsi="Arial"/>
                <w:sz w:val="18"/>
                <w:szCs w:val="18"/>
                <w:color w:val="0000EE"/>
                <w:w w:val="98"/>
              </w:rPr>
            </w:pPr>
            <w:hyperlink w:anchor="page24">
              <w:r>
                <w:rPr>
                  <w:rFonts w:ascii="Arial" w:cs="Arial" w:eastAsia="Arial" w:hAnsi="Arial"/>
                  <w:sz w:val="18"/>
                  <w:szCs w:val="18"/>
                  <w:color w:val="0000EE"/>
                  <w:w w:val="98"/>
                </w:rPr>
                <w:t>MANAGEMENT’S DISCUSSION AND ANALYSIS OF FINANCIAL CONDITION AND RESULTS OF OPERATIONS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9100" w:type="dxa"/>
            <w:vAlign w:val="bottom"/>
            <w:gridSpan w:val="23"/>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9100" w:type="dxa"/>
            <w:vAlign w:val="bottom"/>
            <w:gridSpan w:val="23"/>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9100" w:type="dxa"/>
            <w:vAlign w:val="bottom"/>
            <w:gridSpan w:val="23"/>
            <w:shd w:val="clear" w:color="auto" w:fill="CCEEFF"/>
          </w:tcPr>
          <w:p>
            <w:pPr>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w:t>
              </w:r>
            </w:hyperlink>
          </w:p>
        </w:tc>
        <w:tc>
          <w:tcPr>
            <w:tcW w:w="9100" w:type="dxa"/>
            <w:vAlign w:val="bottom"/>
            <w:gridSpan w:val="2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9100" w:type="dxa"/>
            <w:vAlign w:val="bottom"/>
            <w:gridSpan w:val="2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9100" w:type="dxa"/>
            <w:vAlign w:val="bottom"/>
            <w:gridSpan w:val="2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9100" w:type="dxa"/>
            <w:vAlign w:val="bottom"/>
            <w:gridSpan w:val="2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9100" w:type="dxa"/>
            <w:vAlign w:val="bottom"/>
            <w:gridSpan w:val="2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5.</w:t>
              </w:r>
            </w:hyperlink>
          </w:p>
        </w:tc>
        <w:tc>
          <w:tcPr>
            <w:tcW w:w="9100" w:type="dxa"/>
            <w:vAlign w:val="bottom"/>
            <w:gridSpan w:val="2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6</w:t>
              </w:r>
            </w:hyperlink>
          </w:p>
        </w:tc>
        <w:tc>
          <w:tcPr>
            <w:tcW w:w="9100" w:type="dxa"/>
            <w:vAlign w:val="bottom"/>
            <w:gridSpan w:val="23"/>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29"/>
            <w:shd w:val="clear" w:color="auto" w:fill="CCEEFF"/>
          </w:tcPr>
          <w:p>
            <w:pPr>
              <w:spacing w:after="0" w:line="17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SIGNATURES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AGRIFY CORPORATION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62,261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Accounts receivable, net of allowance for doubtful accounts of $228 and $54, as of September 30, 2021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11,873</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10,109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IPO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3,876</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marketable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13,092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acquired through business combination,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1,463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Capitalized website costs, net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159,298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21,839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w w:val="92"/>
              </w:rPr>
              <w:t>Notes payable, net of debt discount of $0 and $4,777 as of September 30, 2021 and December 31, 2020, respectively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24,623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28,293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50,000,000 shares, $0.001 par value authorized as of September 30, 2021 and December 31, 2020,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respectively; 21,261,383 and 4,211,677 shares issued at September 30,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2"/>
              </w:rPr>
              <w:t>Preferred stock 2,895,000 shares, $0.001 par value authorized as of September 30, 2021 and December 31, 2020,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respectively; 0 shares issued as of September 30, 2021 and December 31, 2020,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A stock 105,000 shares, $0.001 par value authorized as of September 30, 2021 and December 31, 2020,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 0 and 100,000 shares issued at September 30,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179,991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(45,714)</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(26,510)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134,297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(6,679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159,298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21,839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2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16,131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3,012</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34,977</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5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2,483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8,595</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1,937</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18,850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9,422</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2,386</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21,333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9,332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(9,802)</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(2,585)</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(21,726)</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(8,472)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Gain on extinguishment of notes payable</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2,685</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line="203" w:lineRule="exact"/>
              <w:rPr>
                <w:sz w:val="20"/>
                <w:szCs w:val="20"/>
                <w:color w:val="auto"/>
              </w:rPr>
            </w:pPr>
            <w:r>
              <w:rPr>
                <w:rFonts w:ascii="Arial" w:cs="Arial" w:eastAsia="Arial" w:hAnsi="Arial"/>
                <w:sz w:val="18"/>
                <w:szCs w:val="18"/>
                <w:color w:val="auto"/>
              </w:rPr>
              <w:t>Net loss before non-controlling interest</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(9,772)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(2,688)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(19,051)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(8,611)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attributable to non-controlling interest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Net loss attributable to Agrify Corporation.</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(9,758</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Net loss per share attributable to common stockholders – basic and diluted</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gridSpan w:val="2"/>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20,834,388</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4,211,677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18,068,736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4,163,860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7"/>
          </w:tcPr>
          <w:p>
            <w:pPr>
              <w:jc w:val="right"/>
              <w:spacing w:after="0"/>
              <w:rPr>
                <w:sz w:val="20"/>
                <w:szCs w:val="20"/>
                <w:color w:val="auto"/>
              </w:rPr>
            </w:pPr>
            <w:r>
              <w:rPr>
                <w:rFonts w:ascii="Arial" w:cs="Arial" w:eastAsia="Arial" w:hAnsi="Arial"/>
                <w:sz w:val="14"/>
                <w:szCs w:val="14"/>
                <w:b w:val="1"/>
                <w:bCs w:val="1"/>
                <w:color w:val="auto"/>
                <w:w w:val="94"/>
              </w:rPr>
              <w:t>Three and Nine months ended September 30, 2020</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180"/>
              <w:spacing w:after="0" w:line="126"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restart"/>
          </w:tcPr>
          <w:p>
            <w:pPr>
              <w:jc w:val="center"/>
              <w:ind w:left="328"/>
              <w:spacing w:after="0"/>
              <w:rPr>
                <w:sz w:val="20"/>
                <w:szCs w:val="20"/>
                <w:color w:val="auto"/>
              </w:rPr>
            </w:pPr>
            <w:r>
              <w:rPr>
                <w:rFonts w:ascii="Arial" w:cs="Arial" w:eastAsia="Arial" w:hAnsi="Arial"/>
                <w:sz w:val="14"/>
                <w:szCs w:val="14"/>
                <w:b w:val="1"/>
                <w:bCs w:val="1"/>
                <w:color w:val="auto"/>
                <w:w w:val="96"/>
              </w:rPr>
              <w:t>Preferred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jc w:val="right"/>
              <w:ind w:right="29"/>
              <w:spacing w:after="0"/>
              <w:rPr>
                <w:sz w:val="20"/>
                <w:szCs w:val="20"/>
                <w:color w:val="auto"/>
              </w:rPr>
            </w:pPr>
            <w:r>
              <w:rPr>
                <w:rFonts w:ascii="Arial" w:cs="Arial" w:eastAsia="Arial" w:hAnsi="Arial"/>
                <w:sz w:val="14"/>
                <w:szCs w:val="14"/>
                <w:b w:val="1"/>
                <w:bCs w:val="1"/>
                <w:color w:val="auto"/>
                <w:w w:val="91"/>
              </w:rPr>
              <w:t>Subscription</w:t>
            </w:r>
          </w:p>
        </w:tc>
        <w:tc>
          <w:tcPr>
            <w:tcW w:w="4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940" w:type="dxa"/>
            <w:vAlign w:val="bottom"/>
            <w:gridSpan w:val="4"/>
          </w:tcPr>
          <w:p>
            <w:pPr>
              <w:jc w:val="center"/>
              <w:ind w:right="120"/>
              <w:spacing w:after="0" w:line="145" w:lineRule="exact"/>
              <w:rPr>
                <w:sz w:val="20"/>
                <w:szCs w:val="20"/>
                <w:color w:val="auto"/>
              </w:rPr>
            </w:pPr>
            <w:r>
              <w:rPr>
                <w:rFonts w:ascii="Arial" w:cs="Arial" w:eastAsia="Arial" w:hAnsi="Arial"/>
                <w:sz w:val="14"/>
                <w:szCs w:val="14"/>
                <w:b w:val="1"/>
                <w:bCs w:val="1"/>
                <w:color w:val="auto"/>
                <w:w w:val="97"/>
              </w:rPr>
              <w:t>attributable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gridSpan w:val="4"/>
          </w:tcPr>
          <w:p>
            <w:pPr>
              <w:jc w:val="center"/>
              <w:ind w:left="368"/>
              <w:spacing w:after="0"/>
              <w:rPr>
                <w:sz w:val="20"/>
                <w:szCs w:val="20"/>
                <w:color w:val="auto"/>
              </w:rPr>
            </w:pPr>
            <w:r>
              <w:rPr>
                <w:rFonts w:ascii="Arial" w:cs="Arial" w:eastAsia="Arial" w:hAnsi="Arial"/>
                <w:sz w:val="14"/>
                <w:szCs w:val="14"/>
                <w:b w:val="1"/>
                <w:bCs w:val="1"/>
                <w:color w:val="auto"/>
                <w:w w:val="91"/>
              </w:rPr>
              <w:t>A Stock</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to</w:t>
            </w:r>
          </w:p>
        </w:tc>
        <w:tc>
          <w:tcPr>
            <w:tcW w:w="40" w:type="dxa"/>
            <w:vAlign w:val="bottom"/>
          </w:tcPr>
          <w:p>
            <w:pPr>
              <w:spacing w:after="0"/>
              <w:rPr>
                <w:sz w:val="14"/>
                <w:szCs w:val="14"/>
                <w:color w:val="auto"/>
              </w:rPr>
            </w:pPr>
          </w:p>
        </w:tc>
        <w:tc>
          <w:tcPr>
            <w:tcW w:w="8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controlling</w:t>
            </w:r>
          </w:p>
        </w:tc>
        <w:tc>
          <w:tcPr>
            <w:tcW w:w="20" w:type="dxa"/>
            <w:vAlign w:val="bottom"/>
          </w:tcPr>
          <w:p>
            <w:pPr>
              <w:spacing w:after="0"/>
              <w:rPr>
                <w:sz w:val="14"/>
                <w:szCs w:val="1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880" w:type="dxa"/>
            <w:vAlign w:val="bottom"/>
            <w:gridSpan w:val="3"/>
          </w:tcPr>
          <w:p>
            <w:pPr>
              <w:jc w:val="right"/>
              <w:ind w:right="89"/>
              <w:spacing w:after="0"/>
              <w:rPr>
                <w:sz w:val="20"/>
                <w:szCs w:val="20"/>
                <w:color w:val="auto"/>
              </w:rPr>
            </w:pPr>
            <w:r>
              <w:rPr>
                <w:rFonts w:ascii="Arial" w:cs="Arial" w:eastAsia="Arial" w:hAnsi="Arial"/>
                <w:sz w:val="14"/>
                <w:szCs w:val="14"/>
                <w:b w:val="1"/>
                <w:bCs w:val="1"/>
                <w:color w:val="auto"/>
                <w:w w:val="98"/>
              </w:rPr>
              <w:t>Receivable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Agrify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254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January 1, 2020</w:t>
            </w:r>
          </w:p>
        </w:tc>
        <w:tc>
          <w:tcPr>
            <w:tcW w:w="72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3,616,125</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4,124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2"/>
              </w:rPr>
              <w:t>(40)</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(4,893)</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3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85"/>
              </w:rPr>
              <w:t>603</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subscription</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left w:val="single" w:sz="8" w:color="CCEEFF"/>
            </w:tcBorders>
            <w:shd w:val="clear" w:color="auto" w:fill="CCEEFF"/>
          </w:tcPr>
          <w:p>
            <w:pPr>
              <w:spacing w:after="0"/>
              <w:rPr>
                <w:sz w:val="12"/>
                <w:szCs w:val="12"/>
                <w:color w:val="auto"/>
              </w:rPr>
            </w:pPr>
          </w:p>
        </w:tc>
        <w:tc>
          <w:tcPr>
            <w:tcW w:w="3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2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Issuance of Preferred A Stock</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3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10,000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 in Agrify Valiant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left w:val="single" w:sz="8" w:color="CCEEFF"/>
            </w:tcBorders>
            <w:shd w:val="clear" w:color="auto" w:fill="CCEEFF"/>
          </w:tcPr>
          <w:p>
            <w:pPr>
              <w:spacing w:after="0"/>
              <w:rPr>
                <w:sz w:val="12"/>
                <w:szCs w:val="12"/>
                <w:color w:val="auto"/>
              </w:rPr>
            </w:pPr>
          </w:p>
        </w:tc>
        <w:tc>
          <w:tcPr>
            <w:tcW w:w="3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2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Acquisition of TriGrow Systems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595,552</w:t>
            </w:r>
          </w:p>
        </w:tc>
        <w:tc>
          <w:tcPr>
            <w:tcW w:w="420" w:type="dxa"/>
            <w:vAlign w:val="bottom"/>
          </w:tcPr>
          <w:p>
            <w:pPr>
              <w:spacing w:after="0"/>
              <w:rPr>
                <w:sz w:val="12"/>
                <w:szCs w:val="12"/>
                <w:color w:val="auto"/>
              </w:rPr>
            </w:pPr>
          </w:p>
        </w:tc>
        <w:tc>
          <w:tcPr>
            <w:tcW w:w="3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1,356</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1,356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162"/>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20" w:type="dxa"/>
            <w:vAlign w:val="bottom"/>
            <w:tcBorders>
              <w:left w:val="single" w:sz="8" w:color="CCEEFF"/>
            </w:tcBorders>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(5,857)</w:t>
            </w: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(5,857)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(5,923)</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Balance June 30, 2020</w:t>
            </w: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4,211,677</w:t>
            </w:r>
          </w:p>
        </w:tc>
        <w:tc>
          <w:tcPr>
            <w:tcW w:w="1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4"/>
          </w:tcPr>
          <w:p>
            <w:pPr>
              <w:jc w:val="right"/>
              <w:ind w:right="60"/>
              <w:spacing w:after="0"/>
              <w:rPr>
                <w:sz w:val="20"/>
                <w:szCs w:val="20"/>
                <w:color w:val="auto"/>
              </w:rPr>
            </w:pPr>
            <w:r>
              <w:rPr>
                <w:rFonts w:ascii="Arial" w:cs="Arial" w:eastAsia="Arial" w:hAnsi="Arial"/>
                <w:sz w:val="14"/>
                <w:szCs w:val="14"/>
                <w:color w:val="auto"/>
              </w:rPr>
              <w:t>16,083</w:t>
            </w:r>
          </w:p>
        </w:tc>
        <w:tc>
          <w:tcPr>
            <w:tcW w:w="660" w:type="dxa"/>
            <w:vAlign w:val="bottom"/>
            <w:gridSpan w:val="2"/>
          </w:tcPr>
          <w:p>
            <w:pPr>
              <w:jc w:val="right"/>
              <w:ind w:right="469"/>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(10,750</w:t>
            </w:r>
          </w:p>
        </w:tc>
        <w:tc>
          <w:tcPr>
            <w:tcW w:w="10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5,337</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181</w:t>
            </w: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5,518</w:t>
            </w:r>
          </w:p>
        </w:tc>
        <w:tc>
          <w:tcPr>
            <w:tcW w:w="0" w:type="dxa"/>
            <w:vAlign w:val="bottom"/>
          </w:tcPr>
          <w:p>
            <w:pPr>
              <w:spacing w:after="0"/>
              <w:rPr>
                <w:sz w:val="1"/>
                <w:szCs w:val="1"/>
                <w:color w:val="auto"/>
              </w:rPr>
            </w:pPr>
          </w:p>
        </w:tc>
      </w:tr>
      <w:tr>
        <w:trPr>
          <w:trHeight w:val="148"/>
        </w:trPr>
        <w:tc>
          <w:tcPr>
            <w:tcW w:w="254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left w:val="single" w:sz="8" w:color="CCEEFF"/>
            </w:tcBorders>
            <w:shd w:val="clear" w:color="auto" w:fill="CCEEFF"/>
          </w:tcPr>
          <w:p>
            <w:pPr>
              <w:spacing w:after="0"/>
              <w:rPr>
                <w:sz w:val="12"/>
                <w:szCs w:val="12"/>
                <w:color w:val="auto"/>
              </w:rPr>
            </w:pPr>
          </w:p>
        </w:tc>
        <w:tc>
          <w:tcPr>
            <w:tcW w:w="28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gridSpan w:val="2"/>
          </w:tcPr>
          <w:p>
            <w:pPr>
              <w:spacing w:after="0" w:line="130" w:lineRule="exact"/>
              <w:rPr>
                <w:sz w:val="20"/>
                <w:szCs w:val="20"/>
                <w:color w:val="auto"/>
              </w:rPr>
            </w:pPr>
            <w:r>
              <w:rPr>
                <w:rFonts w:ascii="Arial" w:cs="Arial" w:eastAsia="Arial" w:hAnsi="Arial"/>
                <w:sz w:val="14"/>
                <w:szCs w:val="14"/>
                <w:color w:val="auto"/>
              </w:rPr>
              <w:t>Warrants issued and recorded as debt</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discount in connection with notes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40" w:type="dxa"/>
            <w:vAlign w:val="bottom"/>
            <w:gridSpan w:val="2"/>
          </w:tcPr>
          <w:p>
            <w:pPr>
              <w:ind w:left="180"/>
              <w:spacing w:after="0"/>
              <w:rPr>
                <w:sz w:val="20"/>
                <w:szCs w:val="20"/>
                <w:color w:val="auto"/>
              </w:rPr>
            </w:pPr>
            <w:r>
              <w:rPr>
                <w:rFonts w:ascii="Arial" w:cs="Arial" w:eastAsia="Arial" w:hAnsi="Arial"/>
                <w:sz w:val="14"/>
                <w:szCs w:val="14"/>
                <w:color w:val="auto"/>
              </w:rPr>
              <w:t>payable issuances</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4"/>
                <w:szCs w:val="14"/>
                <w:color w:val="auto"/>
              </w:rPr>
              <w:t>1,362</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1,362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162"/>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20" w:type="dxa"/>
            <w:vAlign w:val="bottom"/>
            <w:tcBorders>
              <w:left w:val="single" w:sz="8" w:color="CCEEFF"/>
            </w:tcBorders>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(2,705)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(2,688)</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Balance, September 30, 2020</w:t>
            </w: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40" w:type="dxa"/>
            <w:vAlign w:val="bottom"/>
            <w:gridSpan w:val="2"/>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4,211,677</w:t>
            </w:r>
          </w:p>
        </w:tc>
        <w:tc>
          <w:tcPr>
            <w:tcW w:w="1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4"/>
          </w:tcPr>
          <w:p>
            <w:pPr>
              <w:jc w:val="right"/>
              <w:ind w:right="60"/>
              <w:spacing w:after="0"/>
              <w:rPr>
                <w:sz w:val="20"/>
                <w:szCs w:val="20"/>
                <w:color w:val="auto"/>
              </w:rPr>
            </w:pPr>
            <w:r>
              <w:rPr>
                <w:rFonts w:ascii="Arial" w:cs="Arial" w:eastAsia="Arial" w:hAnsi="Arial"/>
                <w:sz w:val="14"/>
                <w:szCs w:val="14"/>
                <w:color w:val="auto"/>
              </w:rPr>
              <w:t>17,645</w:t>
            </w:r>
          </w:p>
        </w:tc>
        <w:tc>
          <w:tcPr>
            <w:tcW w:w="660" w:type="dxa"/>
            <w:vAlign w:val="bottom"/>
            <w:gridSpan w:val="2"/>
          </w:tcPr>
          <w:p>
            <w:pPr>
              <w:jc w:val="right"/>
              <w:ind w:right="469"/>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(13,455</w:t>
            </w:r>
          </w:p>
        </w:tc>
        <w:tc>
          <w:tcPr>
            <w:tcW w:w="100" w:type="dxa"/>
            <w:vAlign w:val="bottom"/>
            <w:vMerge w:val="continue"/>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4,194</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198</w:t>
            </w: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4,392</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7"/>
          </w:tcPr>
          <w:p>
            <w:pPr>
              <w:ind w:left="40"/>
              <w:spacing w:after="0"/>
              <w:rPr>
                <w:sz w:val="20"/>
                <w:szCs w:val="20"/>
                <w:color w:val="auto"/>
              </w:rPr>
            </w:pPr>
            <w:r>
              <w:rPr>
                <w:rFonts w:ascii="Arial" w:cs="Arial" w:eastAsia="Arial" w:hAnsi="Arial"/>
                <w:sz w:val="14"/>
                <w:szCs w:val="14"/>
                <w:b w:val="1"/>
                <w:bCs w:val="1"/>
                <w:color w:val="auto"/>
                <w:w w:val="91"/>
              </w:rPr>
              <w:t>Three and Nine months ended September 30, 2021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400"/>
              <w:spacing w:after="0" w:line="126"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9"/>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tcPr>
          <w:p>
            <w:pPr>
              <w:jc w:val="right"/>
              <w:ind w:right="108"/>
              <w:spacing w:after="0" w:line="158" w:lineRule="exact"/>
              <w:rPr>
                <w:sz w:val="20"/>
                <w:szCs w:val="20"/>
                <w:color w:val="auto"/>
              </w:rPr>
            </w:pPr>
            <w:r>
              <w:rPr>
                <w:rFonts w:ascii="Arial" w:cs="Arial" w:eastAsia="Arial" w:hAnsi="Arial"/>
                <w:sz w:val="14"/>
                <w:szCs w:val="14"/>
                <w:b w:val="1"/>
                <w:bCs w:val="1"/>
                <w:color w:val="auto"/>
              </w:rPr>
              <w:t>Preferred</w:t>
            </w:r>
          </w:p>
        </w:tc>
        <w:tc>
          <w:tcPr>
            <w:tcW w:w="240" w:type="dxa"/>
            <w:vAlign w:val="bottom"/>
          </w:tcPr>
          <w:p>
            <w:pPr>
              <w:spacing w:after="0"/>
              <w:rPr>
                <w:sz w:val="13"/>
                <w:szCs w:val="13"/>
                <w:color w:val="auto"/>
              </w:rPr>
            </w:pPr>
          </w:p>
        </w:tc>
        <w:tc>
          <w:tcPr>
            <w:tcW w:w="820" w:type="dxa"/>
            <w:vAlign w:val="bottom"/>
            <w:gridSpan w:val="5"/>
          </w:tcPr>
          <w:p>
            <w:pPr>
              <w:jc w:val="center"/>
              <w:ind w:left="28"/>
              <w:spacing w:after="0" w:line="158" w:lineRule="exact"/>
              <w:rPr>
                <w:sz w:val="20"/>
                <w:szCs w:val="20"/>
                <w:color w:val="auto"/>
              </w:rPr>
            </w:pPr>
            <w:r>
              <w:rPr>
                <w:rFonts w:ascii="Arial" w:cs="Arial" w:eastAsia="Arial" w:hAnsi="Arial"/>
                <w:sz w:val="14"/>
                <w:szCs w:val="14"/>
                <w:b w:val="1"/>
                <w:bCs w:val="1"/>
                <w:color w:val="auto"/>
                <w:w w:val="93"/>
              </w:rPr>
              <w:t>Additional</w:t>
            </w:r>
          </w:p>
        </w:tc>
        <w:tc>
          <w:tcPr>
            <w:tcW w:w="9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Subscription</w:t>
            </w:r>
          </w:p>
        </w:tc>
        <w:tc>
          <w:tcPr>
            <w:tcW w:w="1160" w:type="dxa"/>
            <w:vAlign w:val="bottom"/>
            <w:gridSpan w:val="6"/>
            <w:vMerge w:val="restart"/>
          </w:tcPr>
          <w:p>
            <w:pPr>
              <w:jc w:val="right"/>
              <w:ind w:right="88"/>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5"/>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attributable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A Stock</w:t>
            </w: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4"/>
          </w:tcPr>
          <w:p>
            <w:pPr>
              <w:jc w:val="center"/>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5"/>
            <w:vMerge w:val="continue"/>
          </w:tcPr>
          <w:p>
            <w:pPr>
              <w:spacing w:after="0"/>
              <w:rPr>
                <w:sz w:val="15"/>
                <w:szCs w:val="15"/>
                <w:color w:val="auto"/>
              </w:rPr>
            </w:pPr>
          </w:p>
        </w:tc>
        <w:tc>
          <w:tcPr>
            <w:tcW w:w="116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to</w:t>
            </w:r>
          </w:p>
        </w:tc>
        <w:tc>
          <w:tcPr>
            <w:tcW w:w="8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controlling</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Receivable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Agrify</w:t>
            </w:r>
          </w:p>
        </w:tc>
        <w:tc>
          <w:tcPr>
            <w:tcW w:w="40" w:type="dxa"/>
            <w:vAlign w:val="bottom"/>
          </w:tcPr>
          <w:p>
            <w:pPr>
              <w:spacing w:after="0"/>
              <w:rPr>
                <w:sz w:val="14"/>
                <w:szCs w:val="14"/>
                <w:color w:val="auto"/>
              </w:rPr>
            </w:pPr>
          </w:p>
        </w:tc>
        <w:tc>
          <w:tcPr>
            <w:tcW w:w="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5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January 1, 2021</w:t>
            </w: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4,211,677</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left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lef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lef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right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19,827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(26,510)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left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(6,679)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(6,454)</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3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3,066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Beneficial conversion feature associated</w:t>
            </w:r>
          </w:p>
        </w:tc>
        <w:tc>
          <w:tcPr>
            <w:tcW w:w="7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9"/>
              </w:rPr>
              <w:t>with amended Convertible Promissory</w:t>
            </w:r>
          </w:p>
        </w:tc>
        <w:tc>
          <w:tcPr>
            <w:tcW w:w="7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Notes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Borders>
              <w:left w:val="single" w:sz="8" w:color="CCEEFF"/>
            </w:tcBorders>
            <w:shd w:val="clear" w:color="auto" w:fill="CCEEFF"/>
          </w:tcPr>
          <w:p>
            <w:pPr>
              <w:spacing w:after="0"/>
              <w:rPr>
                <w:sz w:val="14"/>
                <w:szCs w:val="14"/>
                <w:color w:val="auto"/>
              </w:rPr>
            </w:pP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3,869</w:t>
            </w: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Conversion of Convertible Notes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1,697,075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7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8"/>
              </w:rPr>
              <w:t>13,098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13,100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 Initial</w:t>
            </w:r>
          </w:p>
        </w:tc>
        <w:tc>
          <w:tcPr>
            <w:tcW w:w="7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Public Offering (“IPO”), net of fees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6,210,000</w:t>
            </w:r>
          </w:p>
        </w:tc>
        <w:tc>
          <w:tcPr>
            <w:tcW w:w="100" w:type="dxa"/>
            <w:vAlign w:val="bottom"/>
            <w:shd w:val="clear" w:color="auto" w:fill="CCEEFF"/>
          </w:tcPr>
          <w:p>
            <w:pPr>
              <w:spacing w:after="0"/>
              <w:rPr>
                <w:sz w:val="14"/>
                <w:szCs w:val="14"/>
                <w:color w:val="auto"/>
              </w:rPr>
            </w:pPr>
          </w:p>
        </w:tc>
        <w:tc>
          <w:tcPr>
            <w:tcW w:w="420" w:type="dxa"/>
            <w:vAlign w:val="bottom"/>
            <w:tcBorders>
              <w:left w:val="single" w:sz="8" w:color="CCEEFF"/>
            </w:tcBorders>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w:t>
            </w:r>
          </w:p>
        </w:tc>
        <w:tc>
          <w:tcPr>
            <w:tcW w:w="100" w:type="dxa"/>
            <w:vAlign w:val="bottom"/>
            <w:tcBorders>
              <w:lef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56,955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56,961</w:t>
            </w: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56,961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40" w:type="dxa"/>
            <w:vAlign w:val="bottom"/>
            <w:gridSpan w:val="2"/>
          </w:tcPr>
          <w:p>
            <w:pPr>
              <w:spacing w:after="0" w:line="130" w:lineRule="exact"/>
              <w:rPr>
                <w:sz w:val="20"/>
                <w:szCs w:val="20"/>
                <w:color w:val="auto"/>
              </w:rPr>
            </w:pPr>
            <w:r>
              <w:rPr>
                <w:rFonts w:ascii="Arial" w:cs="Arial" w:eastAsia="Arial" w:hAnsi="Arial"/>
                <w:sz w:val="14"/>
                <w:szCs w:val="14"/>
                <w:color w:val="auto"/>
              </w:rPr>
              <w:t>Issuance of common stock – Secondary</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gridSpan w:val="2"/>
          </w:tcPr>
          <w:p>
            <w:pPr>
              <w:ind w:left="180"/>
              <w:spacing w:after="0"/>
              <w:rPr>
                <w:sz w:val="20"/>
                <w:szCs w:val="20"/>
                <w:color w:val="auto"/>
              </w:rPr>
            </w:pPr>
            <w:r>
              <w:rPr>
                <w:rFonts w:ascii="Arial" w:cs="Arial" w:eastAsia="Arial" w:hAnsi="Arial"/>
                <w:sz w:val="14"/>
                <w:szCs w:val="14"/>
                <w:color w:val="auto"/>
              </w:rPr>
              <w:t>public offering, net of fees</w:t>
            </w:r>
          </w:p>
        </w:tc>
        <w:tc>
          <w:tcPr>
            <w:tcW w:w="720" w:type="dxa"/>
            <w:vAlign w:val="bottom"/>
          </w:tcPr>
          <w:p>
            <w:pPr>
              <w:jc w:val="right"/>
              <w:spacing w:after="0"/>
              <w:rPr>
                <w:sz w:val="20"/>
                <w:szCs w:val="20"/>
                <w:color w:val="auto"/>
              </w:rPr>
            </w:pPr>
            <w:r>
              <w:rPr>
                <w:rFonts w:ascii="Arial" w:cs="Arial" w:eastAsia="Arial" w:hAnsi="Arial"/>
                <w:sz w:val="14"/>
                <w:szCs w:val="14"/>
                <w:color w:val="auto"/>
              </w:rPr>
              <w:t>6,388,888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7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8"/>
              </w:rPr>
              <w:t>79,833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79,839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79,839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Conversion of Preferred A Stock</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1,373,038</w:t>
            </w:r>
          </w:p>
        </w:tc>
        <w:tc>
          <w:tcPr>
            <w:tcW w:w="100" w:type="dxa"/>
            <w:vAlign w:val="bottom"/>
            <w:shd w:val="clear" w:color="auto" w:fill="CCEEFF"/>
          </w:tcPr>
          <w:p>
            <w:pPr>
              <w:spacing w:after="0"/>
              <w:rPr>
                <w:sz w:val="12"/>
                <w:szCs w:val="12"/>
                <w:color w:val="auto"/>
              </w:rPr>
            </w:pPr>
          </w:p>
        </w:tc>
        <w:tc>
          <w:tcPr>
            <w:tcW w:w="420" w:type="dxa"/>
            <w:vAlign w:val="bottom"/>
            <w:tcBorders>
              <w:left w:val="single" w:sz="8" w:color="CCEEFF"/>
            </w:tcBorders>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6"/>
              </w:rPr>
              <w:t>(100,000)</w:t>
            </w:r>
          </w:p>
        </w:tc>
        <w:tc>
          <w:tcPr>
            <w:tcW w:w="10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Exercise of options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252,788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240,233</w:t>
            </w:r>
          </w:p>
        </w:tc>
        <w:tc>
          <w:tcPr>
            <w:tcW w:w="100" w:type="dxa"/>
            <w:vAlign w:val="bottom"/>
            <w:shd w:val="clear" w:color="auto" w:fill="CCEEFF"/>
          </w:tcPr>
          <w:p>
            <w:pPr>
              <w:spacing w:after="0"/>
              <w:rPr>
                <w:sz w:val="12"/>
                <w:szCs w:val="12"/>
                <w:color w:val="auto"/>
              </w:rPr>
            </w:pPr>
          </w:p>
        </w:tc>
        <w:tc>
          <w:tcPr>
            <w:tcW w:w="420" w:type="dxa"/>
            <w:vAlign w:val="bottom"/>
            <w:tcBorders>
              <w:left w:val="single" w:sz="8" w:color="CCEEFF"/>
            </w:tcBorders>
            <w:shd w:val="clear" w:color="auto" w:fill="CCEEFF"/>
          </w:tcPr>
          <w:p>
            <w:pPr>
              <w:spacing w:after="0"/>
              <w:rPr>
                <w:sz w:val="12"/>
                <w:szCs w:val="12"/>
                <w:color w:val="auto"/>
              </w:rPr>
            </w:pPr>
          </w:p>
        </w:tc>
        <w:tc>
          <w:tcPr>
            <w:tcW w:w="3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(9,446)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(9,446)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(9,279)</w:t>
            </w:r>
          </w:p>
        </w:tc>
        <w:tc>
          <w:tcPr>
            <w:tcW w:w="0" w:type="dxa"/>
            <w:vAlign w:val="bottom"/>
          </w:tcPr>
          <w:p>
            <w:pPr>
              <w:spacing w:after="0"/>
              <w:rPr>
                <w:sz w:val="1"/>
                <w:szCs w:val="1"/>
                <w:color w:val="auto"/>
              </w:rPr>
            </w:pPr>
          </w:p>
        </w:tc>
      </w:tr>
      <w:tr>
        <w:trPr>
          <w:trHeight w:val="27"/>
        </w:trPr>
        <w:tc>
          <w:tcPr>
            <w:tcW w:w="25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 June 30, 2021</w:t>
            </w:r>
          </w:p>
        </w:tc>
        <w:tc>
          <w:tcPr>
            <w:tcW w:w="4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tcBorders>
              <w:lef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600" w:type="dxa"/>
            <w:vAlign w:val="bottom"/>
            <w:tcBorders>
              <w:right w:val="single" w:sz="8" w:color="CCEEFF"/>
            </w:tcBorders>
            <w:gridSpan w:val="3"/>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00" w:type="dxa"/>
            <w:vAlign w:val="bottom"/>
            <w:tcBorders>
              <w:lef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20" w:type="dxa"/>
            <w:vAlign w:val="bottom"/>
            <w:gridSpan w:val="2"/>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60" w:type="dxa"/>
            <w:vAlign w:val="bottom"/>
            <w:gridSpan w:val="2"/>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20,373,699</w:t>
            </w:r>
          </w:p>
        </w:tc>
        <w:tc>
          <w:tcPr>
            <w:tcW w:w="100" w:type="dxa"/>
            <w:vAlign w:val="bottom"/>
            <w:shd w:val="clear" w:color="auto" w:fill="CCEEFF"/>
          </w:tcPr>
          <w:p>
            <w:pPr>
              <w:spacing w:after="0"/>
              <w:rPr>
                <w:sz w:val="15"/>
                <w:szCs w:val="15"/>
                <w:color w:val="auto"/>
              </w:rPr>
            </w:pPr>
          </w:p>
        </w:tc>
        <w:tc>
          <w:tcPr>
            <w:tcW w:w="4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9"/>
              </w:rPr>
              <w:t>19</w:t>
            </w:r>
          </w:p>
        </w:tc>
        <w:tc>
          <w:tcPr>
            <w:tcW w:w="100" w:type="dxa"/>
            <w:vAlign w:val="bottom"/>
            <w:tcBorders>
              <w:lef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177,373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(35,956</w:t>
            </w:r>
          </w:p>
        </w:tc>
        <w:tc>
          <w:tcPr>
            <w:tcW w:w="180" w:type="dxa"/>
            <w:vAlign w:val="bottom"/>
            <w:vMerge w:val="continue"/>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141,436</w:t>
            </w: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w:t>
            </w:r>
          </w:p>
        </w:tc>
        <w:tc>
          <w:tcPr>
            <w:tcW w:w="80" w:type="dxa"/>
            <w:vAlign w:val="bottom"/>
            <w:tcBorders>
              <w:right w:val="single" w:sz="8" w:color="CCEEFF"/>
            </w:tcBorders>
            <w:shd w:val="clear" w:color="auto" w:fill="CCEEFF"/>
          </w:tcPr>
          <w:p>
            <w:pPr>
              <w:spacing w:after="0"/>
              <w:rPr>
                <w:sz w:val="15"/>
                <w:szCs w:val="15"/>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141,828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common shares in connection</w:t>
            </w:r>
          </w:p>
        </w:tc>
        <w:tc>
          <w:tcPr>
            <w:tcW w:w="7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with acquisition</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14"/>
                <w:szCs w:val="14"/>
                <w:color w:val="auto"/>
              </w:rPr>
            </w:pPr>
          </w:p>
        </w:tc>
        <w:tc>
          <w:tcPr>
            <w:tcW w:w="420" w:type="dxa"/>
            <w:vAlign w:val="bottom"/>
            <w:tcBorders>
              <w:left w:val="single" w:sz="8" w:color="CCEEFF"/>
            </w:tcBorders>
            <w:shd w:val="clear" w:color="auto" w:fill="CCEEFF"/>
          </w:tcPr>
          <w:p>
            <w:pPr>
              <w:spacing w:after="0"/>
              <w:rPr>
                <w:sz w:val="14"/>
                <w:szCs w:val="14"/>
                <w:color w:val="auto"/>
              </w:rPr>
            </w:pP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w:t>
            </w: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Exercise of options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365,816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513,868</w:t>
            </w:r>
          </w:p>
        </w:tc>
        <w:tc>
          <w:tcPr>
            <w:tcW w:w="100" w:type="dxa"/>
            <w:vAlign w:val="bottom"/>
            <w:shd w:val="clear" w:color="auto" w:fill="CCEEFF"/>
          </w:tcPr>
          <w:p>
            <w:pPr>
              <w:spacing w:after="0"/>
              <w:rPr>
                <w:sz w:val="12"/>
                <w:szCs w:val="12"/>
                <w:color w:val="auto"/>
              </w:rPr>
            </w:pPr>
          </w:p>
        </w:tc>
        <w:tc>
          <w:tcPr>
            <w:tcW w:w="420" w:type="dxa"/>
            <w:vAlign w:val="bottom"/>
            <w:tcBorders>
              <w:left w:val="single" w:sz="8" w:color="CCEEFF"/>
            </w:tcBorders>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(9,758)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(9,758)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(9,772)</w:t>
            </w:r>
          </w:p>
        </w:tc>
        <w:tc>
          <w:tcPr>
            <w:tcW w:w="0" w:type="dxa"/>
            <w:vAlign w:val="bottom"/>
          </w:tcPr>
          <w:p>
            <w:pPr>
              <w:spacing w:after="0"/>
              <w:rPr>
                <w:sz w:val="1"/>
                <w:szCs w:val="1"/>
                <w:color w:val="auto"/>
              </w:rPr>
            </w:pPr>
          </w:p>
        </w:tc>
      </w:tr>
      <w:tr>
        <w:trPr>
          <w:trHeight w:val="27"/>
        </w:trPr>
        <w:tc>
          <w:tcPr>
            <w:tcW w:w="25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 September 30, 2021</w:t>
            </w:r>
          </w:p>
        </w:tc>
        <w:tc>
          <w:tcPr>
            <w:tcW w:w="4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tcBorders>
              <w:lef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600" w:type="dxa"/>
            <w:vAlign w:val="bottom"/>
            <w:tcBorders>
              <w:right w:val="single" w:sz="8" w:color="CCEEFF"/>
            </w:tcBorders>
            <w:gridSpan w:val="3"/>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4"/>
              </w:rPr>
              <w:t>)</w:t>
            </w:r>
          </w:p>
        </w:tc>
        <w:tc>
          <w:tcPr>
            <w:tcW w:w="100" w:type="dxa"/>
            <w:vAlign w:val="bottom"/>
            <w:tcBorders>
              <w:lef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20" w:type="dxa"/>
            <w:vAlign w:val="bottom"/>
            <w:gridSpan w:val="2"/>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60" w:type="dxa"/>
            <w:vAlign w:val="bottom"/>
            <w:gridSpan w:val="2"/>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21,261,383</w:t>
            </w:r>
          </w:p>
        </w:tc>
        <w:tc>
          <w:tcPr>
            <w:tcW w:w="100" w:type="dxa"/>
            <w:vAlign w:val="bottom"/>
            <w:shd w:val="clear" w:color="auto" w:fill="CCEEFF"/>
          </w:tcPr>
          <w:p>
            <w:pPr>
              <w:spacing w:after="0"/>
              <w:rPr>
                <w:sz w:val="15"/>
                <w:szCs w:val="15"/>
                <w:color w:val="auto"/>
              </w:rPr>
            </w:pPr>
          </w:p>
        </w:tc>
        <w:tc>
          <w:tcPr>
            <w:tcW w:w="4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9"/>
              </w:rPr>
              <w:t>20</w:t>
            </w:r>
          </w:p>
        </w:tc>
        <w:tc>
          <w:tcPr>
            <w:tcW w:w="100" w:type="dxa"/>
            <w:vAlign w:val="bottom"/>
            <w:tcBorders>
              <w:lef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179,991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(45,714</w:t>
            </w:r>
          </w:p>
        </w:tc>
        <w:tc>
          <w:tcPr>
            <w:tcW w:w="180" w:type="dxa"/>
            <w:vAlign w:val="bottom"/>
            <w:vMerge w:val="continue"/>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134,297</w:t>
            </w: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w:t>
            </w:r>
          </w:p>
        </w:tc>
        <w:tc>
          <w:tcPr>
            <w:tcW w:w="80" w:type="dxa"/>
            <w:vAlign w:val="bottom"/>
            <w:tcBorders>
              <w:right w:val="single" w:sz="8" w:color="CCEEFF"/>
            </w:tcBorders>
            <w:shd w:val="clear" w:color="auto" w:fill="CCEEFF"/>
          </w:tcPr>
          <w:p>
            <w:pPr>
              <w:spacing w:after="0"/>
              <w:rPr>
                <w:sz w:val="15"/>
                <w:szCs w:val="15"/>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134,675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(19,204)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Adjustments to reconcile net loss attributable to Agrify Corporation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261</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Amortization of premium on investments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522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held to maturity bonds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4,007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803</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shares in connection with acquisition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Non-cash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95</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extinguishment of notes payable,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Loss from disposal of fixed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(loss) attributable to non-controlling interests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(7,861)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(5,227)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(1,673)</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Right of use assets,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7,906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7,367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507</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(2,099)</w:t>
            </w:r>
          </w:p>
        </w:tc>
      </w:tr>
      <w:tr>
        <w:trPr>
          <w:trHeight w:val="223"/>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(3,536)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held to maturity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(68,461)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Issuance of loan receivable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(12,686)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business combination, net of cash acquired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10"/>
        </w:trPr>
        <w:tc>
          <w:tcPr>
            <w:tcW w:w="86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(84,683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Preferred A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Proceeds from IPO, net of fees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56,961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Secondary public offering, net of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79,839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Proceeds from exercise of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2,220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Payments of financing leases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 in Valiant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Proceeds from PPP Loan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823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financing leases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Proceeds from notes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5,800</w:t>
            </w: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r>
      <w:tr>
        <w:trPr>
          <w:trHeight w:val="210"/>
        </w:trPr>
        <w:tc>
          <w:tcPr>
            <w:tcW w:w="86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138,875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16,670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increase in cash</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36,635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4,752</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 Beginning of period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8,111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206</w:t>
            </w: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44,746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4,958</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Equipment sold for loan receivable to customer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 and recorded as debt discount in connection with notes payable issuances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1,362</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Bifurcated embedded conversion options recorded as derivative liabilities and debt discount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1,160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43"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specified,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62"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Agrify Corporation (“Agrify” or the “Company”) is a developer of highly advanced and proprietary precision hardware and software grow solutions for the indoor agriculture marketplace and provides equipment and solutions for extraction, post-processing, and testing for the cannabis and hemp industry. The Company was formed in the State of Nevada on June 6, 2016 as Agrinamics, Inc., and subsequently changed its name to Agrify Corporation.</w:t>
      </w:r>
    </w:p>
    <w:p>
      <w:pPr>
        <w:spacing w:after="0" w:line="14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 has seven wholly-owned subsidiaries, AGM Service Corp LLC (formerly AGM Service Corp Inc.), TriGrow Systems, LLC (“TriGrow”, which acted as the Company’s exclusive distributor and which was acquired in January 2020 as TriGrow Systems, Inc. and converted to TriGrow Systems, LLC in May 2020), Harbor Mountain Holdings, LLC (“HMH”, which assembled and produced many of the Company’s products and which was acquired in July 2020), Ariafy Finance, LLC, Agxion, LLC, Cascade Sciences, LLC (which was acquired as part of the Precision-Cascade Acquisition) and Precision Extraction NewCo, LLC (which is a newly formed subsidiary in connection with the Precision-Cascade Acquisition). The Company also owns 50% of Teejan Podponics International LLC (“TPI”) since December 2018; 60% of Agrify-Valiant, LLC, formed in December 2019; and 75% of Agrify Brands, LLC (formerly TriGrow Brands, LLC, which was part of the January 2020 acquisition of TriGrow). For further details about the January 2020 and July 2020 acquisitions, please refer to the Company’s Annual Report on Form 10-K for the year ended December 31, 2020 filed with the U.S. Securities and Exchange Commission (“SEC”) on April 2, 2021.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18, Subsequent Event for more information regarding the Precision-Cascade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6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January 12, 2021, the Company effected a 1-for-1.581804 reverse stock split. All share and per share information has been retroactively adjusted to give effect to the reverse stock split for all periods presented, unless otherwise indicated.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Offerings</w:t>
      </w:r>
    </w:p>
    <w:p>
      <w:pPr>
        <w:spacing w:after="0" w:line="162"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On February 1, 2021, the Company consummated its initial public offering (“IPO”) of 5,400,000 shares of common stock at a price of $10.00 per share, less certain underwriting discounts and commissions. On February 4, 2021, the Company closed on the sale of an additional 810,000 shares of common stock on the same terms and conditions pursuant to the exercise of the underwriters’ over-allotment option.</w:t>
      </w:r>
    </w:p>
    <w:p>
      <w:pPr>
        <w:spacing w:after="0" w:line="9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February 19, 2021, the Company consummated a secondary public offering (the “February Offering”) of 5,555,555 shares of common stock for a price of $13.50 per share, less certain underwriting discounts and commissions. On March 22, 2021, the Company closed on the sale of an additional 833,333 shares of common stock on the same terms and conditions pursuant to the exercise of the underwriters’ over-allotment option. See Note 13 — Capital Structure for additional details.</w:t>
      </w:r>
    </w:p>
    <w:p>
      <w:pPr>
        <w:spacing w:after="0" w:line="11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September 14, 2021, the Company entered into a letter agreement and waiver (the “Letter Agreement”), to amend the terms of its underwriting agreement with the representative of the underwriters in the IPO. Pursuant to the Letter Agreement, the representative agreed to waive the right of first refusal included in the underwriting agreement in consideration of (i) a cash payment to the representative of $2,400 and (ii) the right to participate as a co-manager with ten percent (10%) of the economics with respect to the Company’s next public offering of securities, payable in cash upon the closing of such offering.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(“COVID-19”) Pandemic</w:t>
      </w:r>
    </w:p>
    <w:p>
      <w:pPr>
        <w:spacing w:after="0" w:line="16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coronavirus was first identified in people in late 2019. COVID-19 spread rapidly throughout the world and, in March 2020, the World Health Organization characterized COVID-19 as a pandemic. COVID-19 is a pandemic of respiratory disease spreading from person-to-person that poses a serious public health risk. It has significantly disrupted supply chains and businesses around the world. The extent and duration of the COVID-19 impact, on the operations and financial position of the Company and on the global economy, is uncertain. Uncertainty remains regarding the length of time it will take for the COVID-19 pandemic to subside, including the time it will take for vaccines to be broadly distributed and accepted in the United States and the rest of the world, and the effectiveness of such vaccines in slowing or stopping the spread of COVID-19 and mitigating the economic effects of the pandemic. The Company continues to service its customers amid uncertainty and disruption linked to COVID-19 and is actively managing its business to respond to the impact.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Preparation of Condensed Consolidated Financial Statements</w:t>
      </w:r>
    </w:p>
    <w:p>
      <w:pPr>
        <w:spacing w:after="0" w:line="162"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the Company’s Annual Report on Form 10-K for the year ended December 31, 2020 filed with the SEC, except for the recently adopted accounting pronouncements described below.</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7" w:name="page8"/>
    <w:bookmarkEnd w:id="7"/>
    <w:p>
      <w:pPr>
        <w:ind w:right="20" w:firstLine="324"/>
        <w:spacing w:after="0" w:line="289" w:lineRule="auto"/>
        <w:rPr>
          <w:sz w:val="20"/>
          <w:szCs w:val="20"/>
          <w:color w:val="auto"/>
        </w:rPr>
      </w:pPr>
      <w:r>
        <w:rPr>
          <w:rFonts w:ascii="Arial" w:cs="Arial" w:eastAsia="Arial" w:hAnsi="Arial"/>
          <w:sz w:val="16"/>
          <w:szCs w:val="16"/>
          <w:color w:val="auto"/>
        </w:rPr>
        <w:t>The condensed consolidated statements of operations and stockholders’ equity for the three and nine months ended September 30, 2021 and 2020, and cash flows for the nine months ended September 30, 2021 and 2020, and the condensed consolidated balance sheet as of September 30, 2021, are not audited but reflect all adjustments that are of a normal recurring nature and that are considered necessary for a fair presentation of the results for the periods shown. The condensed consolidated balance sheet as of December 31, 2020 is derived from the audited consolidated financial statements presented in the Company’s Annual Report on Form 10-K for the year ended December 31, 2020. Certain information and disclosures normally included in annual consolidated financial statements have been omitted 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the Company’s Annual Report on Form 10-K for the year ended December 31, 2020 filed with the SEC on April 2, 2021. The results for interim periods are not necessarily indicative of a full year’s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Wholly-Owned Subsidiaries</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accompanying consolidated financial statements include the accounts of Agrify Corporation and its wholly-owned subsidiaries, AGM Service Corp LLC, TriGrow Systems, LLC, Harbor Mountain Holdings, LLC, Ariafy Finance, LLC, and Agxion, LLC,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Joint-Venture Subsidiary</w:t>
      </w:r>
    </w:p>
    <w:p>
      <w:pPr>
        <w:spacing w:after="0" w:line="229" w:lineRule="exact"/>
        <w:rPr>
          <w:sz w:val="20"/>
          <w:szCs w:val="20"/>
          <w:color w:val="auto"/>
        </w:rPr>
      </w:pPr>
    </w:p>
    <w:p>
      <w:pPr>
        <w:ind w:right="220" w:firstLine="324"/>
        <w:spacing w:after="0" w:line="270" w:lineRule="auto"/>
        <w:rPr>
          <w:sz w:val="20"/>
          <w:szCs w:val="20"/>
          <w:color w:val="auto"/>
        </w:rPr>
      </w:pPr>
      <w:r>
        <w:rPr>
          <w:rFonts w:ascii="Arial" w:cs="Arial" w:eastAsia="Arial" w:hAnsi="Arial"/>
          <w:sz w:val="17"/>
          <w:szCs w:val="17"/>
          <w:color w:val="auto"/>
        </w:rPr>
        <w:t>For the Company’s less than wholly-owned subsidiaries, Agrify-Valiant, LLC, Agrify Brands, LLC, and Teejan Podponics International LLC, the Company first analyzes whether these entities are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8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Based on the Company’s analysis for these entities, the Company has determined that Agrify-Valiant, LLC and Agrify Brands, LLC are each a VIE and that the Company is the primary beneficiary. While the Company owns 60% of Agrify-Valiant, LLC’s equity interests and 75% of Agrify Brands, LLC’s equity interests, the remaining equity interests in Agrify-Valiant, LLC and Agrify Brands, LLC are owned by unrelated third parties, and the agreement with these third parties provides the Company with greater voting rights. Accordingly, the Company consolidates the financial statements of Agrify-Valiant,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and its Subsidiaries, fiscal year ends on December 31 of each year.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of September 30, 2021 and December 31, 2020.</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Goodwill is defined as the excess of cost over the fair value of assets acquired and liabilities assumed in a business combination. The Company tests goodwill at the reporting unit level annually as of November 2 or on an as needed basis, for indicators of impairment at each reporting unit that has recorded goodwill. In performing the test, the Company either uses a qualitative assessment or a single step quantitative approach. Under the qualitative approach the Company considers a number of factors, including the amount by which the previous quantitative test’s fair value exceeded the carrying value of the reporting units, actual performance as compared to internal forecasts used in the previous quantitative test, an evaluation of discount rates, and an evaluation of current economic factors for both the worldwide economy and specifically the oil and gas industry, and any significant changes in customer and supplier relationships. The Company weighs these factors to determine if it is more likely than not that the fair value of the reporting unit exceeds its carrying value. If after performing a qualitative assessment, indicators are present, or the Company identifies factors that cause the Company to believe it is appropriate to perform a more precise calculation of fair value, the Company would move beyond the qualitative assessment and perform a quantitative impairment test.</w:t>
      </w:r>
    </w:p>
    <w:p>
      <w:pPr>
        <w:spacing w:after="0" w:line="18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Under the quantitative impairment test, the Company performs a comparison of the reporting unit’s carrying value to its fair value. The Company estimates the fair value of a reporting unit based upon future net discounted cash flows (Level 3 measurement). In calculating these estimates, the Company develops a discounted cash flow model based on forecasted operating results, discount rates, and growth rates, which contemplate business, market and overall economic conditions. Further, the discount rates used require estimates of the cost of equity and debt financing. The estimates of fair value of these reporting units could change if actual operating results or discount rates vary from these estimates. The Company performed sensitivity analyses on the fair values resulting from the discounted cash flows valuation utilizing more conservative assumptions that reflect reasonably likely future changes in the discount rates and perpetual growth rate in each of the reporting units. Based upon the Company’s 2020 annual impairment testing analyses, including the consideration of reasonably likely adverse changes in assumptions described above, the Company determined that there have been no goodwill impairments to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primarily consist of cash and accounts receivable. The Company places its cash with financial institutions in the United States. The cash balances are insured by the FDIC up to $250 per depositor with unlimited insurance for funds in noninterest-bearing transaction accounts through September 30, 2021. At times, the amounts in these accounts may exceed the federally insured limits.</w:t>
      </w:r>
    </w:p>
    <w:p>
      <w:pPr>
        <w:spacing w:after="0" w:line="187"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7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For the three months and nine months ended September 30, 2021, five customers accounted for 94.4% and three customers accounted for 78.4% of revenue, respectively. For the three months and nine months ended September 30, 2020, three customers accounted for 91% and 77.8% of revenue, respectively. At September 30, 2021 and 2020, two customers accounted for 84.6% and one customer accounted for 78.4% of accounts receivable,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Company expenses research and development costs as incurred. During the three and nine months ended September 30, 2020, the Company expensed $34 and $739, respectively, related to the development of hardware solution for deployment of the rapid grow solution. During the three months ended September 30, 2020, the Company expensed additional costs of $107 related to the research and development facility.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Charges</w:t>
      </w:r>
    </w:p>
    <w:p>
      <w:pPr>
        <w:spacing w:after="0" w:line="22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June 2016, the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loans, held-to-maturity debt securities, and net investments in leases. In November 2019, the FASB issued ASU No. 2019-10, changing effective dates for the new standards to give implementation relief to certain types of entities. The Company is required to adopt the new standards no later than January 1, 2023 according to ASU 2019-10, with early adoption allowed. The adoption of this new accounting guidance had no impact on the Company’s consolidated financial position.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713" w:gutter="0" w:footer="0" w:header="0"/>
        </w:sectPr>
      </w:pPr>
    </w:p>
    <w:bookmarkStart w:id="9" w:name="page10"/>
    <w:bookmarkEnd w:id="9"/>
    <w:p>
      <w:pPr>
        <w:ind w:right="60" w:firstLine="324"/>
        <w:spacing w:after="0" w:line="289" w:lineRule="auto"/>
        <w:rPr>
          <w:sz w:val="20"/>
          <w:szCs w:val="20"/>
          <w:color w:val="auto"/>
        </w:rPr>
      </w:pPr>
      <w:r>
        <w:rPr>
          <w:rFonts w:ascii="Arial" w:cs="Arial" w:eastAsia="Arial" w:hAnsi="Arial"/>
          <w:sz w:val="16"/>
          <w:szCs w:val="16"/>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generates revenue from the following sources: (1) equipment sales, (2) services sales and (3) construction contracts.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sells its equipment and services to customers under a combination of a contract and purchase order. Equipment revenue includes sales from proprietary products designed and engineered by the Company such as Agrify Vertical Farming Units (“AVFUs”), container farms, integrated grow racks, and LED grow lights, and non-proprietary products designed, engineered, and manufactured by third parties such as air cleaning systems and pesticide-free surface protection.</w:t>
      </w:r>
    </w:p>
    <w:p>
      <w:pPr>
        <w:spacing w:after="0" w:line="18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other expenses, including materials, as incurred at rates agreed to in the contract. The Company uses two main sub-contractors to execute the construction contracts.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Transferred over time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12,994</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2,669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30,474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3,019</w:t>
            </w:r>
          </w:p>
        </w:tc>
      </w:tr>
      <w:tr>
        <w:trPr>
          <w:trHeight w:val="248"/>
        </w:trPr>
        <w:tc>
          <w:tcPr>
            <w:tcW w:w="59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Company generally provides a one-year warranty on its products for materials and workmanship but may provide multiple year warranties as negotiated, and will pass on the warranties from its vendors, if any, which generally covers this one-year period. In accordance with ASC 450-20-25, the Company accrues for product warranties when the loss is probable and can be reasonably estimated. At September 30, 2021, the Company has no product warranty accrual given the Company’s de minimis historical financial warranty experience.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 Fair Value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Assets and Liabilities</w:t>
      </w:r>
    </w:p>
    <w:p>
      <w:pPr>
        <w:spacing w:after="0" w:line="225"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3" w:lineRule="exact"/>
        <w:rPr>
          <w:sz w:val="20"/>
          <w:szCs w:val="20"/>
          <w:color w:val="auto"/>
        </w:rPr>
      </w:pPr>
    </w:p>
    <w:p>
      <w:pPr>
        <w:ind w:left="980" w:right="260" w:hanging="647"/>
        <w:spacing w:after="0" w:line="250" w:lineRule="auto"/>
        <w:rPr>
          <w:sz w:val="20"/>
          <w:szCs w:val="20"/>
          <w:color w:val="auto"/>
        </w:rPr>
      </w:pPr>
      <w:r>
        <w:rPr>
          <w:rFonts w:ascii="Arial" w:cs="Arial" w:eastAsia="Arial" w:hAnsi="Arial"/>
          <w:sz w:val="18"/>
          <w:szCs w:val="18"/>
          <w:color w:val="auto"/>
        </w:rPr>
        <w:t>Level 2: Other inputs that are observable directly or indirectly, such as quoted prices for similar instruments in active markets or for similar markets that are not active.</w:t>
      </w:r>
    </w:p>
    <w:p>
      <w:pPr>
        <w:spacing w:after="0" w:line="1" w:lineRule="exact"/>
        <w:rPr>
          <w:sz w:val="20"/>
          <w:szCs w:val="20"/>
          <w:color w:val="auto"/>
        </w:rPr>
      </w:pPr>
    </w:p>
    <w:p>
      <w:pPr>
        <w:ind w:left="980" w:right="80" w:hanging="647"/>
        <w:spacing w:after="0" w:line="260" w:lineRule="auto"/>
        <w:rPr>
          <w:sz w:val="20"/>
          <w:szCs w:val="20"/>
          <w:color w:val="auto"/>
        </w:rPr>
      </w:pPr>
      <w:r>
        <w:rPr>
          <w:rFonts w:ascii="Arial" w:cs="Arial" w:eastAsia="Arial" w:hAnsi="Arial"/>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0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September 30, 2021 and December 31, 2020, the Company’s assets and liabilities measured at fair value on a recurring basis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color w:val="auto"/>
                <w:w w:val="89"/>
              </w:rPr>
              <w:t>September 30, 2021</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color w:val="auto"/>
                <w:w w:val="89"/>
              </w:rPr>
              <w:t>December 31, 2020</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9"/>
          </w:tcPr>
          <w:p>
            <w:pPr>
              <w:jc w:val="center"/>
              <w:ind w:left="470"/>
              <w:spacing w:after="0"/>
              <w:rPr>
                <w:sz w:val="20"/>
                <w:szCs w:val="20"/>
                <w:color w:val="auto"/>
              </w:rPr>
            </w:pPr>
            <w:r>
              <w:rPr>
                <w:rFonts w:ascii="Arial" w:cs="Arial" w:eastAsia="Arial" w:hAnsi="Arial"/>
                <w:sz w:val="18"/>
                <w:szCs w:val="18"/>
                <w:color w:val="auto"/>
                <w:w w:val="90"/>
              </w:rPr>
              <w:t>Fair Value Measurements Using Input Types</w:t>
            </w:r>
          </w:p>
        </w:tc>
        <w:tc>
          <w:tcPr>
            <w:tcW w:w="7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9"/>
          </w:tcPr>
          <w:p>
            <w:pPr>
              <w:jc w:val="center"/>
              <w:ind w:left="450"/>
              <w:spacing w:after="0"/>
              <w:rPr>
                <w:sz w:val="20"/>
                <w:szCs w:val="20"/>
                <w:color w:val="auto"/>
              </w:rPr>
            </w:pPr>
            <w:r>
              <w:rPr>
                <w:rFonts w:ascii="Arial" w:cs="Arial" w:eastAsia="Arial" w:hAnsi="Arial"/>
                <w:sz w:val="18"/>
                <w:szCs w:val="18"/>
                <w:color w:val="auto"/>
                <w:w w:val="90"/>
              </w:rPr>
              <w:t>Fair Value Measurements Using Input Types</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Level 3</w:t>
            </w:r>
          </w:p>
        </w:tc>
        <w:tc>
          <w:tcPr>
            <w:tcW w:w="28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Level 3</w:t>
            </w:r>
          </w:p>
        </w:tc>
        <w:tc>
          <w:tcPr>
            <w:tcW w:w="3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Mutual funds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cash</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cash</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Held to maturity</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180"/>
              <w:spacing w:after="0"/>
              <w:rPr>
                <w:sz w:val="20"/>
                <w:szCs w:val="20"/>
                <w:color w:val="auto"/>
              </w:rPr>
            </w:pPr>
            <w:r>
              <w:rPr>
                <w:rFonts w:ascii="Arial" w:cs="Arial" w:eastAsia="Arial" w:hAnsi="Arial"/>
                <w:sz w:val="18"/>
                <w:szCs w:val="18"/>
                <w:color w:val="auto"/>
              </w:rPr>
              <w:t>securities-current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47,818</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47,818</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16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Total held to</w:t>
            </w: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securities-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103,698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Held to maturity</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80"/>
              <w:spacing w:after="0"/>
              <w:rPr>
                <w:sz w:val="20"/>
                <w:szCs w:val="20"/>
                <w:color w:val="auto"/>
              </w:rPr>
            </w:pPr>
            <w:r>
              <w:rPr>
                <w:rFonts w:ascii="Arial" w:cs="Arial" w:eastAsia="Arial" w:hAnsi="Arial"/>
                <w:sz w:val="18"/>
                <w:szCs w:val="18"/>
                <w:color w:val="auto"/>
              </w:rPr>
              <w:t>securities-non-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18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16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Total held to</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80"/>
              <w:spacing w:after="0"/>
              <w:rPr>
                <w:sz w:val="20"/>
                <w:szCs w:val="20"/>
                <w:color w:val="auto"/>
              </w:rPr>
            </w:pPr>
            <w:r>
              <w:rPr>
                <w:rFonts w:ascii="Arial" w:cs="Arial" w:eastAsia="Arial" w:hAnsi="Arial"/>
                <w:sz w:val="18"/>
                <w:szCs w:val="18"/>
                <w:color w:val="auto"/>
              </w:rPr>
              <w:t>maturity</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180"/>
              <w:spacing w:after="0"/>
              <w:rPr>
                <w:sz w:val="20"/>
                <w:szCs w:val="20"/>
                <w:color w:val="auto"/>
              </w:rPr>
            </w:pPr>
            <w:r>
              <w:rPr>
                <w:rFonts w:ascii="Arial" w:cs="Arial" w:eastAsia="Arial" w:hAnsi="Arial"/>
                <w:sz w:val="18"/>
                <w:szCs w:val="18"/>
                <w:color w:val="auto"/>
              </w:rPr>
              <w:t>securities- non -</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180"/>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6,253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Loan receivable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13,092</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13,092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62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109,951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13,092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123,043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Notes payables, net</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180"/>
              <w:spacing w:after="0"/>
              <w:rPr>
                <w:sz w:val="20"/>
                <w:szCs w:val="20"/>
                <w:color w:val="auto"/>
              </w:rPr>
            </w:pPr>
            <w:r>
              <w:rPr>
                <w:rFonts w:ascii="Arial" w:cs="Arial" w:eastAsia="Arial" w:hAnsi="Arial"/>
                <w:sz w:val="18"/>
                <w:szCs w:val="18"/>
                <w:color w:val="auto"/>
              </w:rPr>
              <w:t>of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12,493</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Long term debt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2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833</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829</w:t>
            </w: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1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20,463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9</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has certain financial instruments which consist of cash and cash equivalents, marketable securities, accounts receivable, loan receivable, accounts payable, notes payable, derivative liabilities, deferred revenue and long-term debt. Fair value information for each of these instruments is as follows:</w:t>
      </w:r>
    </w:p>
    <w:p>
      <w:pPr>
        <w:spacing w:after="0" w:line="184" w:lineRule="exact"/>
        <w:rPr>
          <w:sz w:val="20"/>
          <w:szCs w:val="20"/>
          <w:color w:val="auto"/>
        </w:rPr>
      </w:pPr>
    </w:p>
    <w:p>
      <w:pPr>
        <w:ind w:left="1140" w:right="20" w:hanging="565"/>
        <w:spacing w:after="0" w:line="258"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accounts receivable, accounts payable and deferred revenue liabilities fair values approximate their carrying values, due to the expected duration of these instruments.</w:t>
      </w:r>
    </w:p>
    <w:p>
      <w:pPr>
        <w:spacing w:after="0" w:line="1" w:lineRule="exact"/>
        <w:rPr>
          <w:rFonts w:ascii="Arial" w:cs="Arial" w:eastAsia="Arial" w:hAnsi="Arial"/>
          <w:sz w:val="18"/>
          <w:szCs w:val="18"/>
          <w:color w:val="auto"/>
        </w:rPr>
      </w:pPr>
    </w:p>
    <w:p>
      <w:pPr>
        <w:ind w:left="1140" w:right="260" w:hanging="565"/>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Marketable securities classified as held to maturity, both current and non-current, are recorded at amortized cost, which at September 30, 2021, approximated fair value.</w:t>
      </w: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Loan receivable is recorded at amounts borrowed, which at September 30, 2021, approximated fair value.</w:t>
      </w:r>
    </w:p>
    <w:p>
      <w:pPr>
        <w:spacing w:after="0" w:line="9" w:lineRule="exact"/>
        <w:rPr>
          <w:rFonts w:ascii="Arial" w:cs="Arial" w:eastAsia="Arial" w:hAnsi="Arial"/>
          <w:sz w:val="18"/>
          <w:szCs w:val="18"/>
          <w:color w:val="auto"/>
        </w:rPr>
      </w:pPr>
    </w:p>
    <w:p>
      <w:pPr>
        <w:ind w:left="1140" w:right="100" w:hanging="565"/>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had certain derivative instruments accounted for at fair value. The Company held a convertible promissory note with a preferential conversion feature which qualifies as a derivative instrument. The fair value assumptions consider the nature of the conversion feature and the expected timeline to a qualifying conversion event.</w:t>
      </w:r>
    </w:p>
    <w:p>
      <w:pPr>
        <w:spacing w:after="0" w:line="1" w:lineRule="exact"/>
        <w:rPr>
          <w:rFonts w:ascii="Arial" w:cs="Arial" w:eastAsia="Arial" w:hAnsi="Arial"/>
          <w:sz w:val="18"/>
          <w:szCs w:val="18"/>
          <w:color w:val="auto"/>
        </w:rPr>
      </w:pPr>
    </w:p>
    <w:p>
      <w:pPr>
        <w:ind w:left="1140" w:right="140" w:hanging="565"/>
        <w:spacing w:after="0" w:line="255"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borrowings of $833 and $829 as of September 30, 2021 and December 31, 2020, respectively. The fair value of these borrowings, which are classified as Level 3, approximates their carrying value at September 30, 2021 as the instrument carries a fixed rate of interest.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of September 30, 2021, the Company held investments in mutual funds, municipal bonds and corporate bonds. The mutual funds are recorded at fair value in the accompanying consolidated balance sheet as part of cash and cash equivalents. The municipal and corporate bonds are considered held-to-maturity and are recorded at amortized cost in the accompanying consolidated balance sheet. The fair values of these investments were estimated using recently executed transactions and market price quotations. The Company considers current assets those investments which will mature within the next 12 months including interest receivable on the long-term bonds. The remaining investments are considered non-current assets that the Company intends to hold longer than 12 months.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Company’s cash and cash equivalents and marketable securities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4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deposits</w:t>
            </w:r>
          </w:p>
        </w:tc>
        <w:tc>
          <w:tcPr>
            <w:tcW w:w="472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Mutual funds</w:t>
            </w:r>
          </w:p>
        </w:tc>
        <w:tc>
          <w:tcPr>
            <w:tcW w:w="4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41,437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4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vMerge w:val="continue"/>
            <w:shd w:val="clear" w:color="auto" w:fill="CCEEFF"/>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41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marketable securities:</w:t>
            </w:r>
          </w:p>
        </w:tc>
        <w:tc>
          <w:tcPr>
            <w:tcW w:w="4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Municipal bonds</w:t>
            </w:r>
          </w:p>
        </w:tc>
        <w:tc>
          <w:tcPr>
            <w:tcW w:w="4720" w:type="dxa"/>
            <w:vAlign w:val="bottom"/>
            <w:gridSpan w:val="2"/>
          </w:tcPr>
          <w:p>
            <w:pPr>
              <w:ind w:left="4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14,443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4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47,818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current marketable securities</w:t>
            </w:r>
          </w:p>
        </w:tc>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80" w:type="dxa"/>
            <w:vAlign w:val="bottom"/>
            <w:vMerge w:val="continue"/>
          </w:tcPr>
          <w:p>
            <w:pPr>
              <w:spacing w:after="0"/>
              <w:rPr>
                <w:sz w:val="24"/>
                <w:szCs w:val="24"/>
                <w:color w:val="auto"/>
              </w:rPr>
            </w:pPr>
          </w:p>
        </w:tc>
        <w:tc>
          <w:tcPr>
            <w:tcW w:w="44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62,261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180" w:type="dxa"/>
            <w:vAlign w:val="bottom"/>
            <w:tcBorders>
              <w:top w:val="single" w:sz="8" w:color="CCEEFF"/>
            </w:tcBorders>
            <w:shd w:val="clear" w:color="auto" w:fill="CCEEFF"/>
          </w:tcPr>
          <w:p>
            <w:pPr>
              <w:spacing w:after="0"/>
              <w:rPr>
                <w:sz w:val="24"/>
                <w:szCs w:val="24"/>
                <w:color w:val="auto"/>
              </w:rPr>
            </w:pPr>
          </w:p>
        </w:tc>
        <w:tc>
          <w:tcPr>
            <w:tcW w:w="448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Non-current marketable securities:</w:t>
            </w: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Corporate bonds</w:t>
            </w:r>
          </w:p>
        </w:tc>
        <w:tc>
          <w:tcPr>
            <w:tcW w:w="44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non-current marketable securities</w:t>
            </w:r>
          </w:p>
        </w:tc>
        <w:tc>
          <w:tcPr>
            <w:tcW w:w="4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vMerge w:val="continue"/>
            <w:shd w:val="clear" w:color="auto" w:fill="CCEEFF"/>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285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amortized cost and estimated fair value of held-to-maturity securities as of September 30,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92"/>
              </w:rPr>
              <w:t>Unrealized</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0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Current marketable securities (due within 1 year)</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47,818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47,772</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Non-current marketable securities (due in 1 year through 5 years)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24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 Receivable</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 portion of the capital raised from the Company’s 2021 public offering has been allocated to launch Agrify’s total turnkey (the “Agrify TTK Solution”) program, the industry’s first end-to-end solution for the Company’s customers that provides access to capital for construction costs, equipment lease(s) to AVFUs and other related operating equipment, subscription to the Company’s Agrify™ Insights software, and business consultation services, which will enable the Company’s customers to go to market sooner.</w:t>
      </w:r>
    </w:p>
    <w:p>
      <w:pPr>
        <w:spacing w:after="0" w:line="18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Company’s initial investment in the Agrify TTK Solution is currently capped at $50 million as approved by the Company’s Board of Directors. As of September 30, 2021, the Company has committed $9,933 to the Agrify TTK Solution for five customers under contract and $3,159 to one customer under a non-TTK contract.</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loan agreements entered into with customers receiving the Agrify TTK Solution generally provide for loans ranging from approximately $200 up to $13,500 with maturity dates of approximately two to three years after the commencement of the first commercial harvest of cannabis from the AVFUs and an interest rate of approximately 20% per annum.</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breakdown of Loans Receivable by Company as of September 30, 2021 and December 31, 2020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Company A – Agrify TTK Solution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Company B – Agrify TTK Solution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3,217</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Company C – Agrify TTK Solution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Company D – Agrify TTK Solution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Company E – Agrify TTK Solution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Company F – Non-TTK Solution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3,159</w:t>
            </w: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analyzed whether any of the above customers are a variable interest entity (a “VIE”) in accordance with ASC 810 and if so, whether the Company is the primary beneficiary requiring consolidation. Based on the Company’s analysis, the Company has determined that Company B is a VIE. Two of the Company’s employees own 36.6% of Company B equity but since the Company is not the primary beneficiary of Company B, the Company is not required to consolidate Company B.</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Receivables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Receivables consisted of the following as of September 30,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tcPr>
          <w:p>
            <w:pPr>
              <w:spacing w:after="0"/>
              <w:rPr>
                <w:sz w:val="20"/>
                <w:szCs w:val="20"/>
                <w:color w:val="auto"/>
              </w:rPr>
            </w:pPr>
          </w:p>
        </w:tc>
        <w:tc>
          <w:tcPr>
            <w:tcW w:w="5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Prepaid materials</w:t>
            </w:r>
          </w:p>
        </w:tc>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Prepaid insurance</w:t>
            </w: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Prepaid marketing</w:t>
            </w:r>
          </w:p>
        </w:tc>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Prepaid software</w:t>
            </w: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Other receivables</w:t>
            </w:r>
          </w:p>
        </w:tc>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8"/>
        </w:trPr>
        <w:tc>
          <w:tcPr>
            <w:tcW w:w="3440" w:type="dxa"/>
            <w:vAlign w:val="bottom"/>
            <w:tcBorders>
              <w:top w:val="single" w:sz="8" w:color="CCEEFF"/>
              <w:bottom w:val="single" w:sz="8" w:color="CCEEFF"/>
            </w:tcBorders>
            <w:shd w:val="clear" w:color="auto" w:fill="CCEEFF"/>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4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8 — 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w w:val="98"/>
              </w:rPr>
              <w:t>Property and equipment, net consisted of the following as of September 30, 2021 and December 31,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Vehicles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Leased equipment at customer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property and equipment,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2,664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1,084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2,043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Depreciation expense for the three months ended September 30, 2021 and 2020 was $139 and $62, respectively, and $337 and $100 during the nine months ended September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Capitalized Website Costs, Net</w:t>
      </w:r>
    </w:p>
    <w:p>
      <w:pPr>
        <w:spacing w:after="0" w:line="229"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Investments in the Company’s website are amortized over their estimated useful lives of 3 years. As of September 30, 2021 and December 31, 2020, amortizable website cost was $139, and accumulated amortization was $79 and $48, respectively. Amortization expense was $10 and $12 for the three months ended September 30, 2021 and 2020, respectively, and $31 and $32 for the nine months ended September 30, 2021 and 2020,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Intangible Assets and Goodwill</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Acquired 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an impairment test of goodwill during the fourth quarter of each year or sooner, if indicators of potential impairment arise. There were no such indicators in the three and nine months ended September 30,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breakdown of acquisition-related intangible assets as of September 30, 2021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Brand</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Customer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Rights</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Relationships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breakdown of acquisition-related intangible assets as of December 31, 2020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Brand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Customer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Rights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Relationships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930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w:t>
            </w: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842</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Amortization expenses recorded in selling, general and administrative in the condensed consolidated statements of operations were $47 and $46 for the three months ended September 30, 2021 and 2020, respectively, and $141 and $129 during the nine months ended September 30, 2021 and 2020,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w w:val="93"/>
              </w:rPr>
              <w:t>Estimated amortization expense for the remainder of 2021 and subsequent years for acquired intangible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 and thereafter</w:t>
            </w: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Goodwill balance as of September 30, 2021 and December 31, 2020 was $632.</w:t>
            </w: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11 — Accrued Expenses and Other 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rPr>
              <w:t>Accrued expenses consisted of the following as of September 30, 2021 and December 31,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construction costs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consulting fees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Compensation related fees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 purchases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Convertible Promissory Notes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January 11, 2021, the Company’s Board of Directors and shareholders approved the amendment to the conversion formula of the Convertible Promissory Notes (the “Notes”) issued by the Company on dates between August 2020 and November 2020. Pursuant to the amendment, immediately prior to the consummation of a public transaction, the outstanding principal amount of the Notes, together with all accrued and unpaid interest, shall convert into a number of fully paid and non-assessable shares of common stock, at a conversion price of $7.72.</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While the original conversion feature was bifurcated from the host instrument, the Company determined that the amended conversion feature would not require bifurcation. Since the accounting for the conversion feature changed because of the amendment, the Company applied extinguishment accounting pursuant to its accounting policy. Accordingly, the Company recognized a gain on extinguishment of $2,685 in connection with the derecognition of the net carrying amount of the extinguished debt of $19,654 (inclusive of $13,100 of principal, $7,141 of derivative liabilities, less $587 of debt discount) and the recognition of the $16,969 fair value of the new convertible notes (including the same principal amount of $13,100 plus the $3,869 fair value of the beneficial conversion feature).</w:t>
      </w:r>
    </w:p>
    <w:p>
      <w:pPr>
        <w:spacing w:after="0" w:line="19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On February 1, 2021, in conjunction with the closing of the Company’s IPO, the Notes in the aggregate principal amount of $13,100 were converted into 1,697,075 shares of common stock at the election of the Company at a conversion price of $7.72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Capital Structure</w:t>
      </w:r>
    </w:p>
    <w:p>
      <w:pPr>
        <w:spacing w:after="0" w:line="22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 Preferred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Beginning in the first quarter of 2020, the Company issued an aggregate of 60,000 shares of Series A Preferred Stock, for an aggregate purchase price of $6 million. In May 2020, the Company completed an offering of Series A Preferred Stock with the issuance of an additional 40,000 shares of Series A Preferred Stock for an aggregate purchase price of $4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Amendment of Conversion Formulas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11, 2021, the Company’s Board of Directors approved the amendment to the conversion formula of the Series A Preferred Stock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After the amendment:</w:t>
      </w:r>
    </w:p>
    <w:p>
      <w:pPr>
        <w:spacing w:after="0" w:line="211" w:lineRule="exact"/>
        <w:rPr>
          <w:sz w:val="20"/>
          <w:szCs w:val="20"/>
          <w:color w:val="auto"/>
        </w:rPr>
      </w:pPr>
    </w:p>
    <w:p>
      <w:pPr>
        <w:ind w:left="660" w:right="2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 and</w:t>
      </w:r>
    </w:p>
    <w:p>
      <w:pPr>
        <w:spacing w:after="0" w:line="18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immediately prior to the consummation of a public transaction, the outstanding principal amount of the Notes together with all accrued and unpaid interest shall convert into a number of fully paid and non-assessable shares of common stock equal to the quotient of (i) the outstanding principal amount of the Notes together with all accrued and unpaid interest thereunder immediately prior to such public transaction divided by (ii) a conversion price of $7.72 (after the reverse split taking effect).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11, 2021, the Company’s shareholders approved the amendment to the Series A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February 1, 2021, the Company completed an initial public offering (“IPO”) for the sale of 5,400,000 shares of common stock at a price of $10.00 per share. The Company also granted the underwriters: (a) a 45-day option to purchase up to 810,000 additional shares of common stock on the same terms and conditions for the purpose of covering any over-allotments in connection with the IPO, and (b) warrants to purchase 162,000 shares of common stock (equal to 3% of the aggregate number of shares of common stock issued in the IPO) at an exercise price of $12.50 per share (which is equal to 125% of the IPO price). Subsequently, the underwriters exercised the over-allotment option, and on February 4, 2021, the Company closed on the sale of an additional 810,000 shares of common stock for a price of $10.00 per share and granted to the underwriters warrants to purchase 24,300 additional shares of common stock (equal to 3% of the amount of shares issued as part of the exercised of the over-allotment option) at an exercise price of $12.50 per share. The exercise of the over-allotment option brought the total number of shares of common stock sold by the Company in connection with the IPO to 6,210,000 shares and the total net proceeds received in connection with the IPO to approximately $57 million, after deducting underwriting discounts and estimated offering expenses.</w:t>
      </w:r>
    </w:p>
    <w:p>
      <w:pPr>
        <w:spacing w:after="0" w:line="18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Immediately prior to the closing of the Company’s IPO, all outstanding shares of Series A Preferred Stock and Notes were converted into 1,373,038 shares of common stock and 1,697,075 shares of common stock, respectively, at a conversion price of $7.72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 in Connection with the Acquisition of HMH</w:t>
      </w:r>
    </w:p>
    <w:p>
      <w:pPr>
        <w:spacing w:after="0" w:line="229"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On September 20, 2021, as part of the acquisition of HMH, the Company issued an aggregate of 8,000 shares of common stock to an executive of HMH for achieving certain milestones from the acquisition date through March 31, 2021. The common shares were valued at $176 based on the Company’s Stock Price at closing September 20, 2021. The value of the shares is included in research and development in the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Public Offering</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February 19, 2021, the Company consummated a secondary public offering (the “February Offering”) for the sale of 5,555,555 shares of common stock for a price of $13.50 per share. The Company also granted the underwriters: (a) a 45-day option to purchase up to 833,333 additional shares of common stock on the same terms and conditions for the purpose of covering any over-allotments in connection with the February Offering, and (b) warrants to purchase 166,667 shares of common stock (equal to 3% of the aggregate number of shares of common stock issued in the February Offering) at an exercise price of $16.875 per share (which is equal to 125% of the February Offering). Subsequently, the underwriters exercised the over-allotment option, and on March 22, 2021, the Company closed on the sale of an additional 833,333 shares of common stock for a price of $13.50 per share and granted to the underwriters warrants to purchase 25,000 additional shares of common stock (equal to 3% of the amount of shares issued as part of the exercised of the over-allotment option) at an exercise price of $16.875 per share. The exercise of the over-allotment option brought the total number of shares of common stock sold by the Company in connection with the February Offering to 6,388,888 shares and the total net proceeds received in connection with the February Offering to approximately $80 million, after deducting underwriting discounts and estimated offering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On September 4, 2019, the Company adopted and approved the 2019 Stock Option Plan (the “2019 Plan”) which provided for the issuance of 1,743,744 shares of its common stock. On August 10, 2020 and October 8, 2020, the Company’s board of directors and stockholders, respectively, approved an increase to the maximum number of shares of common stock authorized for issuance over the term of the 2019 Plan from 1,743,744 shares to 3,355,083 shares. As of September 30, 2021, there are no shares available to be granted under the 2019 Plan. Prior to the consummation of the Company’s IPO, the Company cancelled the 2019 Plan and converted these stock options to the 2020 Plan, as more fully described below. Under the 2019 Plan, the standard vesting schedule provided that 25% of the options vest 12 months following issuance and the balance vests in 36 equal monthly installments thereafter. However, the Company’s board of directors was permitted to provide for alternative or accelerated vesting schedules in approving each stock option grant. In many cases, the Company’s board of directors included an accelerated vesting schedule under which 50% of the stock options granted vest immediately prior to a change of control transaction or the Company’s first underwritten public offering.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929"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2020 Omnibus Equity Incentive Plan</w:t>
      </w:r>
    </w:p>
    <w:p>
      <w:pPr>
        <w:spacing w:after="0" w:line="229" w:lineRule="exact"/>
        <w:rPr>
          <w:sz w:val="20"/>
          <w:szCs w:val="20"/>
          <w:color w:val="auto"/>
        </w:rPr>
      </w:pPr>
    </w:p>
    <w:p>
      <w:pPr>
        <w:ind w:right="160" w:firstLine="324"/>
        <w:spacing w:after="0" w:line="284" w:lineRule="auto"/>
        <w:rPr>
          <w:sz w:val="20"/>
          <w:szCs w:val="20"/>
          <w:color w:val="auto"/>
        </w:rPr>
      </w:pPr>
      <w:r>
        <w:rPr>
          <w:rFonts w:ascii="Arial" w:cs="Arial" w:eastAsia="Arial" w:hAnsi="Arial"/>
          <w:sz w:val="16"/>
          <w:szCs w:val="16"/>
          <w:color w:val="auto"/>
        </w:rPr>
        <w:t>On December 18, 2020, the Company’s board of directors, and on January 11, 2021, the Company’s stockholders, adopted and approved the 2020 Omnibus Equity Incentive Plan (the “2020 Plan”), which replaced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The aggregate number of shares of common stock that may be reserved and available for grant and issuance under the 2020 Plan is 4,533,732 shares. Shares will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w:t>
      </w:r>
    </w:p>
    <w:p>
      <w:pPr>
        <w:spacing w:after="0" w:line="2" w:lineRule="exact"/>
        <w:rPr>
          <w:sz w:val="20"/>
          <w:szCs w:val="20"/>
          <w:color w:val="auto"/>
        </w:rPr>
      </w:pPr>
    </w:p>
    <w:p>
      <w:pPr>
        <w:ind w:right="220"/>
        <w:spacing w:after="0" w:line="209" w:lineRule="auto"/>
        <w:rPr>
          <w:sz w:val="20"/>
          <w:szCs w:val="20"/>
          <w:color w:val="auto"/>
        </w:rPr>
      </w:pPr>
      <w:r>
        <w:rPr>
          <w:rFonts w:ascii="Arial" w:cs="Arial" w:eastAsia="Arial" w:hAnsi="Arial"/>
          <w:sz w:val="18"/>
          <w:szCs w:val="18"/>
          <w:color w:val="auto"/>
        </w:rPr>
        <w:t>under the 2020 Plan. The 2020 Plan shall continue in effect, unless sooner terminated, until the tenth (10</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date on which it is adopted by the board of directors.</w:t>
      </w:r>
    </w:p>
    <w:p>
      <w:pPr>
        <w:spacing w:after="0" w:line="20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January 24, 2021, the Company’s Board of Directors approved grants of options to purchase an aggregate of 144,360 shares of common stock to its directors. The options will expire 10 years from the date of grant and have an exercise price per share of $4.86. 25% of the options vest 12 months following issuance and the balance vests in 36 equal monthly installments thereafter.</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February 17, 2021, the Company’s Board of Directors approved grants of options to purchase an aggregate of 1,050,000 shares of common stock to its directors and employees. The options will expire 10 years from the date of grant and have an exercise price per share of $13.84. The options vest in 36 equal monthly installments from the date of grant.</w:t>
      </w:r>
    </w:p>
    <w:p>
      <w:pPr>
        <w:spacing w:after="0" w:line="18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On February 18, 2021, the Company’s Board of Directors approved grants of options to purchase an aggregate of 10,000 shares of common stock to members of the Company’s Board of Advisors. The options will expire 10 years from the date of grant and have an exercise price per share of $14.49. The options were fully vested on the date of grant.</w:t>
      </w:r>
    </w:p>
    <w:p>
      <w:pPr>
        <w:spacing w:after="0" w:line="184"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On May 16, 2021, the Company’s Board of Directors approved grants of options to purchase an aggregate of 219,083 shares of common stock to its employees. The options will expire 10 years from the date of grant and have an exercise price per share of $7.68. 33.3% of the options vest 12 months following issuance and the balance vests in 24 equal monthly installments thereafter.</w:t>
      </w:r>
    </w:p>
    <w:p>
      <w:pPr>
        <w:spacing w:after="0" w:line="184"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Company’s stock option compensation expense was $941 and $200 for the three months ended September 30, 2021 and 2020, respectively, and $4,007 and $803 for the nine months ended September 30, 2021 and 2020, respectively. There was $8,696 of total unrecognized compensation cost related to unvested options granted under the Company’s options plans as of September 30, 2021. This stock option expense will be recognized through 2025.</w:t>
      </w:r>
    </w:p>
    <w:p>
      <w:pPr>
        <w:spacing w:after="0" w:line="149"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8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options granted during the nine months ended September 30,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80" w:type="dxa"/>
            <w:vAlign w:val="bottom"/>
          </w:tcPr>
          <w:p>
            <w:pPr>
              <w:jc w:val="right"/>
              <w:spacing w:after="0"/>
              <w:rPr>
                <w:sz w:val="20"/>
                <w:szCs w:val="20"/>
                <w:color w:val="auto"/>
              </w:rPr>
            </w:pPr>
            <w:r>
              <w:rPr>
                <w:rFonts w:ascii="Arial" w:cs="Arial" w:eastAsia="Arial" w:hAnsi="Arial"/>
                <w:sz w:val="18"/>
                <w:szCs w:val="18"/>
                <w:color w:val="auto"/>
              </w:rPr>
              <w:t>1.10% – 1.63%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0% Expected life (years)</w:t>
            </w:r>
          </w:p>
        </w:tc>
        <w:tc>
          <w:tcPr>
            <w:tcW w:w="528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8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there were 404,041 shares available to be granted under the Company’s 2020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889" w:gutter="0" w:footer="0" w:header="0"/>
        </w:sectPr>
      </w:pPr>
    </w:p>
    <w:bookmarkStart w:id="17" w:name="page18"/>
    <w:bookmarkEnd w:id="17"/>
    <w:p>
      <w:pPr>
        <w:ind w:left="340"/>
        <w:spacing w:after="0"/>
        <w:rPr>
          <w:sz w:val="20"/>
          <w:szCs w:val="20"/>
          <w:color w:val="auto"/>
        </w:rPr>
      </w:pPr>
      <w:r>
        <w:rPr>
          <w:rFonts w:ascii="Arial" w:cs="Arial" w:eastAsia="Arial" w:hAnsi="Arial"/>
          <w:sz w:val="16"/>
          <w:szCs w:val="16"/>
          <w:color w:val="auto"/>
        </w:rPr>
        <w:t>The following table presents option activity under the Company’s stock option plans for the nine months ended September 30, 2021 and 2020:</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Options outstanding at January 1,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Options outstanding at September 30, 2020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3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13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price</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value</w:t>
            </w: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493,102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3.16</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6"/>
        </w:trPr>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1,849,194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(495,155)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1"/>
        </w:trPr>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(156,289)</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1,690,852</w:t>
            </w:r>
          </w:p>
        </w:tc>
        <w:tc>
          <w:tcPr>
            <w:tcW w:w="220" w:type="dxa"/>
            <w:vAlign w:val="bottom"/>
          </w:tcPr>
          <w:p>
            <w:pPr>
              <w:spacing w:after="0"/>
              <w:rPr>
                <w:sz w:val="21"/>
                <w:szCs w:val="21"/>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2.31</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ind w:left="820"/>
              <w:spacing w:after="0" w:line="203" w:lineRule="exact"/>
              <w:rPr>
                <w:sz w:val="20"/>
                <w:szCs w:val="20"/>
                <w:color w:val="auto"/>
              </w:rPr>
            </w:pPr>
            <w:r>
              <w:rPr>
                <w:rFonts w:ascii="Arial" w:cs="Arial" w:eastAsia="Arial" w:hAnsi="Arial"/>
                <w:sz w:val="18"/>
                <w:szCs w:val="18"/>
                <w:color w:val="auto"/>
                <w:w w:val="88"/>
              </w:rPr>
              <w:t>—</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-916305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-633730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-359410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600" w:space="720"/>
            <w:col w:w="3920"/>
          </w:cols>
          <w:pgMar w:left="320" w:top="88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Options outstanding at January 1, 2021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3,133,109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1,420,017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(618,604)</w:t>
            </w:r>
          </w:p>
        </w:tc>
        <w:tc>
          <w:tcPr>
            <w:tcW w:w="4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(419,400)</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Expired</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(4,076)</w:t>
            </w:r>
          </w:p>
        </w:tc>
        <w:tc>
          <w:tcPr>
            <w:tcW w:w="4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3,511,046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w:t>
            </w:r>
          </w:p>
        </w:tc>
        <w:tc>
          <w:tcPr>
            <w:tcW w:w="620" w:type="dxa"/>
            <w:vAlign w:val="bottom"/>
            <w:tcBorders>
              <w:top w:val="single" w:sz="8" w:color="CCEEFF"/>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exercisable as of September 30, 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293,213</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6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Options vested and exercisable as of September 30, 2021</w:t>
            </w: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4.69</w:t>
            </w: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1,910,812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vested and exercisable at September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4"/>
              </w:rPr>
              <w:t>Options vested and exercisable</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88"/>
              </w:rPr>
              <w:t>Weighted average</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230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rPr>
              <w:t>Price</w:t>
            </w:r>
          </w:p>
        </w:tc>
        <w:tc>
          <w:tcPr>
            <w:tcW w:w="280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Number of</w:t>
            </w:r>
          </w:p>
        </w:tc>
        <w:tc>
          <w:tcPr>
            <w:tcW w:w="26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remaining contractual</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 average</w:t>
            </w:r>
          </w:p>
        </w:tc>
      </w:tr>
      <w:tr>
        <w:trPr>
          <w:trHeight w:val="241"/>
        </w:trPr>
        <w:tc>
          <w:tcPr>
            <w:tcW w:w="660" w:type="dxa"/>
            <w:vAlign w:val="bottom"/>
          </w:tcPr>
          <w:p>
            <w:pPr>
              <w:spacing w:after="0"/>
              <w:rPr>
                <w:sz w:val="20"/>
                <w:szCs w:val="20"/>
                <w:color w:val="auto"/>
              </w:rPr>
            </w:pPr>
          </w:p>
        </w:tc>
        <w:tc>
          <w:tcPr>
            <w:tcW w:w="2060" w:type="dxa"/>
            <w:vAlign w:val="bottom"/>
          </w:tcPr>
          <w:p>
            <w:pPr>
              <w:jc w:val="right"/>
              <w:ind w:right="10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800" w:type="dxa"/>
            <w:vAlign w:val="bottom"/>
            <w:gridSpan w:val="2"/>
          </w:tcPr>
          <w:p>
            <w:pPr>
              <w:jc w:val="right"/>
              <w:ind w:right="1180"/>
              <w:spacing w:after="0"/>
              <w:rPr>
                <w:sz w:val="20"/>
                <w:szCs w:val="20"/>
                <w:color w:val="auto"/>
              </w:rPr>
            </w:pPr>
            <w:r>
              <w:rPr>
                <w:rFonts w:ascii="Arial" w:cs="Arial" w:eastAsia="Arial" w:hAnsi="Arial"/>
                <w:sz w:val="18"/>
                <w:szCs w:val="18"/>
                <w:b w:val="1"/>
                <w:bCs w:val="1"/>
                <w:color w:val="auto"/>
              </w:rPr>
              <w:t>options</w:t>
            </w: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life (years)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 price</w:t>
            </w:r>
          </w:p>
        </w:tc>
      </w:tr>
      <w:tr>
        <w:trPr>
          <w:trHeight w:val="216"/>
        </w:trPr>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875,516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821,132</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216"/>
        </w:trPr>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13.84</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204,164</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4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r>
      <w:tr>
        <w:trPr>
          <w:trHeight w:val="230"/>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14.49</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14.49</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expected to vest after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6"/>
              </w:rPr>
              <w:t>Options expected to vest</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 w:type="dxa"/>
            <w:vAlign w:val="bottom"/>
          </w:tcPr>
          <w:p>
            <w:pPr>
              <w:spacing w:after="0"/>
              <w:rPr>
                <w:sz w:val="18"/>
                <w:szCs w:val="18"/>
                <w:color w:val="auto"/>
              </w:rPr>
            </w:pPr>
          </w:p>
        </w:tc>
        <w:tc>
          <w:tcPr>
            <w:tcW w:w="2340" w:type="dxa"/>
            <w:vAlign w:val="bottom"/>
            <w:gridSpan w:val="2"/>
          </w:tcPr>
          <w:p>
            <w:pPr>
              <w:jc w:val="right"/>
              <w:ind w:right="1420"/>
              <w:spacing w:after="0"/>
              <w:rPr>
                <w:sz w:val="20"/>
                <w:szCs w:val="20"/>
                <w:color w:val="auto"/>
              </w:rPr>
            </w:pPr>
            <w:r>
              <w:rPr>
                <w:rFonts w:ascii="Arial" w:cs="Arial" w:eastAsia="Arial" w:hAnsi="Arial"/>
                <w:sz w:val="18"/>
                <w:szCs w:val="18"/>
                <w:b w:val="1"/>
                <w:bCs w:val="1"/>
                <w:color w:val="auto"/>
              </w:rPr>
              <w:t>Price</w:t>
            </w:r>
          </w:p>
        </w:tc>
        <w:tc>
          <w:tcPr>
            <w:tcW w:w="280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Number of</w:t>
            </w:r>
          </w:p>
        </w:tc>
        <w:tc>
          <w:tcPr>
            <w:tcW w:w="2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remaining contractual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Weighted average</w:t>
            </w:r>
          </w:p>
        </w:tc>
      </w:tr>
      <w:tr>
        <w:trPr>
          <w:trHeight w:val="241"/>
        </w:trPr>
        <w:tc>
          <w:tcPr>
            <w:tcW w:w="620" w:type="dxa"/>
            <w:vAlign w:val="bottom"/>
          </w:tcPr>
          <w:p>
            <w:pPr>
              <w:spacing w:after="0"/>
              <w:rPr>
                <w:sz w:val="20"/>
                <w:szCs w:val="20"/>
                <w:color w:val="auto"/>
              </w:rPr>
            </w:pPr>
          </w:p>
        </w:tc>
        <w:tc>
          <w:tcPr>
            <w:tcW w:w="210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80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options</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 price</w:t>
            </w:r>
          </w:p>
        </w:tc>
      </w:tr>
      <w:tr>
        <w:trPr>
          <w:trHeight w:val="216"/>
        </w:trPr>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389,677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624,493</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216"/>
        </w:trPr>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7.68</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219,083</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r>
      <w:tr>
        <w:trPr>
          <w:trHeight w:val="230"/>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jc w:val="right"/>
              <w:ind w:right="240"/>
              <w:spacing w:after="0"/>
              <w:rPr>
                <w:sz w:val="20"/>
                <w:szCs w:val="20"/>
                <w:color w:val="auto"/>
              </w:rPr>
            </w:pPr>
            <w:r>
              <w:rPr>
                <w:rFonts w:ascii="Arial" w:cs="Arial" w:eastAsia="Arial" w:hAnsi="Arial"/>
                <w:sz w:val="18"/>
                <w:szCs w:val="18"/>
                <w:color w:val="auto"/>
              </w:rPr>
              <w:t>13.84</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934,726</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r>
      <w:tr>
        <w:trPr>
          <w:trHeight w:val="641"/>
        </w:trPr>
        <w:tc>
          <w:tcPr>
            <w:tcW w:w="6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w:t>
            </w: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14 — Employee Benefit Plan</w:t>
      </w:r>
    </w:p>
    <w:p>
      <w:pPr>
        <w:spacing w:after="0" w:line="229"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three and nine months ended September 30, 2021 and 2020, the Company did not contribute to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Loss Per Share</w:t>
      </w:r>
    </w:p>
    <w:p>
      <w:pPr>
        <w:spacing w:after="0" w:line="229"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Net loss per share calculations for all periods have been adjusted to reflect the reverse stock split effected on January 12, 2021. Net loss per share was calculated based on the weighted average number of common stock then outstanding.</w:t>
      </w:r>
    </w:p>
    <w:p>
      <w:pPr>
        <w:spacing w:after="0" w:line="17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Basic net loss per share is calculated using the weighted-average number of common shares outstanding during the periods. Net loss per share, assuming dilution, is calculated using the weighted-average number of common shares outstanding and the dilutive effect of all potentially dilutive securities, including common stock equivalents and convertible securities. Net loss per share, assuming dilution, is equal to basic net loss per share because the effect of dilutive securities outstanding during the periods, including options and warrants computed using the treasury stock method, is anti-dilutive.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w w:val="97"/>
              </w:rPr>
              <w:t>The components of basic and diluted net loss per share were as follows: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0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(9,758)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(19,204)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Accrued dividend attributable to Preferred A Stockholders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available for common shareholders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 and diluted</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20,834,388</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4,211,677</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18,068,736</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4,163,860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(0.47</w:t>
            </w:r>
          </w:p>
        </w:tc>
        <w:tc>
          <w:tcPr>
            <w:tcW w:w="26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(0.67</w:t>
            </w:r>
          </w:p>
        </w:tc>
        <w:tc>
          <w:tcPr>
            <w:tcW w:w="2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As of September 30, 2021 and 2020, the Company excluded the following securities from net loss per share as the effect of including them would have been anti-dilutive. The shares shown represent the number of shares of common stock which would be issued upon conversion in the respective years shown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p>
        </w:tc>
        <w:tc>
          <w:tcPr>
            <w:tcW w:w="62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5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3,511,046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1,690,852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Warrants outstanding</w:t>
            </w:r>
          </w:p>
        </w:tc>
        <w:tc>
          <w:tcPr>
            <w:tcW w:w="5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271,844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shd w:val="clear" w:color="auto" w:fill="CCEEFF"/>
          </w:tcPr>
          <w:p>
            <w:pPr>
              <w:spacing w:after="0"/>
              <w:rPr>
                <w:sz w:val="21"/>
                <w:szCs w:val="21"/>
                <w:color w:val="auto"/>
              </w:rPr>
            </w:pPr>
          </w:p>
        </w:tc>
        <w:tc>
          <w:tcPr>
            <w:tcW w:w="5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3,782,890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1,690,852</w:t>
            </w:r>
          </w:p>
        </w:tc>
        <w:tc>
          <w:tcPr>
            <w:tcW w:w="0" w:type="dxa"/>
            <w:vAlign w:val="bottom"/>
          </w:tcPr>
          <w:p>
            <w:pPr>
              <w:spacing w:after="0"/>
              <w:rPr>
                <w:sz w:val="1"/>
                <w:szCs w:val="1"/>
                <w:color w:val="auto"/>
              </w:rPr>
            </w:pPr>
          </w:p>
        </w:tc>
      </w:tr>
      <w:tr>
        <w:trPr>
          <w:trHeight w:val="21"/>
        </w:trPr>
        <w:tc>
          <w:tcPr>
            <w:tcW w:w="35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Arial" w:cs="Arial" w:eastAsia="Arial" w:hAnsi="Arial"/>
                <w:sz w:val="18"/>
                <w:szCs w:val="18"/>
                <w:color w:val="auto"/>
              </w:rPr>
              <w:t>17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(ROU) assets and current and non-current lease liabilities in the Company’s consolidated balance sheets. Current lease liabilities were classified as a component of accrued expenses and other current liabilities.</w:t>
      </w:r>
    </w:p>
    <w:p>
      <w:pPr>
        <w:spacing w:after="0" w:line="19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the implicit interest rate in its leases was generally not known, the Company’s used its incremental borrowing rate as the discount rate for purposes of determining the present value of its lease liabilities. At September 30, 2021, the Company’s weighted average discount rate utilized for its leases was 8.04%.</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When a contract contained lease and non-lease elements, both were accounted as a single lease component.</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 had several non-cancellable finance leases for machinery and equipment. During the six months ended June 30, 2021, the Company entered into several leases for premises in Georgia and one office space lease in Billerica, Massachusetts. Those leases had terms of more than a year and were accounted as operating leases.</w:t>
      </w:r>
    </w:p>
    <w:p>
      <w:pPr>
        <w:spacing w:after="0" w:line="184"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On February 5, 2021, the Company executed a sixty-three-month lease for office spaces in Billerica, MA. The Company spent $205 on leasehold improvements and began occupying the space beginning June 1, 2021, which is when the lease commenced. The minimum lease liability for the initial lease term amounts to $530 (base lease and other operating fees). The Company has an option to extend the initial lease term by an additional five-year term.</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of the Company’s lease activity, for the three and nine months ended September 30, 2021 and 2020,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20" w:type="dxa"/>
            <w:vAlign w:val="bottom"/>
            <w:gridSpan w:val="4"/>
          </w:tcPr>
          <w:p>
            <w:pPr>
              <w:jc w:val="right"/>
              <w:ind w:right="121"/>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Nine Months ended</w:t>
            </w:r>
          </w:p>
        </w:tc>
      </w:tr>
      <w:tr>
        <w:trPr>
          <w:trHeight w:val="241"/>
        </w:trPr>
        <w:tc>
          <w:tcPr>
            <w:tcW w:w="5980" w:type="dxa"/>
            <w:vAlign w:val="bottom"/>
          </w:tcPr>
          <w:p>
            <w:pPr>
              <w:spacing w:after="0"/>
              <w:rPr>
                <w:sz w:val="20"/>
                <w:szCs w:val="20"/>
                <w:color w:val="auto"/>
              </w:rPr>
            </w:pPr>
          </w:p>
        </w:tc>
        <w:tc>
          <w:tcPr>
            <w:tcW w:w="2220" w:type="dxa"/>
            <w:vAlign w:val="bottom"/>
            <w:gridSpan w:val="4"/>
          </w:tcPr>
          <w:p>
            <w:pPr>
              <w:jc w:val="right"/>
              <w:ind w:right="341"/>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Finance lease cost: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right-of-use assets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8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20"/>
                <w:szCs w:val="20"/>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lease cost</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154</w:t>
            </w: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59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remaining lease term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remaining lease term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discount rate – operating leases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discount rate –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liabilities, non-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Finance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Finance lease liabilities, non-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Total finance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7"/>
              </w:rPr>
              <w:t>September 30,</w:t>
            </w:r>
          </w:p>
        </w:tc>
      </w:tr>
      <w:tr>
        <w:trPr>
          <w:trHeight w:val="241"/>
        </w:trPr>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ind w:left="100"/>
              <w:spacing w:after="0" w:line="201" w:lineRule="exact"/>
              <w:rPr>
                <w:sz w:val="20"/>
                <w:szCs w:val="20"/>
                <w:color w:val="auto"/>
              </w:rPr>
            </w:pPr>
            <w:r>
              <w:rPr>
                <w:rFonts w:ascii="Arial" w:cs="Arial" w:eastAsia="Arial" w:hAnsi="Arial"/>
                <w:sz w:val="18"/>
                <w:szCs w:val="18"/>
                <w:color w:val="auto"/>
                <w:w w:val="85"/>
              </w:rPr>
              <w:t>3.26 years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100"/>
              <w:spacing w:after="0"/>
              <w:rPr>
                <w:sz w:val="20"/>
                <w:szCs w:val="20"/>
                <w:color w:val="auto"/>
              </w:rPr>
            </w:pPr>
            <w:r>
              <w:rPr>
                <w:rFonts w:ascii="Arial" w:cs="Arial" w:eastAsia="Arial" w:hAnsi="Arial"/>
                <w:sz w:val="18"/>
                <w:szCs w:val="18"/>
                <w:color w:val="auto"/>
              </w:rPr>
              <w:t>3.31 years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w w:val="99"/>
              </w:rPr>
              <w:t>4.17 years</w:t>
            </w:r>
          </w:p>
        </w:tc>
      </w:tr>
      <w:tr>
        <w:trPr>
          <w:trHeight w:val="216"/>
        </w:trPr>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8.01%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8.06%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8.12%</w:t>
            </w:r>
          </w:p>
        </w:tc>
      </w:tr>
      <w:tr>
        <w:trPr>
          <w:trHeight w:val="333"/>
        </w:trPr>
        <w:tc>
          <w:tcPr>
            <w:tcW w:w="8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24"/>
                <w:szCs w:val="24"/>
                <w:color w:val="auto"/>
              </w:rPr>
            </w:pPr>
          </w:p>
        </w:tc>
        <w:tc>
          <w:tcPr>
            <w:tcW w:w="120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540"/>
              <w:spacing w:after="0"/>
              <w:rPr>
                <w:sz w:val="20"/>
                <w:szCs w:val="20"/>
                <w:color w:val="auto"/>
              </w:rPr>
            </w:pPr>
            <w:r>
              <w:rPr>
                <w:rFonts w:ascii="Arial" w:cs="Arial" w:eastAsia="Arial" w:hAnsi="Arial"/>
                <w:sz w:val="18"/>
                <w:szCs w:val="18"/>
                <w:color w:val="auto"/>
              </w:rPr>
              <w:t>1,161</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24"/>
                <w:szCs w:val="24"/>
                <w:color w:val="auto"/>
              </w:rPr>
            </w:pPr>
          </w:p>
        </w:tc>
      </w:tr>
      <w:tr>
        <w:trPr>
          <w:trHeight w:val="418"/>
        </w:trPr>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ind w:left="68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ind w:left="680"/>
              <w:spacing w:after="0"/>
              <w:rPr>
                <w:sz w:val="20"/>
                <w:szCs w:val="20"/>
                <w:color w:val="auto"/>
              </w:rPr>
            </w:pPr>
            <w:r>
              <w:rPr>
                <w:rFonts w:ascii="Arial" w:cs="Arial" w:eastAsia="Arial" w:hAnsi="Arial"/>
                <w:sz w:val="18"/>
                <w:szCs w:val="18"/>
                <w:color w:val="auto"/>
              </w:rPr>
              <w:t>484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8"/>
                <w:szCs w:val="18"/>
                <w:color w:val="auto"/>
                <w:w w:val="79"/>
              </w:rPr>
              <w:t>796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r>
      <w:tr>
        <w:trPr>
          <w:trHeight w:val="34"/>
        </w:trPr>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418"/>
        </w:trPr>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680"/>
              <w:spacing w:after="0"/>
              <w:rPr>
                <w:sz w:val="20"/>
                <w:szCs w:val="20"/>
                <w:color w:val="auto"/>
              </w:rPr>
            </w:pPr>
            <w:r>
              <w:rPr>
                <w:rFonts w:ascii="Arial" w:cs="Arial" w:eastAsia="Arial" w:hAnsi="Arial"/>
                <w:sz w:val="18"/>
                <w:szCs w:val="18"/>
                <w:color w:val="auto"/>
              </w:rPr>
              <w:t>154</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24"/>
                <w:szCs w:val="24"/>
                <w:color w:val="auto"/>
              </w:rPr>
            </w:pPr>
          </w:p>
        </w:tc>
      </w:tr>
      <w:tr>
        <w:trPr>
          <w:trHeight w:val="237"/>
        </w:trPr>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ind w:left="68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20"/>
                <w:szCs w:val="20"/>
                <w:color w:val="auto"/>
              </w:rPr>
            </w:pPr>
          </w:p>
        </w:tc>
      </w:tr>
      <w:tr>
        <w:trPr>
          <w:trHeight w:val="223"/>
        </w:trPr>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8"/>
                <w:szCs w:val="18"/>
                <w:color w:val="auto"/>
                <w:w w:val="79"/>
              </w:rPr>
              <w:t>454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19"/>
                <w:szCs w:val="19"/>
                <w:color w:val="auto"/>
              </w:rPr>
            </w:pPr>
          </w:p>
        </w:tc>
      </w:tr>
      <w:tr>
        <w:trPr>
          <w:trHeight w:val="34"/>
        </w:trPr>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880" w:space="720"/>
            <w:col w:w="2640"/>
          </w:cols>
          <w:pgMar w:left="320" w:top="877" w:right="339" w:bottom="1440" w:gutter="0" w:footer="0" w:header="0"/>
          <w:type w:val="continuous"/>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0" w:name="page21"/>
    <w:bookmarkEnd w:id="20"/>
    <w:p>
      <w:pPr>
        <w:ind w:left="340"/>
        <w:spacing w:after="0"/>
        <w:rPr>
          <w:sz w:val="20"/>
          <w:szCs w:val="20"/>
          <w:color w:val="auto"/>
        </w:rPr>
      </w:pPr>
      <w:r>
        <w:rPr>
          <w:rFonts w:ascii="Arial" w:cs="Arial" w:eastAsia="Arial" w:hAnsi="Arial"/>
          <w:sz w:val="18"/>
          <w:szCs w:val="18"/>
          <w:color w:val="auto"/>
        </w:rPr>
        <w:t>As of September 30, 2021, the maturities of lease liabilities under non-cancellable finance leases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1"/>
              </w:rPr>
              <w:t>Operating</w:t>
            </w:r>
          </w:p>
        </w:tc>
        <w:tc>
          <w:tcPr>
            <w:tcW w:w="180" w:type="dxa"/>
            <w:vAlign w:val="bottom"/>
          </w:tcPr>
          <w:p>
            <w:pPr>
              <w:spacing w:after="0"/>
              <w:rPr>
                <w:sz w:val="18"/>
                <w:szCs w:val="18"/>
                <w:color w:val="auto"/>
              </w:rPr>
            </w:pPr>
          </w:p>
        </w:tc>
        <w:tc>
          <w:tcPr>
            <w:tcW w:w="11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6"/>
              </w:rPr>
              <w:t>Finance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4"/>
              </w:rPr>
              <w:t>lease</w:t>
            </w:r>
          </w:p>
        </w:tc>
        <w:tc>
          <w:tcPr>
            <w:tcW w:w="180" w:type="dxa"/>
            <w:vAlign w:val="bottom"/>
          </w:tcPr>
          <w:p>
            <w:pPr>
              <w:spacing w:after="0"/>
              <w:rPr>
                <w:sz w:val="20"/>
                <w:szCs w:val="20"/>
                <w:color w:val="auto"/>
              </w:rPr>
            </w:pPr>
          </w:p>
        </w:tc>
        <w:tc>
          <w:tcPr>
            <w:tcW w:w="114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rPr>
              <w:t>lease</w:t>
            </w:r>
          </w:p>
        </w:tc>
        <w:tc>
          <w:tcPr>
            <w:tcW w:w="220" w:type="dxa"/>
            <w:vAlign w:val="bottom"/>
          </w:tcPr>
          <w:p>
            <w:pPr>
              <w:spacing w:after="0"/>
              <w:rPr>
                <w:sz w:val="20"/>
                <w:szCs w:val="20"/>
                <w:color w:val="auto"/>
              </w:rPr>
            </w:pPr>
          </w:p>
        </w:tc>
        <w:tc>
          <w:tcPr>
            <w:tcW w:w="10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Total</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 the year ending December 31,</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540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196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157</w:t>
            </w: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79</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1,250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44"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On January 5, 2021, the Company received a demand letter from Nicholas Cooper and Richard Weinstein (two of the Company’s former employees) and one of Mr. Cooper’s affiliated entities, asserting that Messrs. Cooper and Weinstein were entitled to compensation arising out of their employment by the Company, and their partial ownership of TriGrow Systems, LLC. The demand letter asserts that the former employees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8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On January 19, 2021, Messrs. Cooper and Weinstein filed a lawsuit against the Company in the United States District Court for the Western District of Washington, alleging the same claims made in their demand letter based on the facts disclosed above. The plaintiffs are seeking relief in the form of monetary damages in an amount to be determined. Messrs. Cooper and Weinstein are also seeking relief in the form of reinstatement and Mr. Weinstein is seeking rescission of his Release of Claims Agreement. On March 10, 2021, the Company moved to dismiss all Cooper and Weinstein’s claims, asserting that the claims failed to allege legal grounds for relief. On May 12, 2021, a Magistrate issued a preliminary Report and Recommendation, which recommended dismissal of certain of Cooper and Weinstein’s claims, and recommended others for additional factual discovery. On July 27, 2021, a District Judge entered an order partially adopting the Report and Recommendation, dismissing one claim with prejudice, dismissing a second claim with leave to amend, and permitting the remaining claims to proceed. The Company does not believe these claims have any merit and intend to vigorously defend against them.</w:t>
      </w:r>
    </w:p>
    <w:p>
      <w:pPr>
        <w:spacing w:after="0" w:line="11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Additionally, on July 29, 2021, the Company filed a separate arbitration in Boston, Massachusetts against Cooper and Weinstein, in which the Company alleges that Cooper and Weinstein were liable for certain conduct during the time they were TriGrow employees, including breach of fiduciary duty, unjust enrichment, usurpation of corporate opportunity, conversion, fraudulent concealment, and false representation. Also on July 29, 2021, the Company submitted a claim for indemnification to certain legacy TriGrow Systems, LLC. shareholders. The claim for indemnification relates to conduct by Cooper and Weinstein during the time they were TriGrow employees.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 with Mack Molding Co.</w:t>
      </w:r>
    </w:p>
    <w:p>
      <w:pPr>
        <w:spacing w:after="0" w:line="14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December 2020, the Company entered into a five-year supply agreement with Mack Molding Co. (“Mack”) pursuant to which Mack will become a key supplier of AVFUs. In February 2021, the Company placed a purchase order with Mack amounting to approximately $5.2 million towards initial production of AVFUs during 2021. In September 2021, the Company increased the purchase order with Mack to approximately $11.5 million towards production of AVFUs during 2021 and 2022. The Company believes the supply agreement with Mack will provide the Company with increased scaling capabilities and the ability to more efficiently meet the potential future demand of its customers. The supply agreement contemplates that, following an introductory period, the Company will negotiate a minimum percentage of the AVFU requirements that the Company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The Company believes this approach will result in both parties making a more informed decision with respect to the pricing and other terms of the supply agreement with Mack.</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Distribution Agreements with Related Parties</w:t>
      </w:r>
    </w:p>
    <w:p>
      <w:pPr>
        <w:spacing w:after="0" w:line="225"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On September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one-year periods unless earlier terminated. In March 2021, the Company notified Bluezone of non-renewal of the agreement which means it ended on May 31, 2021. The Company exceeded the minimum purchase amount for the first year and purchased approximately $532 of the committed $660 second year purchases through September 30, 2021. Bluezone is a related party to the Company.</w:t>
      </w:r>
    </w:p>
    <w:p>
      <w:pPr>
        <w:spacing w:after="0" w:line="19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March 9, 2020, the Company entered into a distribution agreement with Enozo Technologies Inc. (“Enozo”), for an initial term of five years with auto renewal for successive one-year periods unless earlier terminated. The agreement contains the following minimum purchases to retain exclusive distributor status for one of the Company’s products: for the period from the contract date until December 31, 2021 for $375, for the year ended December 31, 2022 for $750, and for the year ended December 31, 2023 for $1,125, which amount may increase by 3% for the later years. The Company had $40 purchases of Enozo product during the nine months ended September 30, 2021, compared to null for the nine months ended September 30, 2020. Enozo is a related party to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Committed Purchase Agreement with Related Party</w:t>
      </w:r>
    </w:p>
    <w:p>
      <w:pPr>
        <w:spacing w:after="0" w:line="225"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On September 18, 2021, the Company entered into an amended purchase agreement with 4D Bios, Inc. (“4D”) to secure purchases of horticultural equipment. The original agreement required minimum purchases of between $577 and $607 per unit of 4D products until December 31, 2020. The amended agreement requires minimum purchases of $582 per unit with a final payment of approximately $864 paid to 4D. 4D is a related party to the Company.</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 ended December 31, 2020, the Company’s purchase commitment totaled $1.9 million. The Company settled all outstanding commitments, leaving no open committed purchases as of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Parties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Some of the officers and directors of the Company are involved in other business activities and may, in the future, become involved in other business opportunities that become available.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describes the net purchasing (sales)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Nine Months ended</w:t>
            </w:r>
          </w:p>
        </w:tc>
      </w:tr>
      <w:tr>
        <w:trPr>
          <w:trHeight w:val="241"/>
        </w:trPr>
        <w:tc>
          <w:tcPr>
            <w:tcW w:w="5980" w:type="dxa"/>
            <w:vAlign w:val="bottom"/>
          </w:tcPr>
          <w:p>
            <w:pPr>
              <w:spacing w:after="0"/>
              <w:rPr>
                <w:sz w:val="20"/>
                <w:szCs w:val="20"/>
                <w:color w:val="auto"/>
              </w:rPr>
            </w:pPr>
          </w:p>
        </w:tc>
        <w:tc>
          <w:tcPr>
            <w:tcW w:w="2060" w:type="dxa"/>
            <w:vAlign w:val="bottom"/>
            <w:gridSpan w:val="4"/>
          </w:tcPr>
          <w:p>
            <w:pPr>
              <w:jc w:val="right"/>
              <w:ind w:right="181"/>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Bluezone</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1"/>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4D Bios</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864</w:t>
            </w:r>
          </w:p>
        </w:tc>
        <w:tc>
          <w:tcPr>
            <w:tcW w:w="6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Enozo</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Valiant Americas, LLC.</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606</w:t>
            </w:r>
          </w:p>
        </w:tc>
        <w:tc>
          <w:tcPr>
            <w:tcW w:w="6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2,596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3,078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Living Greens farm</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2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net related party (payable) receivable as of September 30,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3600" w:type="dxa"/>
            <w:vAlign w:val="bottom"/>
            <w:tcBorders>
              <w:bottom w:val="single" w:sz="8" w:color="CCEEFF"/>
            </w:tcBorders>
          </w:tcPr>
          <w:p>
            <w:pPr>
              <w:spacing w:after="0"/>
              <w:rPr>
                <w:sz w:val="20"/>
                <w:szCs w:val="20"/>
                <w:color w:val="auto"/>
              </w:rPr>
            </w:pPr>
          </w:p>
        </w:tc>
        <w:tc>
          <w:tcPr>
            <w:tcW w:w="5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Bluezone</w:t>
            </w:r>
          </w:p>
        </w:tc>
        <w:tc>
          <w:tcPr>
            <w:tcW w:w="5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Valiant Americas, LLC</w:t>
            </w:r>
          </w:p>
        </w:tc>
        <w:tc>
          <w:tcPr>
            <w:tcW w:w="5320" w:type="dxa"/>
            <w:vAlign w:val="bottom"/>
            <w:gridSpan w:val="2"/>
          </w:tcPr>
          <w:p>
            <w:pPr>
              <w:ind w:left="50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(3,308)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(4,246)</w:t>
            </w:r>
          </w:p>
        </w:tc>
      </w:tr>
      <w:tr>
        <w:trPr>
          <w:trHeight w:val="641"/>
        </w:trPr>
        <w:tc>
          <w:tcPr>
            <w:tcW w:w="36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18 — Subsequent Event</w:t>
      </w:r>
    </w:p>
    <w:p>
      <w:pPr>
        <w:spacing w:after="0" w:line="229"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On September 29, 2021 (the “Execution Date”), the Company entered into a Plan of Merger and Equity Purchase Agreement, as amended by an amendment dated as of October 1, 2021 (as amended, the “Purchase Agreement”), with Sinclair Scientific, LLC, a Delaware limited liability company (“Sinclair”); Mass2Media, LLC, d/b/a PX2 Holdings, LLC, d/b/a Precision Extraction Solutions, a Michigan limited liability company (“Precision”); and each of the equity holders of Sinclair named therein (collectively, the “Members”). On October 1, 2021, the Company consummated the transactions contemplated by the Purchase Agreement (the “Precision-Cascade Acquisition”).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Cascade and Precision; Purchase Consideration</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Subject to the terms and conditions set forth in the Purchase Agreement, (1) Sinclair transferred, to the Company, and the Company purchased (the “Interest Purchase”) from Sinclair, 100% of the equity interests of Cascade Sciences, LLC, a Delaware limited liability company (“Cascade”), such that immediately after the consummation of such Interest Purchase, Cascade became a wholly-owned subsidiary of the Company, and (2) Precision merged (the “Merger”) with and into a newly-formed wholly-owned subsidiary of the Company, Precision Extraction NewCo, LLC.</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aggregate consideration for the Interest Purchase and the Merger consisted of: (a) the sum of $30 million, plus consideration payable to holders of outstanding Sinclair equity awards, subject to certain adjustments for working capital, cash and indebtedness, payable in connection with the Interest Purchase; (b) the number of shares of the Company’s common stock, subject to adjustment, equal to the quotient of (i) $20 million divided by (ii) the volume-weighted average price per share of the Company’s common stock on The Nasdaq Capital Market for the 30 consecutive trading days ending on the Execution Date (the “VWAP Price”), issuable in connection with the Merger; and (c) the True-Up Buyer Shares, if any (as defined below), issuable in connection with the Merger.</w:t>
      </w:r>
    </w:p>
    <w:p>
      <w:pPr>
        <w:spacing w:after="0" w:line="19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Purchase Agreement includes customary post-closing adjustments, representations and warranties and covenants of the parties. The Members may become entitled to additional shares of the Company’s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the Company pursuant to the terms of the Purchase Agreement, taking into account any Aggregate True-Up Payment in favor of the Members, exceed $65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The information contained in this Form 10-Q is intended to update the information contained in our Annual Report on Form 10-K for the year ended December 31, 2020 filed with the Securities and Exchange Commission on April 2, 2021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Form 10-Q.</w:t>
      </w:r>
    </w:p>
    <w:p>
      <w:pPr>
        <w:spacing w:after="0" w:line="18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factors described in our Form 10-K in the section entitled “Risk Factors” in the Form 10-K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6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Except as otherwise indicated herein or as the context otherwise requires, references in this quarterly report to “we,” “us,” “our,” “Company,” and “Agrify” refer to Agrify Corporation, a Nevada corporation.</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As described elsewhere in this report, all share and per share amounts set forth below have been presented on a retroactive basis to reflect a 1-for-1.581804 reverse stock split of our outstanding common stock implemented on January 12,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 amounts are in thousands unless otherwise specified, except share and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a developer of highly advanced and proprietary precision hardware and software grow solutions for the indoor agriculture marketplace and provide equipment and solutions for extraction, post-processing, and testing for the cannabis and hemp industry. We believe we are the only company with an automated and fully integrated grow solution in the industry. We believe our Agrify “Precision Elevated™”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forms an unrivaled ecosystem in what has historically been an extremely fragmented market. As a result, we believe we are well situated to create a dominant market position in the indoor agriculture sector.</w:t>
      </w:r>
    </w:p>
    <w:p>
      <w:pPr>
        <w:spacing w:after="0" w:line="177"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We have seven wholly-owned subsidiaries, AGM Service Corp LLC (formerly AGM Service Corp Inc.), TriGrow Systems, LLC (“TriGrow”, which acted as our exclusive distributor and which was acquired in January 2020 as TriGrow Systems, Inc. and converted to TriGrow Systems, LLC in May</w:t>
      </w:r>
    </w:p>
    <w:p>
      <w:pPr>
        <w:spacing w:after="0" w:line="252" w:lineRule="auto"/>
        <w:rPr>
          <w:sz w:val="20"/>
          <w:szCs w:val="20"/>
          <w:color w:val="auto"/>
        </w:rPr>
      </w:pPr>
      <w:r>
        <w:rPr>
          <w:rFonts w:ascii="Arial" w:cs="Arial" w:eastAsia="Arial" w:hAnsi="Arial"/>
          <w:sz w:val="18"/>
          <w:szCs w:val="18"/>
          <w:color w:val="auto"/>
        </w:rPr>
        <w:t>2020), Harbor Mountain Holdings, LLC (“HMH”, which assembled and produced many of our products and which was acquired in July 2020), Ariafy Finance, LLC, Agxion, LLC, Cascade Sciences, LLC (which was acquired as part of the Precision-Cascade Acquisition) and Precision Extraction NewCo, LLC (which is a newly formed subsidiary in connection with the Precision-Cascade Acquisition). We also own 50% of Teejan Podponics International LLC (“TPI”) since December 2018; 60% of Agrify-Valiant, LLC, formed in December 2019; and 75% of Agrify Brands, LLC (formerly TriGrow Brands, LLC, which was acquired as part of the January 2020 acquisition of TriGrow). For further details about the January 2020 and July 2020 acquisitions please refer to our Annual Report on Form 10-K for the year ended December 31, 2020, filed with the U.S. Securities and Exchange Commission (“SEC”) on April 2,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On February 1, 2021, we completed an initial public offering (“IPO”) of 5,400,000 shares of our common stock at a price of $10.00 per share, less certain underwriting discounts and commissions. On February 4, 2021, we closed on the sale of an additional 810,000 shares of common stock on the same terms and conditions pursuant to the exercise of the underwriters’ over-allotment option. In connection with the IPO, we granted the underwriters warrants to purchase an aggregate of 186,300 shares of common stock (equal to 3% of the aggregate number of shares of common stock issued in the IPO) at an exercise price of $12.50 per share (equal to 125% of the IPO price). The exercise of the over-allotment option brought the total number of shares of common stock sold by us in the IPO to 6,210,000 shares and the total net proceeds received by us to approximately $57 million, after deducting underwriting discounts and commissions and estimated offering expenses.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ind w:right="100" w:firstLine="324"/>
        <w:spacing w:after="0" w:line="291" w:lineRule="auto"/>
        <w:rPr>
          <w:sz w:val="20"/>
          <w:szCs w:val="20"/>
          <w:color w:val="auto"/>
        </w:rPr>
      </w:pPr>
      <w:r>
        <w:rPr>
          <w:rFonts w:ascii="Arial" w:cs="Arial" w:eastAsia="Arial" w:hAnsi="Arial"/>
          <w:sz w:val="16"/>
          <w:szCs w:val="16"/>
          <w:color w:val="auto"/>
        </w:rPr>
        <w:t>On February 19, 2021, we consummated a secondary public offering (the “February Offering”) of 5,555,555 shares of our common stock at a price of $13.50 per share, less certain underwriting discounts and commissions. On March 22, 2021, we closed on the sale of an additional 833,333 shares of common stock on the same terms and conditions pursuant to the exercise of the underwriters’ over-allotment option. In connection with the February Offering, we granted the underwriters warrants to purchase an aggregate of 191,667 shares of common stock (equal to 3% of the aggregate number of shares of common stock issued in the February Offering) at an exercise price of $16.875 per share (equal to 125% of the February Offering). The exercise of the over-allotment option brought the total number of shares of common stock sold by us in the February Offering to 6,388,888 shares and the total net proceeds received by us to approximately $80 million, after deducting underwriting discounts and commissions and estimated offering expenses.</w:t>
      </w:r>
    </w:p>
    <w:p>
      <w:pPr>
        <w:spacing w:after="0" w:line="166"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On September 14, 2021, we entered into a letter agreement and waiver (the “Letter Agreement”), to amend the terms of our underwriting agreement with the representative of the underwriters in the IPO. Pursuant to the Letter Agreement, the representative agreed to waive the right of first refusal included in the underwriting agreement in consideration of (i) a cash payment to the representative of $2.4 million; and (ii) the right to participate as a co-manager with ten percent (10%) of the economics with respect to our next public offering of securities, payable in cash upon the closing of such offering.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right="400" w:firstLine="324"/>
        <w:spacing w:after="0" w:line="301" w:lineRule="auto"/>
        <w:rPr>
          <w:sz w:val="20"/>
          <w:szCs w:val="20"/>
          <w:color w:val="auto"/>
        </w:rPr>
      </w:pPr>
      <w:r>
        <w:rPr>
          <w:rFonts w:ascii="Arial" w:cs="Arial" w:eastAsia="Arial" w:hAnsi="Arial"/>
          <w:sz w:val="16"/>
          <w:szCs w:val="16"/>
          <w:color w:val="auto"/>
        </w:rPr>
        <w:t>Beginning in the first quarter of 2020, we issued an aggregate of 60,000 shares of our Series A Convertible Preferred Stock, or Series A Preferred Stock, for an aggregate purchase price of $6 million. In May 2020, we completed our offering of Series A Preferred with the issuance of an additional 40,000 shares of Series A Preferred for an aggregate purchase price of $4 million. All outstanding shares of Series A Preferred Stock automatically converted immediately prior to the closing of our IPO into 1,373,038 shares of common stock at a conversion price of $7.72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(“COVID-19”) Pandemic</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coronavirus was first identified in people in late 2019. COVID-19 spread rapidly throughout the world, and, in March 2020, the World Health Organization characterized COVID-19 as a pandemic. COVID-19 is a pandemic of respiratory disease spreading from person-to-person that poses a serious public health risk. It has significantly disrupted supply chains and businesses around the world. The extent and duration of the COVID-19 impact, on our operations and financial position and on the global economy, is uncertain. Uncertainty remains regarding the length of time it will take for the COVID-19 pandemic to subside, including the time it will take for vaccines to be broadly distributed and accepted in the United States and the rest of the world, and the effectiveness of such vaccines in slowing or stopping the spread of COVID-19 and mitigating the economic effects of the pandemic. We continue to service our customers amid uncertainty and disruption linked to COVID-19 and are actively managing our business to respond to the impact.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Financial Overview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15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 from the following sources: (1) equipment sales, (2) services sales and (3) construction contracts.</w:t>
      </w:r>
    </w:p>
    <w:p>
      <w:pPr>
        <w:spacing w:after="0" w:line="158"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We sell our equipment and services to customers under a combination of a contract and purchase order. Equipment revenue includes sales from proprietary products designed and engineered by us such as vertical farming units, container farms, integrated grow racks, and LED grow lights, and non-proprietary products designed, engineered, and manufactured by third parties such as air cleaning systems and pesticide-free surface protection.</w:t>
      </w:r>
    </w:p>
    <w:p>
      <w:pPr>
        <w:spacing w:after="0" w:line="8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two main sub-contractors to execute the construction contracts.</w:t>
      </w:r>
    </w:p>
    <w:p>
      <w:pPr>
        <w:spacing w:after="0" w:line="12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generally provide a one-year warranty on its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At September 30, 2021, we had no product warranty accrual our de minimis historical financial warranty experience.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62"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81"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1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 is important that the discussion of our operating results that follows be read in conjunction with the critical accounting policies disclosed above.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Fair Value of Common Stock</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Historically, for all periods prior to our IPO,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 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w:t>
      </w:r>
    </w:p>
    <w:p>
      <w:pPr>
        <w:spacing w:after="0" w:line="17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For our valuation performed on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171"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2021 and 2020</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summarizes our results of operations for the three and nine months ended September 30, 2021, as compared to the three and nine months ended September 30,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2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2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4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16,131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3,012</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34,977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16"/>
        </w:trPr>
        <w:tc>
          <w:tcPr>
            <w:tcW w:w="54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54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2,483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37"/>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8,595</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1,937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18,850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bottom w:val="single" w:sz="8" w:color="CCEEFF"/>
            </w:tcBorders>
          </w:tcPr>
          <w:p>
            <w:pPr>
              <w:spacing w:after="0"/>
              <w:rPr>
                <w:sz w:val="19"/>
                <w:szCs w:val="19"/>
                <w:color w:val="auto"/>
              </w:rPr>
            </w:pPr>
          </w:p>
        </w:tc>
        <w:tc>
          <w:tcPr>
            <w:tcW w:w="52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(9,802)</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(2,585)</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(21,726)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OTHER INCOME (EXPENSE), NET</w:t>
            </w: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expenses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notes payable</w:t>
            </w: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2,685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Other income (expense), net</w:t>
            </w:r>
          </w:p>
        </w:tc>
        <w:tc>
          <w:tcPr>
            <w:tcW w:w="5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(Loss) gain attributable to non-controlling interest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460" w:type="dxa"/>
            <w:vAlign w:val="bottom"/>
            <w:vMerge w:val="continue"/>
            <w:shd w:val="clear" w:color="auto" w:fill="CCEEFF"/>
          </w:tcPr>
          <w:p>
            <w:pPr>
              <w:spacing w:after="0"/>
              <w:rPr>
                <w:sz w:val="21"/>
                <w:szCs w:val="21"/>
                <w:color w:val="auto"/>
              </w:rPr>
            </w:pPr>
          </w:p>
        </w:tc>
        <w:tc>
          <w:tcPr>
            <w:tcW w:w="7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2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(19,204</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1"/>
              </w:rPr>
              <w:t>Net loss per share attributable to common stockholders – basic and diluted</w:t>
            </w: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vMerge w:val="continue"/>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6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common shares outstanding – basic and diluted</w:t>
            </w:r>
          </w:p>
        </w:tc>
        <w:tc>
          <w:tcPr>
            <w:tcW w:w="5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20,834,388</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4,211,677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18,068,736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4,163,860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520" w:type="dxa"/>
            <w:vAlign w:val="bottom"/>
            <w:vMerge w:val="restart"/>
          </w:tcPr>
          <w:p>
            <w:pPr>
              <w:jc w:val="right"/>
              <w:ind w:right="17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goal is to provide our customers with a variety of products to address their entire indoor agriculture needs. Our core product offering includes our Agrify Vertical Farming Units (or AVFUs) and Agrify Integrated Grow Racks with our Agrify™ Insights software, which in 2020 and 2021 are supplemented with environmental control products, grow lights, and facility build-out services.</w:t>
      </w:r>
    </w:p>
    <w:p>
      <w:pPr>
        <w:spacing w:after="0" w:line="18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continue to monitor and address the COVID-19 pandemic impacts on our supply chain. Although the availability of various products is dependent on our suppliers, their locations, and the extent to which they are impacted by the COVID-19 pandemic, we are proactively working with manufacturers to meet the needs of our customers during the pandemic. Product shortages have generally led to fluctuations in prices globally, with corresponding impacts to sales and interim profits.</w:t>
      </w:r>
    </w:p>
    <w:p>
      <w:pPr>
        <w:spacing w:after="0" w:line="187" w:lineRule="exact"/>
        <w:rPr>
          <w:sz w:val="20"/>
          <w:szCs w:val="20"/>
          <w:color w:val="auto"/>
        </w:rPr>
      </w:pPr>
    </w:p>
    <w:p>
      <w:pPr>
        <w:jc w:val="both"/>
        <w:ind w:right="160" w:firstLine="324"/>
        <w:spacing w:after="0" w:line="287" w:lineRule="auto"/>
        <w:rPr>
          <w:sz w:val="20"/>
          <w:szCs w:val="20"/>
          <w:color w:val="auto"/>
        </w:rPr>
      </w:pPr>
      <w:r>
        <w:rPr>
          <w:rFonts w:ascii="Arial" w:cs="Arial" w:eastAsia="Arial" w:hAnsi="Arial"/>
          <w:sz w:val="16"/>
          <w:szCs w:val="16"/>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Insights software.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delivery of each solution in the grow cycle will generate sales of additional solutions and services.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breakdown of our revenue for the three and nine months ended September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Agrify™ Insights software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Facility build-outs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15,751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920" w:firstLine="324"/>
        <w:spacing w:after="0" w:line="308" w:lineRule="auto"/>
        <w:rPr>
          <w:sz w:val="20"/>
          <w:szCs w:val="20"/>
          <w:color w:val="auto"/>
        </w:rPr>
      </w:pPr>
      <w:r>
        <w:rPr>
          <w:rFonts w:ascii="Arial" w:cs="Arial" w:eastAsia="Arial" w:hAnsi="Arial"/>
          <w:sz w:val="17"/>
          <w:szCs w:val="17"/>
          <w:color w:val="auto"/>
        </w:rPr>
        <w:t>Revenue for the three months ended September 30, 2021 and 2020 was generated mainly from facility build outs and cultivation solutions, respectively. For the three months ended September 30, 2021 and 2020, we sold 114 and 0 AVFUs,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for the nine months ended September 30, 2021 and 2020 was generated mainly from facility build outs and cultivation solutions,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2021 and 2020, we sold 136 and 179 AVFUs,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Cost of goods sold include direct cost of parts and outsourced assembly and installation services that are necessary for delivery of our products.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breakdown of our cost of revenue for the three and nine months ended September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Facility build-outs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12,561</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2,507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29,521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2,929</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16,131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During the first six months of 2020, we outsourced the manufacturing of our AVFUs to HMH, which we acquired in July 2020. Although the primary reason we acquired HMH was to expand our research, development and testing capabilities, the acquisition will also provide us with internal capabilities to manufacture small quantities of AVFUs and to reduce our cost of manufacturing. In addition, in December 2020, we entered into a five-year supply agreement with Mack Molding Co. (“Mack”) pursuant to which Mack will become a key supplier of our AVFUs. In February 2021, we placed a purchase order with Mack amounting to approximately $5.2 million towards initial production of AVFUs during 2021. In June 2021, the Company increased the purchase order with Mack to approximately $11.5 million towards production of AVFUs during 2021 and 2022. We believe the supply agreement with Mack will provide us with increased scaling capabilities and the ability to meet the potential future demand of our customers more efficiently.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gross profit (loss) represents total revenue less the cost of goods sold, and gross margin percentage is gross profit (loss) expressed as a percentage of total revenue. For the three months ended September 30, 2021, our gross loss was $380 compared to a gross loss of $199 for the three months ended September 30, 2020. For the nine months ended September 30, 2021, our gross loss was $393 compared to a gross profit of $860 for the nine months ended September 30, 2020.</w:t>
      </w:r>
    </w:p>
    <w:p>
      <w:pPr>
        <w:spacing w:after="0" w:line="18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Our gross profit (loss) margin percentage decreased to (2.4%) for the three months ended September 30, 2021 compared to (7.1%) in the same period in 2020. The decrease in gross loss was primarily related to an increase in outside services for the production of AVFUs of $415, discount on the sale of AVFUs for $399, which was partially offset by an increase in facility build outs that contributed $433 to gross profit.</w:t>
      </w:r>
    </w:p>
    <w:p>
      <w:pPr>
        <w:spacing w:after="0" w:line="16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gross profit (loss) margin percentage decreased to (1.1%) for the nine months ended September 30, 2021 compared to a 11.1% increase in the same period in 2020. The decrease in gross profit was primarily related to (i) an increase in outside services in the production of AVFU’s during the quarter of $415 and other product related increases of $523, (ii) the discount on the sale of AVFU’s sold during the quarter of $399, and (iii) revenue mix that included higher revenue from facility build-outs which contributed $944 to gross profit.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Research and development expenses consisted primarily of costs incurred for the development of our Agrify™ Insights software and next generation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AVFUs, which includes:</w:t>
      </w:r>
    </w:p>
    <w:p>
      <w:pPr>
        <w:spacing w:after="0" w:line="21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expenses incurred by subcontractor under agreements to provide engineering work related to the development of our next generation AVFUs;</w:t>
      </w:r>
    </w:p>
    <w:p>
      <w:pPr>
        <w:spacing w:after="0" w:line="248"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related to our facilities, depreciation, and other expenses, which include direct and allocated expenses for rent and maintenance of facilities, insurance and other supplies.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ind w:firstLine="324"/>
        <w:spacing w:after="0" w:line="259" w:lineRule="auto"/>
        <w:rPr>
          <w:sz w:val="20"/>
          <w:szCs w:val="20"/>
          <w:color w:val="auto"/>
        </w:rPr>
      </w:pPr>
      <w:r>
        <w:rPr>
          <w:rFonts w:ascii="Arial" w:cs="Arial" w:eastAsia="Arial" w:hAnsi="Arial"/>
          <w:sz w:val="18"/>
          <w:szCs w:val="18"/>
          <w:color w:val="auto"/>
        </w:rPr>
        <w:t>For the three months ended September 30, 2021 and 2020, research and development expenses were $827 and $449, respectively. The increase of $378 is primarily attributable to increase in employee-related expenses, including salaries, benefits, bonus, and stock-based compensation of $718. The increase in expenses was offset by the halted development of hardware solution for deployment of rapid grow solution of $141 in the third quarter of fiscal 2020 and expenses related to grant of stock options in the amount of $121.</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nine months ended September 30, 2021 and 2020, research and development expenses were $2,483 and $2,392, respectively. The increase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$91 is primarily attributable increase in employee-related expenses, including salaries, benefits, bonus, and stock-based compensation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$980 and an increase in other costs amounting to $425. The increase in expenses was offset by the halted development of hardware solution for deployment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rapid grow solution of $813 during 2020 and a decrease in consulting fees of $392.</w:t>
      </w:r>
    </w:p>
    <w:p>
      <w:pPr>
        <w:spacing w:after="0" w:line="211" w:lineRule="exact"/>
        <w:rPr>
          <w:sz w:val="20"/>
          <w:szCs w:val="20"/>
          <w:color w:val="auto"/>
        </w:rPr>
      </w:pPr>
    </w:p>
    <w:p>
      <w:pPr>
        <w:jc w:val="both"/>
        <w:ind w:right="80" w:firstLine="324"/>
        <w:spacing w:after="0" w:line="275" w:lineRule="auto"/>
        <w:rPr>
          <w:sz w:val="20"/>
          <w:szCs w:val="20"/>
          <w:color w:val="auto"/>
        </w:rPr>
      </w:pPr>
      <w:r>
        <w:rPr>
          <w:rFonts w:ascii="Arial" w:cs="Arial" w:eastAsia="Arial" w:hAnsi="Arial"/>
          <w:sz w:val="17"/>
          <w:szCs w:val="17"/>
          <w:color w:val="auto"/>
        </w:rPr>
        <w:t>As a percentage of net revenue, research and development expenses were 5.3% and 16%, respectively, from total revenue for the three months ended September 30, 2021 and 2020. As a percentage of net revenue, research and development expenses were 7.1% and 30.9%, respectively, from total revenue for the nine months ended September 30, 2021 and 2020 (or 7.1% and 20.4% when excluding the one-time halted cost). We expect to continue to invest in future developments of our AVFUs and Agrify™ Insights software. In the coming years, we believe that research and development expenses measured as percentage of revenue will decrease due to an increase in our total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include professional fees for legal, consulting and accounting services as well as facility related costs.</w:t>
      </w:r>
    </w:p>
    <w:p>
      <w:pPr>
        <w:spacing w:after="0" w:line="184"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For the three months ended September 30, 2021 and 2020, general and administrative expenses were $8,595 and $1,937, respectively. The increase is attributable mainly to payroll and related expenses of $1,356, stock-based compensation in the amount of $855, one time termination of financing in the amount of $2,400, legal expenses of $438, insurance expenses of $735 and depreciation and amortization expenses of $157.</w:t>
      </w:r>
    </w:p>
    <w:p>
      <w:pPr>
        <w:spacing w:after="0" w:line="16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For the nine months ended September 30, 2021 and 2020, general and administrative expenses were $18,850 and $6,940, respectively. The increase is attributable mainly to payroll and related expenses of $2,726, stock-based compensation in the amount of $3,289, one time termination of financing $2,400, insurance expenses of $1,843, legal expenses of $571, marketing and sales related expenses of $496 and depreciation and amortization expenses of $401.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Interest income was $45 for the three months ended September 30, 2021, compared to interest expense of $103 for the three months ended September 30, 2020, reflecting a change of $148. Interest income was $68 for the nine months ended September 30, 2021, compared to interest expense of $139 for the nine months ended September 30, 2020, reflecting a change of $207. The increase in interest income is attributable mainly to interest from held to maturity securities.</w:t>
      </w:r>
    </w:p>
    <w:p>
      <w:pPr>
        <w:spacing w:after="0" w:line="18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Other expenses were $15 and $78 for the three and nine months ended September 30, 2021, respectively, compared to null for the three and nine months ended September 30, 2020, are attributable to interest expense related items.</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Gain on extinguishment of notes payable was null and $2,685 for the three and nine months ended September 30, 2021, respectively, compared to null for the three and nine months ended September 30,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Income (Loss) Attributable to Non-Controlling Interest</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consolidate the results of operations of two less than wholly-owned entities into our consolidated results of operations. On December 8, 2019, we formed Agrify-Valiant, LLC, a joint-venture limited liability company in which we are 60% majority owner and Valiant-America, LLC owns 40%. Agrify-Valiant,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7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Upon the closing of the February Offering, we had approximately $139 million in cash and cash equivalents. We believe such amount, together with cash flows from financing, will be sufficient to support our planned operations for at least the next 12 months. Our current working capital needs are to support accounts receivable growth,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6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entered into two Loan Agreements and Promissory Notes (collectively the “PPP Loan”) with Bank of America pursuant to the Paycheck Protection Program (the “PPP”) under the Coronavirus Aid, Relief, and Economic Security Act (“CARES Act”) administered by the U.S. Small Business Administration. We received total proceeds of approximately $823 from the unsecured PPP Loans which are scheduled to mature during 2022 and 2025. Subject to certain conditions, the PPP Loan may be forgiven in whole or in part by applying for forgiveness pursuant to the CARES Act and the PPP. We applied for the forgiveness of the PPP Loans during the third and fourth quarters of 2021 for approximately $44. If the remaining principal amount is not forgiven in full, we would be obligated to repay any principal amount not forgiven and interest accrued thereon.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nine months ended September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3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39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cash (used in) provided by:</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(10,723)</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Investing Activities</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(84,683)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(1,195)</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5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16,670</w:t>
            </w:r>
          </w:p>
        </w:tc>
      </w:tr>
      <w:tr>
        <w:trPr>
          <w:trHeight w:val="655"/>
        </w:trPr>
        <w:tc>
          <w:tcPr>
            <w:tcW w:w="39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For the nine months ended September 30, 2021, we incurred a net loss of $19,204, which included non-cash expenses of $508 related to depreciation and amortization, $4,007 in connection with the issuance and acceleration of stock options, stock-based payment of $176 related to HMH acquisition, non-cash interest expenses of $50 related to loans, and gain attributed to non-controlling interest in the amount of $153. Net cash was reduced by a $7,861 increase in accounts receivable, a $5,227 increase in prepaid inventory due to demand forecast and a $3,523 increase in prepaid expenses, partially offset by a $7,367 increase in accrued expenses and other current liabilities and $7,906 increase in accounts payable.</w:t>
      </w:r>
    </w:p>
    <w:p>
      <w:pPr>
        <w:spacing w:after="0" w:line="176"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For the nine months ended September 30, 2020, we realized net loss of $8,562, which included non-cash expenses of $261 related to depreciation and amortization, $803 in connection with the issuance of stock options, non-cash interest expenses of $95 related to the issuance of notes payable and $119 from the disposal of fixed assets, partially offset by loss attributed to non-controlling interest in the amount of $49. Net cash was reduced by a $622 increase in accounts receivable, a $1,673 increase in prepaid inventory due to demand forecast, a $2,099 decrease in deferred revenue, partially offset by $507 increase in accrued expenses, a $42 decrease in prepaid expenses, and a $455 increase in accounts payable.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Net cash used in investing activities relates to capital expenditures and purchase of held to maturity securities. The capital expenditures support growth and investment in property and equipment, to expand research, development and testing capabilities and, to a lesser extent, the replacement of existing equipment.</w:t>
      </w:r>
    </w:p>
    <w:p>
      <w:pPr>
        <w:spacing w:after="0" w:line="184"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For the nine months ended September 30, 2021, net cash used in investing activities was $84,683, which included $3,536 for leasehold improvements, purchasing computer equipment and small machinery, a $12,686 issuance of loan receivable and $68,461 purchases of held to maturity securities.</w:t>
      </w:r>
    </w:p>
    <w:p>
      <w:pPr>
        <w:spacing w:after="0" w:line="12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For the nine months ended September 30, 2020, net cash used in investing activities was $1,195, which included $1,092 paid in connection with the acquisition of TriGrow and $103 cash outflow for purchasing computer equipment and small machinery.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For the nine months ended September 30, 2021, net cash provided by financing activities was $138,875, attributable to $56,961 proceeds from our initial IPO, $79,839 from our secondary public offering, both net of fees, and proceeds from the exercise of options and warrants of $2,229, offset by $154 payments of financing leases.</w:t>
      </w:r>
    </w:p>
    <w:p>
      <w:pPr>
        <w:spacing w:after="0" w:line="184"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For the nine months ended September 30, 2020, net cash provided by financing activities was $16,670, primarily attributable to the $10,000 proceeds from the issuance of our Series A Preferred Stock, $5,800 proceeds from the issuance of notes payable and the $823 PPP Loan under the CARES Act.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“smaller reporting company” as defined by Item 10 of Regulation S-K, the Company is not required to provide information required by this Item.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Disclosure controls and procedures (as defined in paragraph (e) of Rules 13a-15 and 15d-15 under the Exchange Act) are controls and other procedures that are designed to ensure that the information required to be disclosed in reports that we file or submit under the Exchange Act is recorded, processed, summarized and reported within the time periods specified under the rules and forms of the SEC. Disclosure controls and procedures include, without limitation, controls and procedures designed to ensure that such information required to be disclosed in our reports filed or submitted under the Exchange Act is accumulated and communicated to our management, including our Chief Executive Officer and our Chief Financial Officer, as appropriate to allow timely decisions regarding required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required by paragraph (b) of Rules 13a-15 and 15d-15 under the Exchange Act, our Chief Executive Officer and our Chief Financial Officer carried out an evaluation of the effectiveness of the design and operation of our disclosure controls and procedures as of September 30, 2021. Based on this evaluation, our Chief Executive Officer and our Chief Financial Officer concluded that our disclosure controls and procedures were not effective at the reasonable assurance level as of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implementing certain measures to remediate the material weaknesses identified in the design and operation of our internal control over financial reporting, including hiring additional qualified personnel, further documentation and implementation of control procedures and the implementation of control monitoring. Other than those measures, there have been no changes in our internal control over financial reporting (as such term is defined in Rules 13a-15(f) and 15d-15(f) under the Exchange Act)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From time to time, we are a party to various legal proceedings or claims arising in the ordinary course of business. For information related to legal proceedings, see the discussion under the caption Legal Proceedings in Note 16 - Commitments and Contingencies to our condensed consolidated financial statements included in Part I, Item 1 of this Quarterly Report, which information is incorporated by reference into this Part II, Item 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and are not required to provide the information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On November 8, 2021, our Board of Directors appointed Thomas Massie, a Board member, as President and Chief Operating Officer and Timothy Oakes, also a Board member, as Chief Financial Officer, effective as of November 10, 2021. Robert Harrison, who currently serves as our COO, will become the Senior Vice President, Manufacturing Operations. As CFO, Mr. Oakes will step down from our Board of Directors and succeed Niv Krikov, who will remain an advisor for the next several months to assist with the transition and support our other initiatives.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18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Rule 13(a)-14(a)/15(d)-14(a) Certification of principal executive officer</w:t>
              </w:r>
            </w:hyperlink>
          </w:p>
        </w:tc>
        <w:tc>
          <w:tcPr>
            <w:tcW w:w="492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Rule 13(a)-14(a)/15(d)-14(a) Certification of principal financial and accounting officer</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Section 1350 Certification of principal executive officer</w:t>
              </w:r>
            </w:hyperlink>
          </w:p>
        </w:tc>
        <w:tc>
          <w:tcPr>
            <w:tcW w:w="606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Section 1350 Certification of principal financial and accounting officer</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jc w:val="both"/>
        <w:ind w:left="340" w:right="10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Niv Krikov</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Raymond Chang,</w:t>
      </w:r>
      <w:r>
        <w:rPr>
          <w:rFonts w:ascii="Arial" w:cs="Arial" w:eastAsia="Arial" w:hAnsi="Arial"/>
          <w:sz w:val="18"/>
          <w:szCs w:val="18"/>
          <w:color w:val="auto"/>
        </w:rPr>
        <w:t xml:space="preserve"> certify that:</w:t>
      </w:r>
    </w:p>
    <w:p>
      <w:pPr>
        <w:spacing w:after="0" w:line="229" w:lineRule="exact"/>
        <w:rPr>
          <w:sz w:val="20"/>
          <w:szCs w:val="20"/>
          <w:color w:val="auto"/>
        </w:rPr>
      </w:pPr>
    </w:p>
    <w:p>
      <w:pPr>
        <w:ind w:left="380" w:hanging="318"/>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Agrify Corporation (the “Company”) for the quarterly period ended September 30, 2021;</w:t>
      </w:r>
    </w:p>
    <w:p>
      <w:pPr>
        <w:spacing w:after="0" w:line="236" w:lineRule="exact"/>
        <w:rPr>
          <w:rFonts w:ascii="Arial" w:cs="Arial" w:eastAsia="Arial" w:hAnsi="Arial"/>
          <w:sz w:val="17"/>
          <w:szCs w:val="17"/>
          <w:color w:val="auto"/>
        </w:rPr>
      </w:pPr>
    </w:p>
    <w:p>
      <w:pPr>
        <w:ind w:left="380" w:right="20" w:hanging="318"/>
        <w:spacing w:after="0" w:line="263"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360" w:hanging="318"/>
        <w:spacing w:after="0" w:line="30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380" w:hanging="318"/>
        <w:spacing w:after="0" w:line="263"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80" w:right="340" w:hanging="335"/>
        <w:spacing w:after="0" w:line="263"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right="20" w:hanging="335"/>
        <w:spacing w:after="0" w:line="263"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80" w:right="840" w:hanging="335"/>
        <w:spacing w:after="0" w:line="342" w:lineRule="auto"/>
        <w:tabs>
          <w:tab w:leader="none" w:pos="6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80" w:right="60" w:hanging="335"/>
        <w:spacing w:after="0" w:line="263"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80" w:right="280" w:hanging="318"/>
        <w:spacing w:after="0" w:line="30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40" w:hanging="335"/>
        <w:spacing w:after="0" w:line="277"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0" w:hanging="335"/>
        <w:spacing w:after="0" w:line="277"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Date: November 10, 2021</w:t>
            </w:r>
          </w:p>
        </w:tc>
        <w:tc>
          <w:tcPr>
            <w:tcW w:w="3000" w:type="dxa"/>
            <w:vAlign w:val="bottom"/>
          </w:tcPr>
          <w:p>
            <w:pPr>
              <w:ind w:left="24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2"/>
        </w:trPr>
        <w:tc>
          <w:tcPr>
            <w:tcW w:w="4320" w:type="dxa"/>
            <w:vAlign w:val="bottom"/>
          </w:tcPr>
          <w:p>
            <w:pPr>
              <w:spacing w:after="0"/>
              <w:rPr>
                <w:sz w:val="17"/>
                <w:szCs w:val="17"/>
                <w:color w:val="auto"/>
              </w:rPr>
            </w:pPr>
          </w:p>
        </w:tc>
        <w:tc>
          <w:tcPr>
            <w:tcW w:w="3000" w:type="dxa"/>
            <w:vAlign w:val="bottom"/>
          </w:tcPr>
          <w:p>
            <w:pPr>
              <w:ind w:left="24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Niv Krikov</w:t>
      </w:r>
      <w:r>
        <w:rPr>
          <w:rFonts w:ascii="Arial" w:cs="Arial" w:eastAsia="Arial" w:hAnsi="Arial"/>
          <w:sz w:val="18"/>
          <w:szCs w:val="18"/>
          <w:color w:val="auto"/>
        </w:rPr>
        <w:t>, certify that:</w:t>
      </w:r>
    </w:p>
    <w:p>
      <w:pPr>
        <w:spacing w:after="0" w:line="229" w:lineRule="exact"/>
        <w:rPr>
          <w:sz w:val="20"/>
          <w:szCs w:val="20"/>
          <w:color w:val="auto"/>
        </w:rPr>
      </w:pPr>
    </w:p>
    <w:p>
      <w:pPr>
        <w:ind w:left="380" w:hanging="318"/>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Agrify Corporation (the “Company”) for the quarterly period ended September 30, 2021;</w:t>
      </w:r>
    </w:p>
    <w:p>
      <w:pPr>
        <w:spacing w:after="0" w:line="236" w:lineRule="exact"/>
        <w:rPr>
          <w:rFonts w:ascii="Arial" w:cs="Arial" w:eastAsia="Arial" w:hAnsi="Arial"/>
          <w:sz w:val="17"/>
          <w:szCs w:val="17"/>
          <w:color w:val="auto"/>
        </w:rPr>
      </w:pPr>
    </w:p>
    <w:p>
      <w:pPr>
        <w:ind w:left="380" w:right="20" w:hanging="318"/>
        <w:spacing w:after="0" w:line="26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360" w:hanging="318"/>
        <w:spacing w:after="0" w:line="308"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380" w:hanging="318"/>
        <w:spacing w:after="0" w:line="26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80" w:right="340" w:hanging="335"/>
        <w:spacing w:after="0" w:line="263"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80" w:right="20" w:hanging="335"/>
        <w:spacing w:after="0" w:line="263"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80" w:right="840" w:hanging="335"/>
        <w:spacing w:after="0" w:line="342" w:lineRule="auto"/>
        <w:tabs>
          <w:tab w:leader="none" w:pos="6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80" w:right="60" w:hanging="335"/>
        <w:spacing w:after="0" w:line="263"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80" w:right="280" w:hanging="318"/>
        <w:spacing w:after="0" w:line="308"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40" w:hanging="335"/>
        <w:spacing w:after="0" w:line="277"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0" w:hanging="335"/>
        <w:spacing w:after="0" w:line="277"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Date: November 10, 2021</w:t>
            </w:r>
          </w:p>
        </w:tc>
        <w:tc>
          <w:tcPr>
            <w:tcW w:w="3000" w:type="dxa"/>
            <w:vAlign w:val="bottom"/>
          </w:tcPr>
          <w:p>
            <w:pPr>
              <w:ind w:left="24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Niv Krikov</w:t>
            </w:r>
          </w:p>
        </w:tc>
      </w:tr>
      <w:tr>
        <w:trPr>
          <w:trHeight w:val="202"/>
        </w:trPr>
        <w:tc>
          <w:tcPr>
            <w:tcW w:w="4320" w:type="dxa"/>
            <w:vAlign w:val="bottom"/>
          </w:tcPr>
          <w:p>
            <w:pPr>
              <w:spacing w:after="0"/>
              <w:rPr>
                <w:sz w:val="17"/>
                <w:szCs w:val="17"/>
                <w:color w:val="auto"/>
              </w:rPr>
            </w:pPr>
          </w:p>
        </w:tc>
        <w:tc>
          <w:tcPr>
            <w:tcW w:w="3000" w:type="dxa"/>
            <w:vAlign w:val="bottom"/>
          </w:tcPr>
          <w:p>
            <w:pPr>
              <w:ind w:left="24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Niv Krikov</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on Form 10-Q of Agrify Corporation (the “Company”) for the quarterly period ended September 30, 2021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Date: November 10, 2021</w:t>
            </w:r>
          </w:p>
        </w:tc>
        <w:tc>
          <w:tcPr>
            <w:tcW w:w="3000" w:type="dxa"/>
            <w:vAlign w:val="bottom"/>
          </w:tcPr>
          <w:p>
            <w:pPr>
              <w:ind w:left="24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2"/>
        </w:trPr>
        <w:tc>
          <w:tcPr>
            <w:tcW w:w="4320" w:type="dxa"/>
            <w:vAlign w:val="bottom"/>
          </w:tcPr>
          <w:p>
            <w:pPr>
              <w:spacing w:after="0"/>
              <w:rPr>
                <w:sz w:val="17"/>
                <w:szCs w:val="17"/>
                <w:color w:val="auto"/>
              </w:rPr>
            </w:pPr>
          </w:p>
        </w:tc>
        <w:tc>
          <w:tcPr>
            <w:tcW w:w="3000" w:type="dxa"/>
            <w:vAlign w:val="bottom"/>
          </w:tcPr>
          <w:p>
            <w:pPr>
              <w:ind w:left="24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on Form 10-Q of Agrify Corporation (the “Company”) for the quarterly period ended September 30, 2021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Date: November 10, 2021</w:t>
            </w:r>
          </w:p>
        </w:tc>
        <w:tc>
          <w:tcPr>
            <w:tcW w:w="3000" w:type="dxa"/>
            <w:vAlign w:val="bottom"/>
          </w:tcPr>
          <w:p>
            <w:pPr>
              <w:ind w:left="24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Niv Krikov</w:t>
            </w:r>
          </w:p>
        </w:tc>
      </w:tr>
      <w:tr>
        <w:trPr>
          <w:trHeight w:val="202"/>
        </w:trPr>
        <w:tc>
          <w:tcPr>
            <w:tcW w:w="4320" w:type="dxa"/>
            <w:vAlign w:val="bottom"/>
          </w:tcPr>
          <w:p>
            <w:pPr>
              <w:spacing w:after="0"/>
              <w:rPr>
                <w:sz w:val="17"/>
                <w:szCs w:val="17"/>
                <w:color w:val="auto"/>
              </w:rPr>
            </w:pPr>
          </w:p>
        </w:tc>
        <w:tc>
          <w:tcPr>
            <w:tcW w:w="3000" w:type="dxa"/>
            <w:vAlign w:val="bottom"/>
          </w:tcPr>
          <w:p>
            <w:pPr>
              <w:ind w:left="24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Niv Krikov</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2021-11-12T06:22:03Z</dcterms:created>
  <dcterms:modified xsi:type="dcterms:W3CDTF">2021-11-12T06:22:03Z</dcterms:modified>
</cp:coreProperties>
</file>