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caps w:val="false"/>
          <w:smallCaps w:val="false"/>
          <w:bdr w:val="single" w:sz="16" w:space="1" w:color="000000"/>
        </w:rPr>
      </w:pPr>
      <w:bookmarkStart w:id="0" w:name="f10k2021_agrifycorp.htm"/>
      <w:bookmarkStart w:id="1" w:name="ksf10k2021_agrifycorp"/>
      <w:bookmarkEnd w:id="0"/>
      <w:bookmarkEnd w:id="1"/>
      <w:r>
        <w:rPr>
          <w:caps w:val="false"/>
          <w:smallCaps w:val="false"/>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001-39946</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090" w:type="dxa"/>
        <w:jc w:val="left"/>
        <w:tblInd w:w="0" w:type="dxa"/>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shd w:fill="auto" w:val="clear"/>
            <w:vAlign w:val="center"/>
          </w:tcPr>
          <w:p>
            <w:pPr>
              <w:pStyle w:val="TableContents"/>
              <w:spacing w:before="0" w:after="283"/>
              <w:jc w:val="center"/>
              <w:rPr>
                <w:b/>
                <w:sz w:val="20"/>
              </w:rPr>
            </w:pPr>
            <w:r>
              <w:rPr>
                <w:b/>
                <w:sz w:val="20"/>
              </w:rPr>
              <w:t>Nevada</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b/>
                <w:sz w:val="20"/>
              </w:rPr>
            </w:pPr>
            <w:r>
              <w:rPr>
                <w:b/>
                <w:sz w:val="20"/>
              </w:rPr>
              <w:t>30-0943453</w:t>
            </w:r>
          </w:p>
        </w:tc>
      </w:tr>
      <w:tr>
        <w:trPr/>
        <w:tc>
          <w:tcPr>
            <w:tcW w:w="249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 Treble Cove Rd.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Billerica, MA 01862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(617) 896-5243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680"/>
        <w:gridCol w:w="60"/>
        <w:gridCol w:w="1655"/>
        <w:gridCol w:w="60"/>
        <w:gridCol w:w="3395"/>
      </w:tblGrid>
      <w:tr>
        <w:trPr/>
        <w:tc>
          <w:tcPr>
            <w:tcW w:w="3680" w:type="dxa"/>
            <w:tcBorders>
              <w:bottom w:val="single" w:sz="12" w:space="0" w:color="000000"/>
            </w:tcBorders>
            <w:shd w:fill="auto" w:val="clear"/>
            <w:vAlign w:val="center"/>
          </w:tcPr>
          <w:p>
            <w:pPr>
              <w:pStyle w:val="TableContents"/>
              <w:spacing w:before="0" w:after="283"/>
              <w:jc w:val="center"/>
              <w:rPr>
                <w:b/>
                <w:sz w:val="20"/>
              </w:rPr>
            </w:pPr>
            <w:r>
              <w:rPr>
                <w:b/>
                <w:sz w:val="20"/>
              </w:rPr>
              <w:t>(Title of Class)</w:t>
            </w:r>
          </w:p>
        </w:tc>
        <w:tc>
          <w:tcPr>
            <w:tcW w:w="60" w:type="dxa"/>
            <w:tcBorders/>
            <w:shd w:fill="auto" w:val="clear"/>
            <w:tcMar>
              <w:bottom w:w="0" w:type="dxa"/>
            </w:tcMar>
            <w:vAlign w:val="center"/>
          </w:tcPr>
          <w:p>
            <w:pPr>
              <w:pStyle w:val="TableContents"/>
              <w:spacing w:before="0" w:after="283"/>
              <w:jc w:val="center"/>
              <w:rPr/>
            </w:pPr>
            <w:r>
              <w:rPr/>
              <w:t> </w:t>
            </w:r>
          </w:p>
        </w:tc>
        <w:tc>
          <w:tcPr>
            <w:tcW w:w="1655" w:type="dxa"/>
            <w:tcBorders>
              <w:bottom w:val="single" w:sz="12" w:space="0" w:color="000000"/>
            </w:tcBorders>
            <w:shd w:fill="auto" w:val="clear"/>
            <w:vAlign w:val="center"/>
          </w:tcPr>
          <w:p>
            <w:pPr>
              <w:pStyle w:val="TableContents"/>
              <w:spacing w:before="0" w:after="283"/>
              <w:jc w:val="center"/>
              <w:rPr>
                <w:b/>
                <w:sz w:val="20"/>
              </w:rPr>
            </w:pPr>
            <w:r>
              <w:rPr>
                <w:b/>
                <w:sz w:val="20"/>
              </w:rPr>
              <w:t>Trading Symbol (s)</w:t>
            </w:r>
          </w:p>
        </w:tc>
        <w:tc>
          <w:tcPr>
            <w:tcW w:w="60" w:type="dxa"/>
            <w:tcBorders/>
            <w:shd w:fill="auto" w:val="clear"/>
            <w:tcMar>
              <w:bottom w:w="0" w:type="dxa"/>
            </w:tcMar>
            <w:vAlign w:val="center"/>
          </w:tcPr>
          <w:p>
            <w:pPr>
              <w:pStyle w:val="TableContents"/>
              <w:spacing w:before="0" w:after="283"/>
              <w:jc w:val="center"/>
              <w:rPr/>
            </w:pPr>
            <w:r>
              <w:rPr/>
              <w:t> </w:t>
            </w:r>
          </w:p>
        </w:tc>
        <w:tc>
          <w:tcPr>
            <w:tcW w:w="3395" w:type="dxa"/>
            <w:tcBorders>
              <w:bottom w:val="single" w:sz="12" w:space="0" w:color="000000"/>
            </w:tcBorders>
            <w:shd w:fill="auto" w:val="clear"/>
            <w:vAlign w:val="center"/>
          </w:tcPr>
          <w:p>
            <w:pPr>
              <w:pStyle w:val="TableContents"/>
              <w:spacing w:before="0" w:after="283"/>
              <w:jc w:val="center"/>
              <w:rPr>
                <w:b/>
                <w:sz w:val="20"/>
              </w:rPr>
            </w:pPr>
            <w:r>
              <w:rPr>
                <w:b/>
                <w:sz w:val="20"/>
              </w:rPr>
              <w:t>(Name of exchange on which registered)</w:t>
            </w:r>
          </w:p>
        </w:tc>
      </w:tr>
      <w:tr>
        <w:trPr/>
        <w:tc>
          <w:tcPr>
            <w:tcW w:w="3680" w:type="dxa"/>
            <w:tcBorders/>
            <w:shd w:fill="CCEEFF" w:val="clear"/>
            <w:tcMar>
              <w:bottom w:w="0" w:type="dxa"/>
            </w:tcMar>
            <w:vAlign w:val="center"/>
          </w:tcPr>
          <w:p>
            <w:pPr>
              <w:pStyle w:val="TableContents"/>
              <w:spacing w:before="0" w:after="283"/>
              <w:jc w:val="center"/>
              <w:rPr>
                <w:b/>
                <w:sz w:val="20"/>
              </w:rPr>
            </w:pPr>
            <w:r>
              <w:rPr>
                <w:b/>
                <w:sz w:val="20"/>
              </w:rPr>
              <w:t>Common Stock, par value $0.001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655" w:type="dxa"/>
            <w:tcBorders/>
            <w:shd w:fill="CCEEFF" w:val="clear"/>
            <w:tcMar>
              <w:bottom w:w="0" w:type="dxa"/>
            </w:tcMar>
            <w:vAlign w:val="center"/>
          </w:tcPr>
          <w:p>
            <w:pPr>
              <w:pStyle w:val="TableContents"/>
              <w:spacing w:before="0" w:after="283"/>
              <w:jc w:val="center"/>
              <w:rPr>
                <w:b/>
                <w:sz w:val="20"/>
              </w:rPr>
            </w:pPr>
            <w:r>
              <w:rPr>
                <w:b/>
                <w:sz w:val="20"/>
              </w:rPr>
              <w:t xml:space="preserve">AGFY </w:t>
            </w:r>
          </w:p>
        </w:tc>
        <w:tc>
          <w:tcPr>
            <w:tcW w:w="60" w:type="dxa"/>
            <w:tcBorders/>
            <w:shd w:fill="CCEEFF" w:val="clear"/>
            <w:tcMar>
              <w:bottom w:w="0" w:type="dxa"/>
            </w:tcMar>
            <w:vAlign w:val="center"/>
          </w:tcPr>
          <w:p>
            <w:pPr>
              <w:pStyle w:val="TableContents"/>
              <w:spacing w:before="0" w:after="283"/>
              <w:jc w:val="center"/>
              <w:rPr/>
            </w:pPr>
            <w:r>
              <w:rPr/>
              <w:t> </w:t>
            </w:r>
          </w:p>
        </w:tc>
        <w:tc>
          <w:tcPr>
            <w:tcW w:w="3395" w:type="dxa"/>
            <w:tcBorders/>
            <w:shd w:fill="CCEEFF" w:val="clear"/>
            <w:tcMar>
              <w:bottom w:w="0" w:type="dxa"/>
            </w:tcMar>
            <w:vAlign w:val="center"/>
          </w:tcPr>
          <w:p>
            <w:pPr>
              <w:pStyle w:val="TableContents"/>
              <w:spacing w:before="0" w:after="283"/>
              <w:jc w:val="center"/>
              <w:rPr>
                <w:b/>
                <w:sz w:val="20"/>
              </w:rPr>
            </w:pPr>
            <w:r>
              <w:rPr>
                <w:b/>
                <w:sz w:val="20"/>
              </w:rPr>
              <w:t>NASDAQ Capital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15(d)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or a non-accelerated filer, or a smaller reporting company. See definition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835"/>
        <w:gridCol w:w="230"/>
        <w:gridCol w:w="2225"/>
        <w:gridCol w:w="245"/>
      </w:tblGrid>
      <w:tr>
        <w:trPr/>
        <w:tc>
          <w:tcPr>
            <w:tcW w:w="1835" w:type="dxa"/>
            <w:tcBorders/>
            <w:shd w:fill="auto" w:val="clear"/>
            <w:vAlign w:val="center"/>
          </w:tcPr>
          <w:p>
            <w:pPr>
              <w:pStyle w:val="TableContents"/>
              <w:spacing w:before="0" w:after="283"/>
              <w:rPr>
                <w:sz w:val="20"/>
              </w:rPr>
            </w:pPr>
            <w:r>
              <w:rPr>
                <w:sz w:val="20"/>
              </w:rPr>
              <w:t>Large accelerated filer</w:t>
            </w:r>
          </w:p>
        </w:tc>
        <w:tc>
          <w:tcPr>
            <w:tcW w:w="230" w:type="dxa"/>
            <w:tcBorders/>
            <w:shd w:fill="auto" w:val="clear"/>
            <w:vAlign w:val="center"/>
          </w:tcPr>
          <w:p>
            <w:pPr>
              <w:pStyle w:val="TableContents"/>
              <w:spacing w:before="0" w:after="283"/>
              <w:rPr/>
            </w:pPr>
            <w:r>
              <w:rPr/>
              <w:t>☐</w:t>
            </w:r>
          </w:p>
        </w:tc>
        <w:tc>
          <w:tcPr>
            <w:tcW w:w="2225" w:type="dxa"/>
            <w:tcBorders/>
            <w:shd w:fill="auto" w:val="clear"/>
            <w:vAlign w:val="center"/>
          </w:tcPr>
          <w:p>
            <w:pPr>
              <w:pStyle w:val="TableContents"/>
              <w:spacing w:before="0" w:after="283"/>
              <w:rPr>
                <w:sz w:val="20"/>
              </w:rPr>
            </w:pPr>
            <w:r>
              <w:rPr>
                <w:sz w:val="20"/>
              </w:rPr>
              <w:t>Accelerated filer</w:t>
            </w:r>
          </w:p>
        </w:tc>
        <w:tc>
          <w:tcPr>
            <w:tcW w:w="245" w:type="dxa"/>
            <w:tcBorders/>
            <w:shd w:fill="auto" w:val="clear"/>
            <w:vAlign w:val="center"/>
          </w:tcPr>
          <w:p>
            <w:pPr>
              <w:pStyle w:val="TableContents"/>
              <w:spacing w:before="0" w:after="283"/>
              <w:rPr/>
            </w:pPr>
            <w:r>
              <w:rPr/>
              <w:t>☐</w:t>
            </w:r>
          </w:p>
        </w:tc>
      </w:tr>
      <w:tr>
        <w:trPr/>
        <w:tc>
          <w:tcPr>
            <w:tcW w:w="1835" w:type="dxa"/>
            <w:tcBorders/>
            <w:shd w:fill="auto" w:val="clear"/>
            <w:vAlign w:val="center"/>
          </w:tcPr>
          <w:p>
            <w:pPr>
              <w:pStyle w:val="TableContents"/>
              <w:spacing w:before="0" w:after="283"/>
              <w:rPr>
                <w:sz w:val="20"/>
              </w:rPr>
            </w:pPr>
            <w:r>
              <w:rPr>
                <w:sz w:val="20"/>
              </w:rPr>
              <w:t>Non-accelerated filer</w:t>
            </w:r>
          </w:p>
        </w:tc>
        <w:tc>
          <w:tcPr>
            <w:tcW w:w="230" w:type="dxa"/>
            <w:tcBorders/>
            <w:shd w:fill="auto" w:val="clear"/>
            <w:vAlign w:val="center"/>
          </w:tcPr>
          <w:p>
            <w:pPr>
              <w:pStyle w:val="TableContents"/>
              <w:spacing w:before="0" w:after="283"/>
              <w:rPr/>
            </w:pPr>
            <w:r>
              <w:rPr/>
              <w:t>☒</w:t>
            </w:r>
          </w:p>
        </w:tc>
        <w:tc>
          <w:tcPr>
            <w:tcW w:w="2225" w:type="dxa"/>
            <w:tcBorders/>
            <w:shd w:fill="auto" w:val="clear"/>
            <w:vAlign w:val="center"/>
          </w:tcPr>
          <w:p>
            <w:pPr>
              <w:pStyle w:val="TableContents"/>
              <w:spacing w:before="0" w:after="283"/>
              <w:rPr>
                <w:sz w:val="20"/>
              </w:rPr>
            </w:pPr>
            <w:r>
              <w:rPr>
                <w:sz w:val="20"/>
              </w:rPr>
              <w:t>Smaller reporting company</w:t>
            </w:r>
          </w:p>
        </w:tc>
        <w:tc>
          <w:tcPr>
            <w:tcW w:w="245" w:type="dxa"/>
            <w:tcBorders/>
            <w:shd w:fill="auto" w:val="clear"/>
            <w:vAlign w:val="center"/>
          </w:tcPr>
          <w:p>
            <w:pPr>
              <w:pStyle w:val="TableContents"/>
              <w:spacing w:before="0" w:after="283"/>
              <w:rPr/>
            </w:pPr>
            <w:r>
              <w:rPr/>
              <w:t>☒</w:t>
            </w:r>
          </w:p>
        </w:tc>
      </w:tr>
      <w:tr>
        <w:trPr/>
        <w:tc>
          <w:tcPr>
            <w:tcW w:w="2065" w:type="dxa"/>
            <w:gridSpan w:val="2"/>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sz w:val="20"/>
              </w:rPr>
            </w:pPr>
            <w:r>
              <w:rPr>
                <w:sz w:val="20"/>
              </w:rPr>
              <w:t>Emerging growth company</w:t>
            </w:r>
          </w:p>
        </w:tc>
        <w:tc>
          <w:tcPr>
            <w:tcW w:w="245" w:type="dxa"/>
            <w:tcBorders/>
            <w:shd w:fill="auto" w:val="clear"/>
            <w:vAlign w:val="center"/>
          </w:tcPr>
          <w:p>
            <w:pPr>
              <w:pStyle w:val="TableContents"/>
              <w:spacing w:before="0" w:after="283"/>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computed by reference to the price at which the common equity was last sold, or the average bid and asked price of such common equity, as of June 30, 2021 was approximately $226,200,793.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a total of 26,542,898 shares of the registrant’s common stock, par value $0.001 per share, outstanding as of March 24,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DOCUMENTS INCORPORATED BY REFERENCE: </w:t>
      </w:r>
      <w:r>
        <w:rPr>
          <w:rFonts w:ascii="Times New Roman;Times;Serif" w:hAnsi="Times New Roman;Times;Serif"/>
          <w:b w:val="false"/>
          <w:i w:val="false"/>
          <w:caps w:val="false"/>
          <w:smallCaps w:val="false"/>
          <w:sz w:val="20"/>
        </w:rPr>
        <w:t>Portions of the registrant’s definitive proxy statement for the 2022 Annual Meeting of Stockholders to be filed with the Securities and Exchange Commission pursuant to Regulation 14A are incorporated by reference into Part III of this Annual Report on Form 10-K to the extent stated herein.</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54"/>
        <w:gridCol w:w="8750"/>
        <w:gridCol w:w="601"/>
      </w:tblGrid>
      <w:tr>
        <w:trPr/>
        <w:tc>
          <w:tcPr>
            <w:tcW w:w="854"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283"/>
              <w:rPr/>
            </w:pPr>
            <w:r>
              <w:rPr/>
              <w:t> </w:t>
            </w:r>
          </w:p>
        </w:tc>
        <w:tc>
          <w:tcPr>
            <w:tcW w:w="601" w:type="dxa"/>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Page #</w:t>
            </w:r>
          </w:p>
        </w:tc>
      </w:tr>
      <w:tr>
        <w:trPr/>
        <w:tc>
          <w:tcPr>
            <w:tcW w:w="854" w:type="dxa"/>
            <w:tcBorders/>
            <w:shd w:fill="CCEEFF" w:val="clear"/>
            <w:vAlign w:val="center"/>
          </w:tcPr>
          <w:p>
            <w:pPr>
              <w:pStyle w:val="TableContents"/>
              <w:spacing w:before="0" w:after="283"/>
              <w:rPr/>
            </w:pPr>
            <w:hyperlink w:anchor="agri_001">
              <w:r>
                <w:rPr>
                  <w:rStyle w:val="InternetLink"/>
                  <w:b/>
                  <w:sz w:val="20"/>
                </w:rPr>
                <w:t>PART I</w:t>
              </w:r>
            </w:hyperlink>
          </w:p>
        </w:tc>
        <w:tc>
          <w:tcPr>
            <w:tcW w:w="8750"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r>
      <w:tr>
        <w:trPr/>
        <w:tc>
          <w:tcPr>
            <w:tcW w:w="854" w:type="dxa"/>
            <w:tcBorders/>
            <w:shd w:fill="CCEEFF" w:val="clear"/>
            <w:vAlign w:val="center"/>
          </w:tcPr>
          <w:p>
            <w:pPr>
              <w:pStyle w:val="TableContents"/>
              <w:spacing w:before="0" w:after="283"/>
              <w:rPr/>
            </w:pPr>
            <w:hyperlink w:anchor="agri_002">
              <w:r>
                <w:rPr>
                  <w:rStyle w:val="InternetLink"/>
                  <w:sz w:val="20"/>
                </w:rPr>
                <w:t>Item 1.</w:t>
              </w:r>
            </w:hyperlink>
          </w:p>
        </w:tc>
        <w:tc>
          <w:tcPr>
            <w:tcW w:w="8750" w:type="dxa"/>
            <w:tcBorders/>
            <w:shd w:fill="CCEEFF" w:val="clear"/>
            <w:vAlign w:val="center"/>
          </w:tcPr>
          <w:p>
            <w:pPr>
              <w:pStyle w:val="TableContents"/>
              <w:spacing w:before="0" w:after="283"/>
              <w:rPr/>
            </w:pPr>
            <w:hyperlink w:anchor="agri_002">
              <w:r>
                <w:rPr>
                  <w:rStyle w:val="InternetLink"/>
                  <w:sz w:val="20"/>
                </w:rPr>
                <w:t>Business</w:t>
              </w:r>
            </w:hyperlink>
          </w:p>
        </w:tc>
        <w:tc>
          <w:tcPr>
            <w:tcW w:w="601" w:type="dxa"/>
            <w:tcBorders/>
            <w:shd w:fill="CCEEFF" w:val="clear"/>
            <w:vAlign w:val="center"/>
          </w:tcPr>
          <w:p>
            <w:pPr>
              <w:pStyle w:val="TableContents"/>
              <w:spacing w:before="0" w:after="283"/>
              <w:jc w:val="center"/>
              <w:rPr>
                <w:sz w:val="20"/>
              </w:rPr>
            </w:pPr>
            <w:r>
              <w:rPr>
                <w:sz w:val="20"/>
              </w:rPr>
              <w:t>1</w:t>
            </w:r>
          </w:p>
        </w:tc>
      </w:tr>
      <w:tr>
        <w:trPr/>
        <w:tc>
          <w:tcPr>
            <w:tcW w:w="854" w:type="dxa"/>
            <w:tcBorders/>
            <w:shd w:fill="auto" w:val="clear"/>
            <w:vAlign w:val="center"/>
          </w:tcPr>
          <w:p>
            <w:pPr>
              <w:pStyle w:val="TableContents"/>
              <w:spacing w:before="0" w:after="283"/>
              <w:rPr/>
            </w:pPr>
            <w:hyperlink w:anchor="agri_003">
              <w:r>
                <w:rPr>
                  <w:rStyle w:val="InternetLink"/>
                  <w:sz w:val="20"/>
                </w:rPr>
                <w:t>Item 1A.</w:t>
              </w:r>
            </w:hyperlink>
          </w:p>
        </w:tc>
        <w:tc>
          <w:tcPr>
            <w:tcW w:w="8750" w:type="dxa"/>
            <w:tcBorders/>
            <w:shd w:fill="auto" w:val="clear"/>
            <w:vAlign w:val="center"/>
          </w:tcPr>
          <w:p>
            <w:pPr>
              <w:pStyle w:val="TableContents"/>
              <w:spacing w:before="0" w:after="283"/>
              <w:rPr/>
            </w:pPr>
            <w:hyperlink w:anchor="agri_003">
              <w:r>
                <w:rPr>
                  <w:rStyle w:val="InternetLink"/>
                  <w:sz w:val="20"/>
                </w:rPr>
                <w:t>Risk Factors</w:t>
              </w:r>
            </w:hyperlink>
          </w:p>
        </w:tc>
        <w:tc>
          <w:tcPr>
            <w:tcW w:w="601" w:type="dxa"/>
            <w:tcBorders/>
            <w:shd w:fill="auto" w:val="clear"/>
            <w:vAlign w:val="center"/>
          </w:tcPr>
          <w:p>
            <w:pPr>
              <w:pStyle w:val="TableContents"/>
              <w:spacing w:before="0" w:after="283"/>
              <w:jc w:val="center"/>
              <w:rPr>
                <w:sz w:val="20"/>
              </w:rPr>
            </w:pPr>
            <w:r>
              <w:rPr>
                <w:sz w:val="20"/>
              </w:rPr>
              <w:t>15</w:t>
            </w:r>
          </w:p>
        </w:tc>
      </w:tr>
      <w:tr>
        <w:trPr/>
        <w:tc>
          <w:tcPr>
            <w:tcW w:w="854" w:type="dxa"/>
            <w:tcBorders/>
            <w:shd w:fill="CCEEFF" w:val="clear"/>
            <w:vAlign w:val="center"/>
          </w:tcPr>
          <w:p>
            <w:pPr>
              <w:pStyle w:val="TableContents"/>
              <w:spacing w:before="0" w:after="283"/>
              <w:rPr/>
            </w:pPr>
            <w:hyperlink w:anchor="agri_004">
              <w:r>
                <w:rPr>
                  <w:rStyle w:val="InternetLink"/>
                  <w:sz w:val="20"/>
                </w:rPr>
                <w:t>Item 1B</w:t>
              </w:r>
            </w:hyperlink>
          </w:p>
        </w:tc>
        <w:tc>
          <w:tcPr>
            <w:tcW w:w="8750" w:type="dxa"/>
            <w:tcBorders/>
            <w:shd w:fill="CCEEFF" w:val="clear"/>
            <w:vAlign w:val="center"/>
          </w:tcPr>
          <w:p>
            <w:pPr>
              <w:pStyle w:val="TableContents"/>
              <w:spacing w:before="0" w:after="283"/>
              <w:rPr/>
            </w:pPr>
            <w:hyperlink w:anchor="agri_004">
              <w:r>
                <w:rPr>
                  <w:rStyle w:val="InternetLink"/>
                  <w:sz w:val="20"/>
                </w:rPr>
                <w:t>Unresolved Staff Comments</w:t>
              </w:r>
            </w:hyperlink>
          </w:p>
        </w:tc>
        <w:tc>
          <w:tcPr>
            <w:tcW w:w="601" w:type="dxa"/>
            <w:tcBorders/>
            <w:shd w:fill="CCEEFF" w:val="clear"/>
            <w:vAlign w:val="center"/>
          </w:tcPr>
          <w:p>
            <w:pPr>
              <w:pStyle w:val="TableContents"/>
              <w:spacing w:before="0" w:after="283"/>
              <w:jc w:val="center"/>
              <w:rPr>
                <w:sz w:val="20"/>
              </w:rPr>
            </w:pPr>
            <w:r>
              <w:rPr>
                <w:sz w:val="20"/>
              </w:rPr>
              <w:t>32</w:t>
            </w:r>
          </w:p>
        </w:tc>
      </w:tr>
      <w:tr>
        <w:trPr/>
        <w:tc>
          <w:tcPr>
            <w:tcW w:w="854" w:type="dxa"/>
            <w:tcBorders/>
            <w:shd w:fill="auto" w:val="clear"/>
            <w:vAlign w:val="center"/>
          </w:tcPr>
          <w:p>
            <w:pPr>
              <w:pStyle w:val="TableContents"/>
              <w:spacing w:before="0" w:after="283"/>
              <w:rPr/>
            </w:pPr>
            <w:hyperlink w:anchor="agri_005">
              <w:r>
                <w:rPr>
                  <w:rStyle w:val="InternetLink"/>
                  <w:sz w:val="20"/>
                </w:rPr>
                <w:t>Item 2.</w:t>
              </w:r>
            </w:hyperlink>
          </w:p>
        </w:tc>
        <w:tc>
          <w:tcPr>
            <w:tcW w:w="8750" w:type="dxa"/>
            <w:tcBorders/>
            <w:shd w:fill="auto" w:val="clear"/>
            <w:vAlign w:val="center"/>
          </w:tcPr>
          <w:p>
            <w:pPr>
              <w:pStyle w:val="TableContents"/>
              <w:spacing w:before="0" w:after="283"/>
              <w:rPr/>
            </w:pPr>
            <w:hyperlink w:anchor="agri_005">
              <w:r>
                <w:rPr>
                  <w:rStyle w:val="InternetLink"/>
                  <w:sz w:val="20"/>
                </w:rPr>
                <w:t>Properties</w:t>
              </w:r>
            </w:hyperlink>
          </w:p>
        </w:tc>
        <w:tc>
          <w:tcPr>
            <w:tcW w:w="601" w:type="dxa"/>
            <w:tcBorders/>
            <w:shd w:fill="auto" w:val="clear"/>
            <w:vAlign w:val="center"/>
          </w:tcPr>
          <w:p>
            <w:pPr>
              <w:pStyle w:val="TableContents"/>
              <w:spacing w:before="0" w:after="283"/>
              <w:jc w:val="center"/>
              <w:rPr>
                <w:sz w:val="20"/>
              </w:rPr>
            </w:pPr>
            <w:r>
              <w:rPr>
                <w:sz w:val="20"/>
              </w:rPr>
              <w:t>32</w:t>
            </w:r>
          </w:p>
        </w:tc>
      </w:tr>
      <w:tr>
        <w:trPr/>
        <w:tc>
          <w:tcPr>
            <w:tcW w:w="854" w:type="dxa"/>
            <w:tcBorders/>
            <w:shd w:fill="CCEEFF" w:val="clear"/>
            <w:vAlign w:val="center"/>
          </w:tcPr>
          <w:p>
            <w:pPr>
              <w:pStyle w:val="TableContents"/>
              <w:spacing w:before="0" w:after="283"/>
              <w:rPr/>
            </w:pPr>
            <w:hyperlink w:anchor="agri_006">
              <w:r>
                <w:rPr>
                  <w:rStyle w:val="InternetLink"/>
                  <w:sz w:val="20"/>
                </w:rPr>
                <w:t>Item 3.</w:t>
              </w:r>
            </w:hyperlink>
          </w:p>
        </w:tc>
        <w:tc>
          <w:tcPr>
            <w:tcW w:w="8750" w:type="dxa"/>
            <w:tcBorders/>
            <w:shd w:fill="CCEEFF" w:val="clear"/>
            <w:vAlign w:val="center"/>
          </w:tcPr>
          <w:p>
            <w:pPr>
              <w:pStyle w:val="TableContents"/>
              <w:spacing w:before="0" w:after="283"/>
              <w:rPr/>
            </w:pPr>
            <w:hyperlink w:anchor="agri_006">
              <w:r>
                <w:rPr>
                  <w:rStyle w:val="InternetLink"/>
                  <w:sz w:val="20"/>
                </w:rPr>
                <w:t>Legal Proceedings</w:t>
              </w:r>
            </w:hyperlink>
          </w:p>
        </w:tc>
        <w:tc>
          <w:tcPr>
            <w:tcW w:w="601" w:type="dxa"/>
            <w:tcBorders/>
            <w:shd w:fill="CCEEFF" w:val="clear"/>
            <w:vAlign w:val="center"/>
          </w:tcPr>
          <w:p>
            <w:pPr>
              <w:pStyle w:val="TableContents"/>
              <w:spacing w:before="0" w:after="283"/>
              <w:jc w:val="center"/>
              <w:rPr>
                <w:sz w:val="20"/>
              </w:rPr>
            </w:pPr>
            <w:r>
              <w:rPr>
                <w:sz w:val="20"/>
              </w:rPr>
              <w:t>32</w:t>
            </w:r>
          </w:p>
        </w:tc>
      </w:tr>
      <w:tr>
        <w:trPr/>
        <w:tc>
          <w:tcPr>
            <w:tcW w:w="854" w:type="dxa"/>
            <w:tcBorders/>
            <w:shd w:fill="auto" w:val="clear"/>
            <w:vAlign w:val="center"/>
          </w:tcPr>
          <w:p>
            <w:pPr>
              <w:pStyle w:val="TableContents"/>
              <w:spacing w:before="0" w:after="283"/>
              <w:rPr/>
            </w:pPr>
            <w:hyperlink w:anchor="agri_007">
              <w:r>
                <w:rPr>
                  <w:rStyle w:val="InternetLink"/>
                  <w:sz w:val="20"/>
                </w:rPr>
                <w:t>Item 4.</w:t>
              </w:r>
            </w:hyperlink>
          </w:p>
        </w:tc>
        <w:tc>
          <w:tcPr>
            <w:tcW w:w="8750" w:type="dxa"/>
            <w:tcBorders/>
            <w:shd w:fill="auto" w:val="clear"/>
            <w:vAlign w:val="center"/>
          </w:tcPr>
          <w:p>
            <w:pPr>
              <w:pStyle w:val="TableContents"/>
              <w:spacing w:before="0" w:after="283"/>
              <w:rPr/>
            </w:pPr>
            <w:hyperlink w:anchor="agri_007">
              <w:r>
                <w:rPr>
                  <w:rStyle w:val="InternetLink"/>
                  <w:sz w:val="20"/>
                </w:rPr>
                <w:t>Mine Safety Disclosures</w:t>
              </w:r>
            </w:hyperlink>
          </w:p>
        </w:tc>
        <w:tc>
          <w:tcPr>
            <w:tcW w:w="601" w:type="dxa"/>
            <w:tcBorders/>
            <w:shd w:fill="auto" w:val="clear"/>
            <w:vAlign w:val="center"/>
          </w:tcPr>
          <w:p>
            <w:pPr>
              <w:pStyle w:val="TableContents"/>
              <w:spacing w:before="0" w:after="283"/>
              <w:jc w:val="center"/>
              <w:rPr>
                <w:sz w:val="20"/>
              </w:rPr>
            </w:pPr>
            <w:r>
              <w:rPr>
                <w:sz w:val="20"/>
              </w:rPr>
              <w:t>32</w:t>
            </w:r>
          </w:p>
        </w:tc>
      </w:tr>
      <w:tr>
        <w:trPr/>
        <w:tc>
          <w:tcPr>
            <w:tcW w:w="854" w:type="dxa"/>
            <w:tcBorders/>
            <w:shd w:fill="CCEEFF" w:val="clear"/>
            <w:vAlign w:val="center"/>
          </w:tcPr>
          <w:p>
            <w:pPr>
              <w:pStyle w:val="TableContents"/>
              <w:spacing w:before="0" w:after="283"/>
              <w:rPr/>
            </w:pPr>
            <w:r>
              <w:rPr/>
              <w:t> </w:t>
            </w:r>
          </w:p>
        </w:tc>
        <w:tc>
          <w:tcPr>
            <w:tcW w:w="8750"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center"/>
              <w:rPr/>
            </w:pPr>
            <w:r>
              <w:rPr/>
              <w:t> </w:t>
            </w:r>
          </w:p>
        </w:tc>
      </w:tr>
      <w:tr>
        <w:trPr/>
        <w:tc>
          <w:tcPr>
            <w:tcW w:w="10205" w:type="dxa"/>
            <w:gridSpan w:val="3"/>
            <w:tcBorders/>
            <w:shd w:fill="auto" w:val="clear"/>
            <w:vAlign w:val="center"/>
          </w:tcPr>
          <w:p>
            <w:pPr>
              <w:pStyle w:val="TableContents"/>
              <w:spacing w:before="0" w:after="283"/>
              <w:rPr/>
            </w:pPr>
            <w:hyperlink w:anchor="agri_008">
              <w:r>
                <w:rPr>
                  <w:rStyle w:val="InternetLink"/>
                  <w:b/>
                  <w:sz w:val="20"/>
                </w:rPr>
                <w:t>PART II</w:t>
              </w:r>
            </w:hyperlink>
          </w:p>
        </w:tc>
      </w:tr>
      <w:tr>
        <w:trPr/>
        <w:tc>
          <w:tcPr>
            <w:tcW w:w="10205" w:type="dxa"/>
            <w:gridSpan w:val="3"/>
            <w:tcBorders/>
            <w:shd w:fill="CCEEFF"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pPr>
            <w:hyperlink w:anchor="agri_009">
              <w:r>
                <w:rPr>
                  <w:rStyle w:val="InternetLink"/>
                  <w:sz w:val="20"/>
                </w:rPr>
                <w:t>Item 5.</w:t>
              </w:r>
            </w:hyperlink>
          </w:p>
        </w:tc>
        <w:tc>
          <w:tcPr>
            <w:tcW w:w="8750" w:type="dxa"/>
            <w:tcBorders/>
            <w:shd w:fill="auto" w:val="clear"/>
            <w:vAlign w:val="center"/>
          </w:tcPr>
          <w:p>
            <w:pPr>
              <w:pStyle w:val="TableContents"/>
              <w:spacing w:before="0" w:after="283"/>
              <w:rPr/>
            </w:pPr>
            <w:hyperlink w:anchor="agri_009">
              <w:r>
                <w:rPr>
                  <w:rStyle w:val="InternetLink"/>
                  <w:sz w:val="20"/>
                </w:rPr>
                <w:t>Market for Registrant’s Common Equity, Related Stockholder Matters and Issuer Purchases of Equity Securities</w:t>
              </w:r>
            </w:hyperlink>
          </w:p>
        </w:tc>
        <w:tc>
          <w:tcPr>
            <w:tcW w:w="601" w:type="dxa"/>
            <w:tcBorders/>
            <w:shd w:fill="auto" w:val="clear"/>
            <w:vAlign w:val="center"/>
          </w:tcPr>
          <w:p>
            <w:pPr>
              <w:pStyle w:val="TableContents"/>
              <w:spacing w:before="0" w:after="283"/>
              <w:jc w:val="center"/>
              <w:rPr>
                <w:sz w:val="20"/>
              </w:rPr>
            </w:pPr>
            <w:r>
              <w:rPr>
                <w:sz w:val="20"/>
              </w:rPr>
              <w:t>33</w:t>
            </w:r>
          </w:p>
        </w:tc>
      </w:tr>
      <w:tr>
        <w:trPr/>
        <w:tc>
          <w:tcPr>
            <w:tcW w:w="854" w:type="dxa"/>
            <w:tcBorders/>
            <w:shd w:fill="CCEEFF" w:val="clear"/>
            <w:vAlign w:val="center"/>
          </w:tcPr>
          <w:p>
            <w:pPr>
              <w:pStyle w:val="TableContents"/>
              <w:spacing w:before="0" w:after="283"/>
              <w:rPr/>
            </w:pPr>
            <w:hyperlink w:anchor="agri_010">
              <w:r>
                <w:rPr>
                  <w:rStyle w:val="InternetLink"/>
                  <w:sz w:val="20"/>
                </w:rPr>
                <w:t>Item 6.</w:t>
              </w:r>
            </w:hyperlink>
          </w:p>
        </w:tc>
        <w:tc>
          <w:tcPr>
            <w:tcW w:w="8750" w:type="dxa"/>
            <w:tcBorders/>
            <w:shd w:fill="CCEEFF" w:val="clear"/>
            <w:vAlign w:val="center"/>
          </w:tcPr>
          <w:p>
            <w:pPr>
              <w:pStyle w:val="TableContents"/>
              <w:spacing w:before="0" w:after="283"/>
              <w:rPr/>
            </w:pPr>
            <w:hyperlink w:anchor="agri_010">
              <w:r>
                <w:rPr>
                  <w:rStyle w:val="InternetLink"/>
                  <w:sz w:val="20"/>
                </w:rPr>
                <w:t>[Reserved]</w:t>
              </w:r>
            </w:hyperlink>
          </w:p>
        </w:tc>
        <w:tc>
          <w:tcPr>
            <w:tcW w:w="601" w:type="dxa"/>
            <w:tcBorders/>
            <w:shd w:fill="CCEEFF" w:val="clear"/>
            <w:vAlign w:val="center"/>
          </w:tcPr>
          <w:p>
            <w:pPr>
              <w:pStyle w:val="TableContents"/>
              <w:spacing w:before="0" w:after="283"/>
              <w:jc w:val="center"/>
              <w:rPr>
                <w:sz w:val="20"/>
              </w:rPr>
            </w:pPr>
            <w:r>
              <w:rPr>
                <w:sz w:val="20"/>
              </w:rPr>
              <w:t>34</w:t>
            </w:r>
          </w:p>
        </w:tc>
      </w:tr>
      <w:tr>
        <w:trPr/>
        <w:tc>
          <w:tcPr>
            <w:tcW w:w="854" w:type="dxa"/>
            <w:tcBorders/>
            <w:shd w:fill="auto" w:val="clear"/>
            <w:vAlign w:val="center"/>
          </w:tcPr>
          <w:p>
            <w:pPr>
              <w:pStyle w:val="TableContents"/>
              <w:spacing w:before="0" w:after="283"/>
              <w:rPr/>
            </w:pPr>
            <w:hyperlink w:anchor="agri_011">
              <w:r>
                <w:rPr>
                  <w:rStyle w:val="InternetLink"/>
                  <w:sz w:val="20"/>
                </w:rPr>
                <w:t>Item 7.</w:t>
              </w:r>
            </w:hyperlink>
          </w:p>
        </w:tc>
        <w:tc>
          <w:tcPr>
            <w:tcW w:w="8750" w:type="dxa"/>
            <w:tcBorders/>
            <w:shd w:fill="auto" w:val="clear"/>
            <w:vAlign w:val="center"/>
          </w:tcPr>
          <w:p>
            <w:pPr>
              <w:pStyle w:val="TableContents"/>
              <w:spacing w:before="0" w:after="283"/>
              <w:rPr/>
            </w:pPr>
            <w:hyperlink w:anchor="agri_011">
              <w:r>
                <w:rPr>
                  <w:rStyle w:val="InternetLink"/>
                  <w:sz w:val="20"/>
                </w:rPr>
                <w:t>Management’s Discussion and Analysis of Financial Condition and Results of Operations</w:t>
              </w:r>
            </w:hyperlink>
          </w:p>
        </w:tc>
        <w:tc>
          <w:tcPr>
            <w:tcW w:w="601" w:type="dxa"/>
            <w:tcBorders/>
            <w:shd w:fill="auto" w:val="clear"/>
            <w:vAlign w:val="center"/>
          </w:tcPr>
          <w:p>
            <w:pPr>
              <w:pStyle w:val="TableContents"/>
              <w:spacing w:before="0" w:after="283"/>
              <w:jc w:val="center"/>
              <w:rPr>
                <w:sz w:val="20"/>
              </w:rPr>
            </w:pPr>
            <w:r>
              <w:rPr>
                <w:sz w:val="20"/>
              </w:rPr>
              <w:t>34</w:t>
            </w:r>
          </w:p>
        </w:tc>
      </w:tr>
      <w:tr>
        <w:trPr/>
        <w:tc>
          <w:tcPr>
            <w:tcW w:w="854" w:type="dxa"/>
            <w:tcBorders/>
            <w:shd w:fill="CCEEFF" w:val="clear"/>
            <w:vAlign w:val="center"/>
          </w:tcPr>
          <w:p>
            <w:pPr>
              <w:pStyle w:val="TableContents"/>
              <w:spacing w:before="0" w:after="283"/>
              <w:rPr/>
            </w:pPr>
            <w:hyperlink w:anchor="agri_012">
              <w:r>
                <w:rPr>
                  <w:rStyle w:val="InternetLink"/>
                  <w:sz w:val="20"/>
                </w:rPr>
                <w:t>Item 7A.</w:t>
              </w:r>
            </w:hyperlink>
          </w:p>
        </w:tc>
        <w:tc>
          <w:tcPr>
            <w:tcW w:w="8750" w:type="dxa"/>
            <w:tcBorders/>
            <w:shd w:fill="CCEEFF" w:val="clear"/>
            <w:vAlign w:val="center"/>
          </w:tcPr>
          <w:p>
            <w:pPr>
              <w:pStyle w:val="TableContents"/>
              <w:spacing w:before="0" w:after="283"/>
              <w:rPr/>
            </w:pPr>
            <w:hyperlink w:anchor="agri_012">
              <w:r>
                <w:rPr>
                  <w:rStyle w:val="InternetLink"/>
                  <w:sz w:val="20"/>
                </w:rPr>
                <w:t>Quantitative and Qualitative Disclosures About Market Risk</w:t>
              </w:r>
            </w:hyperlink>
          </w:p>
        </w:tc>
        <w:tc>
          <w:tcPr>
            <w:tcW w:w="601" w:type="dxa"/>
            <w:tcBorders/>
            <w:shd w:fill="CCEEFF" w:val="clear"/>
            <w:vAlign w:val="center"/>
          </w:tcPr>
          <w:p>
            <w:pPr>
              <w:pStyle w:val="TableContents"/>
              <w:spacing w:before="0" w:after="283"/>
              <w:jc w:val="center"/>
              <w:rPr>
                <w:sz w:val="20"/>
              </w:rPr>
            </w:pPr>
            <w:r>
              <w:rPr>
                <w:sz w:val="20"/>
              </w:rPr>
              <w:t>49</w:t>
            </w:r>
          </w:p>
        </w:tc>
      </w:tr>
      <w:tr>
        <w:trPr/>
        <w:tc>
          <w:tcPr>
            <w:tcW w:w="854" w:type="dxa"/>
            <w:tcBorders/>
            <w:shd w:fill="auto" w:val="clear"/>
            <w:vAlign w:val="center"/>
          </w:tcPr>
          <w:p>
            <w:pPr>
              <w:pStyle w:val="TableContents"/>
              <w:spacing w:before="0" w:after="283"/>
              <w:rPr/>
            </w:pPr>
            <w:hyperlink w:anchor="agri_013">
              <w:r>
                <w:rPr>
                  <w:rStyle w:val="InternetLink"/>
                  <w:sz w:val="20"/>
                </w:rPr>
                <w:t>Item 8.</w:t>
              </w:r>
            </w:hyperlink>
          </w:p>
        </w:tc>
        <w:tc>
          <w:tcPr>
            <w:tcW w:w="8750" w:type="dxa"/>
            <w:tcBorders/>
            <w:shd w:fill="auto" w:val="clear"/>
            <w:vAlign w:val="center"/>
          </w:tcPr>
          <w:p>
            <w:pPr>
              <w:pStyle w:val="TableContents"/>
              <w:spacing w:before="0" w:after="283"/>
              <w:rPr/>
            </w:pPr>
            <w:hyperlink w:anchor="agri_013">
              <w:r>
                <w:rPr>
                  <w:rStyle w:val="InternetLink"/>
                  <w:sz w:val="20"/>
                </w:rPr>
                <w:t>Financial Statements and Supplementary Data</w:t>
              </w:r>
            </w:hyperlink>
          </w:p>
        </w:tc>
        <w:tc>
          <w:tcPr>
            <w:tcW w:w="601" w:type="dxa"/>
            <w:tcBorders/>
            <w:shd w:fill="auto" w:val="clear"/>
            <w:vAlign w:val="center"/>
          </w:tcPr>
          <w:p>
            <w:pPr>
              <w:pStyle w:val="TableContents"/>
              <w:spacing w:before="0" w:after="283"/>
              <w:jc w:val="center"/>
              <w:rPr>
                <w:sz w:val="20"/>
              </w:rPr>
            </w:pPr>
            <w:r>
              <w:rPr>
                <w:sz w:val="20"/>
              </w:rPr>
              <w:t>49</w:t>
            </w:r>
          </w:p>
        </w:tc>
      </w:tr>
      <w:tr>
        <w:trPr/>
        <w:tc>
          <w:tcPr>
            <w:tcW w:w="854" w:type="dxa"/>
            <w:tcBorders/>
            <w:shd w:fill="CCEEFF" w:val="clear"/>
            <w:vAlign w:val="center"/>
          </w:tcPr>
          <w:p>
            <w:pPr>
              <w:pStyle w:val="TableContents"/>
              <w:spacing w:before="0" w:after="283"/>
              <w:rPr/>
            </w:pPr>
            <w:hyperlink w:anchor="agri_014">
              <w:r>
                <w:rPr>
                  <w:rStyle w:val="InternetLink"/>
                  <w:sz w:val="20"/>
                </w:rPr>
                <w:t>Item 9.</w:t>
              </w:r>
            </w:hyperlink>
          </w:p>
        </w:tc>
        <w:tc>
          <w:tcPr>
            <w:tcW w:w="8750" w:type="dxa"/>
            <w:tcBorders/>
            <w:shd w:fill="CCEEFF" w:val="clear"/>
            <w:vAlign w:val="center"/>
          </w:tcPr>
          <w:p>
            <w:pPr>
              <w:pStyle w:val="TableContents"/>
              <w:spacing w:before="0" w:after="283"/>
              <w:rPr/>
            </w:pPr>
            <w:hyperlink w:anchor="agri_014">
              <w:r>
                <w:rPr>
                  <w:rStyle w:val="InternetLink"/>
                  <w:sz w:val="20"/>
                </w:rPr>
                <w:t>Changes In and Disagreements With Accountants on Accounting and Financial Disclosure</w:t>
              </w:r>
            </w:hyperlink>
          </w:p>
        </w:tc>
        <w:tc>
          <w:tcPr>
            <w:tcW w:w="601" w:type="dxa"/>
            <w:tcBorders/>
            <w:shd w:fill="CCEEFF" w:val="clear"/>
            <w:vAlign w:val="center"/>
          </w:tcPr>
          <w:p>
            <w:pPr>
              <w:pStyle w:val="TableContents"/>
              <w:spacing w:before="0" w:after="283"/>
              <w:jc w:val="center"/>
              <w:rPr>
                <w:sz w:val="20"/>
              </w:rPr>
            </w:pPr>
            <w:r>
              <w:rPr>
                <w:sz w:val="20"/>
              </w:rPr>
              <w:t>49</w:t>
            </w:r>
          </w:p>
        </w:tc>
      </w:tr>
      <w:tr>
        <w:trPr/>
        <w:tc>
          <w:tcPr>
            <w:tcW w:w="854" w:type="dxa"/>
            <w:tcBorders/>
            <w:shd w:fill="auto" w:val="clear"/>
            <w:vAlign w:val="center"/>
          </w:tcPr>
          <w:p>
            <w:pPr>
              <w:pStyle w:val="TableContents"/>
              <w:spacing w:before="0" w:after="283"/>
              <w:rPr/>
            </w:pPr>
            <w:hyperlink w:anchor="agri_015">
              <w:r>
                <w:rPr>
                  <w:rStyle w:val="InternetLink"/>
                  <w:sz w:val="20"/>
                </w:rPr>
                <w:t>Item 9A.</w:t>
              </w:r>
            </w:hyperlink>
          </w:p>
        </w:tc>
        <w:tc>
          <w:tcPr>
            <w:tcW w:w="8750" w:type="dxa"/>
            <w:tcBorders/>
            <w:shd w:fill="auto" w:val="clear"/>
            <w:vAlign w:val="center"/>
          </w:tcPr>
          <w:p>
            <w:pPr>
              <w:pStyle w:val="TableContents"/>
              <w:spacing w:before="0" w:after="283"/>
              <w:rPr/>
            </w:pPr>
            <w:hyperlink w:anchor="agri_015">
              <w:r>
                <w:rPr>
                  <w:rStyle w:val="InternetLink"/>
                  <w:sz w:val="20"/>
                </w:rPr>
                <w:t>Controls and Procedures</w:t>
              </w:r>
            </w:hyperlink>
          </w:p>
        </w:tc>
        <w:tc>
          <w:tcPr>
            <w:tcW w:w="601" w:type="dxa"/>
            <w:tcBorders/>
            <w:shd w:fill="auto" w:val="clear"/>
            <w:vAlign w:val="center"/>
          </w:tcPr>
          <w:p>
            <w:pPr>
              <w:pStyle w:val="TableContents"/>
              <w:spacing w:before="0" w:after="283"/>
              <w:jc w:val="center"/>
              <w:rPr>
                <w:sz w:val="20"/>
              </w:rPr>
            </w:pPr>
            <w:r>
              <w:rPr>
                <w:sz w:val="20"/>
              </w:rPr>
              <w:t>49</w:t>
            </w:r>
          </w:p>
        </w:tc>
      </w:tr>
      <w:tr>
        <w:trPr/>
        <w:tc>
          <w:tcPr>
            <w:tcW w:w="854" w:type="dxa"/>
            <w:tcBorders/>
            <w:shd w:fill="CCEEFF" w:val="clear"/>
            <w:vAlign w:val="center"/>
          </w:tcPr>
          <w:p>
            <w:pPr>
              <w:pStyle w:val="TableContents"/>
              <w:spacing w:before="0" w:after="283"/>
              <w:rPr/>
            </w:pPr>
            <w:hyperlink w:anchor="agri_016">
              <w:r>
                <w:rPr>
                  <w:rStyle w:val="InternetLink"/>
                  <w:sz w:val="20"/>
                </w:rPr>
                <w:t>Item 9B.</w:t>
              </w:r>
            </w:hyperlink>
          </w:p>
        </w:tc>
        <w:tc>
          <w:tcPr>
            <w:tcW w:w="8750" w:type="dxa"/>
            <w:tcBorders/>
            <w:shd w:fill="CCEEFF" w:val="clear"/>
            <w:vAlign w:val="center"/>
          </w:tcPr>
          <w:p>
            <w:pPr>
              <w:pStyle w:val="TableContents"/>
              <w:spacing w:before="0" w:after="283"/>
              <w:rPr/>
            </w:pPr>
            <w:hyperlink w:anchor="agri_016">
              <w:r>
                <w:rPr>
                  <w:rStyle w:val="InternetLink"/>
                  <w:sz w:val="20"/>
                </w:rPr>
                <w:t>Other Information</w:t>
              </w:r>
            </w:hyperlink>
          </w:p>
        </w:tc>
        <w:tc>
          <w:tcPr>
            <w:tcW w:w="601" w:type="dxa"/>
            <w:tcBorders/>
            <w:shd w:fill="CCEEFF" w:val="clear"/>
            <w:vAlign w:val="center"/>
          </w:tcPr>
          <w:p>
            <w:pPr>
              <w:pStyle w:val="TableContents"/>
              <w:spacing w:before="0" w:after="283"/>
              <w:jc w:val="center"/>
              <w:rPr/>
            </w:pPr>
            <w:r>
              <w:rPr/>
              <w:t>50</w:t>
            </w:r>
          </w:p>
        </w:tc>
      </w:tr>
      <w:tr>
        <w:trPr/>
        <w:tc>
          <w:tcPr>
            <w:tcW w:w="854" w:type="dxa"/>
            <w:tcBorders/>
            <w:shd w:fill="auto" w:val="clear"/>
            <w:vAlign w:val="center"/>
          </w:tcPr>
          <w:p>
            <w:pPr>
              <w:pStyle w:val="TableContents"/>
              <w:spacing w:before="0" w:after="283"/>
              <w:rPr/>
            </w:pPr>
            <w:hyperlink w:anchor="item9c">
              <w:r>
                <w:rPr>
                  <w:rStyle w:val="InternetLink"/>
                </w:rPr>
                <w:t>Item 9C.</w:t>
              </w:r>
            </w:hyperlink>
          </w:p>
        </w:tc>
        <w:tc>
          <w:tcPr>
            <w:tcW w:w="8750" w:type="dxa"/>
            <w:tcBorders/>
            <w:shd w:fill="auto" w:val="clear"/>
            <w:vAlign w:val="center"/>
          </w:tcPr>
          <w:p>
            <w:pPr>
              <w:pStyle w:val="TableContents"/>
              <w:spacing w:before="0" w:after="283"/>
              <w:rPr/>
            </w:pPr>
            <w:hyperlink w:anchor="item9c">
              <w:r>
                <w:rPr>
                  <w:rStyle w:val="InternetLink"/>
                </w:rPr>
                <w:t>Disclosure Regarding Foreign Jurisdictions that Prevent Inspections.</w:t>
              </w:r>
            </w:hyperlink>
          </w:p>
        </w:tc>
        <w:tc>
          <w:tcPr>
            <w:tcW w:w="601" w:type="dxa"/>
            <w:tcBorders/>
            <w:shd w:fill="auto" w:val="clear"/>
            <w:vAlign w:val="center"/>
          </w:tcPr>
          <w:p>
            <w:pPr>
              <w:pStyle w:val="TableContents"/>
              <w:spacing w:before="0" w:after="283"/>
              <w:jc w:val="center"/>
              <w:rPr/>
            </w:pPr>
            <w:r>
              <w:rPr/>
              <w:t>50</w:t>
            </w:r>
          </w:p>
        </w:tc>
      </w:tr>
      <w:tr>
        <w:trPr/>
        <w:tc>
          <w:tcPr>
            <w:tcW w:w="854" w:type="dxa"/>
            <w:tcBorders/>
            <w:shd w:fill="CCEEFF" w:val="clear"/>
            <w:vAlign w:val="center"/>
          </w:tcPr>
          <w:p>
            <w:pPr>
              <w:pStyle w:val="TableContents"/>
              <w:spacing w:before="0" w:after="283"/>
              <w:rPr/>
            </w:pPr>
            <w:r>
              <w:rPr/>
              <w:t> </w:t>
            </w:r>
          </w:p>
        </w:tc>
        <w:tc>
          <w:tcPr>
            <w:tcW w:w="8750"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center"/>
              <w:rPr/>
            </w:pPr>
            <w:r>
              <w:rPr/>
              <w:t> </w:t>
            </w:r>
          </w:p>
        </w:tc>
      </w:tr>
      <w:tr>
        <w:trPr/>
        <w:tc>
          <w:tcPr>
            <w:tcW w:w="10205" w:type="dxa"/>
            <w:gridSpan w:val="3"/>
            <w:tcBorders/>
            <w:shd w:fill="auto" w:val="clear"/>
            <w:vAlign w:val="center"/>
          </w:tcPr>
          <w:p>
            <w:pPr>
              <w:pStyle w:val="TableContents"/>
              <w:spacing w:before="0" w:after="283"/>
              <w:rPr/>
            </w:pPr>
            <w:hyperlink w:anchor="agri_017">
              <w:r>
                <w:rPr>
                  <w:rStyle w:val="InternetLink"/>
                  <w:b/>
                  <w:sz w:val="20"/>
                </w:rPr>
                <w:t>PART III</w:t>
              </w:r>
            </w:hyperlink>
          </w:p>
        </w:tc>
      </w:tr>
      <w:tr>
        <w:trPr/>
        <w:tc>
          <w:tcPr>
            <w:tcW w:w="10205" w:type="dxa"/>
            <w:gridSpan w:val="3"/>
            <w:tcBorders/>
            <w:shd w:fill="CCEEFF"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pPr>
            <w:hyperlink w:anchor="agri_018">
              <w:r>
                <w:rPr>
                  <w:rStyle w:val="InternetLink"/>
                  <w:sz w:val="20"/>
                </w:rPr>
                <w:t>Item 10.</w:t>
              </w:r>
            </w:hyperlink>
          </w:p>
        </w:tc>
        <w:tc>
          <w:tcPr>
            <w:tcW w:w="8750" w:type="dxa"/>
            <w:tcBorders/>
            <w:shd w:fill="auto" w:val="clear"/>
            <w:vAlign w:val="center"/>
          </w:tcPr>
          <w:p>
            <w:pPr>
              <w:pStyle w:val="TableContents"/>
              <w:spacing w:before="0" w:after="283"/>
              <w:rPr/>
            </w:pPr>
            <w:hyperlink w:anchor="agri_018">
              <w:r>
                <w:rPr>
                  <w:rStyle w:val="InternetLink"/>
                  <w:sz w:val="20"/>
                </w:rPr>
                <w:t>Directors, Executive Officers and Corporate Governance</w:t>
              </w:r>
            </w:hyperlink>
          </w:p>
        </w:tc>
        <w:tc>
          <w:tcPr>
            <w:tcW w:w="601" w:type="dxa"/>
            <w:tcBorders/>
            <w:shd w:fill="auto" w:val="clear"/>
            <w:vAlign w:val="center"/>
          </w:tcPr>
          <w:p>
            <w:pPr>
              <w:pStyle w:val="TableContents"/>
              <w:spacing w:before="0" w:after="283"/>
              <w:jc w:val="center"/>
              <w:rPr>
                <w:sz w:val="20"/>
              </w:rPr>
            </w:pPr>
            <w:r>
              <w:rPr>
                <w:sz w:val="20"/>
              </w:rPr>
              <w:t>51</w:t>
            </w:r>
          </w:p>
        </w:tc>
      </w:tr>
      <w:tr>
        <w:trPr/>
        <w:tc>
          <w:tcPr>
            <w:tcW w:w="854" w:type="dxa"/>
            <w:tcBorders/>
            <w:shd w:fill="CCEEFF" w:val="clear"/>
            <w:vAlign w:val="center"/>
          </w:tcPr>
          <w:p>
            <w:pPr>
              <w:pStyle w:val="TableContents"/>
              <w:spacing w:before="0" w:after="283"/>
              <w:rPr/>
            </w:pPr>
            <w:hyperlink w:anchor="agri_019">
              <w:r>
                <w:rPr>
                  <w:rStyle w:val="InternetLink"/>
                  <w:sz w:val="20"/>
                </w:rPr>
                <w:t>Item 11.</w:t>
              </w:r>
            </w:hyperlink>
          </w:p>
        </w:tc>
        <w:tc>
          <w:tcPr>
            <w:tcW w:w="8750" w:type="dxa"/>
            <w:tcBorders/>
            <w:shd w:fill="CCEEFF" w:val="clear"/>
            <w:vAlign w:val="center"/>
          </w:tcPr>
          <w:p>
            <w:pPr>
              <w:pStyle w:val="TableContents"/>
              <w:spacing w:before="0" w:after="283"/>
              <w:rPr/>
            </w:pPr>
            <w:hyperlink w:anchor="agri_019">
              <w:r>
                <w:rPr>
                  <w:rStyle w:val="InternetLink"/>
                  <w:sz w:val="20"/>
                </w:rPr>
                <w:t>Executive Compensation</w:t>
              </w:r>
            </w:hyperlink>
          </w:p>
        </w:tc>
        <w:tc>
          <w:tcPr>
            <w:tcW w:w="601" w:type="dxa"/>
            <w:tcBorders/>
            <w:shd w:fill="CCEEFF" w:val="clear"/>
            <w:vAlign w:val="center"/>
          </w:tcPr>
          <w:p>
            <w:pPr>
              <w:pStyle w:val="TableContents"/>
              <w:spacing w:before="0" w:after="283"/>
              <w:jc w:val="center"/>
              <w:rPr>
                <w:sz w:val="20"/>
              </w:rPr>
            </w:pPr>
            <w:r>
              <w:rPr>
                <w:sz w:val="20"/>
              </w:rPr>
              <w:t>51</w:t>
            </w:r>
          </w:p>
        </w:tc>
      </w:tr>
      <w:tr>
        <w:trPr/>
        <w:tc>
          <w:tcPr>
            <w:tcW w:w="854" w:type="dxa"/>
            <w:tcBorders/>
            <w:shd w:fill="auto" w:val="clear"/>
            <w:vAlign w:val="center"/>
          </w:tcPr>
          <w:p>
            <w:pPr>
              <w:pStyle w:val="TableContents"/>
              <w:spacing w:before="0" w:after="283"/>
              <w:rPr/>
            </w:pPr>
            <w:hyperlink w:anchor="agri_020">
              <w:r>
                <w:rPr>
                  <w:rStyle w:val="InternetLink"/>
                  <w:sz w:val="20"/>
                </w:rPr>
                <w:t>Item 12.</w:t>
              </w:r>
            </w:hyperlink>
          </w:p>
        </w:tc>
        <w:tc>
          <w:tcPr>
            <w:tcW w:w="8750" w:type="dxa"/>
            <w:tcBorders/>
            <w:shd w:fill="auto" w:val="clear"/>
            <w:vAlign w:val="center"/>
          </w:tcPr>
          <w:p>
            <w:pPr>
              <w:pStyle w:val="TableContents"/>
              <w:spacing w:before="0" w:after="283"/>
              <w:rPr/>
            </w:pPr>
            <w:hyperlink w:anchor="agri_020">
              <w:r>
                <w:rPr>
                  <w:rStyle w:val="InternetLink"/>
                  <w:sz w:val="20"/>
                </w:rPr>
                <w:t>Security Ownership of Certain Beneficial Owners and Management and Related Stockholder Matters</w:t>
              </w:r>
            </w:hyperlink>
          </w:p>
        </w:tc>
        <w:tc>
          <w:tcPr>
            <w:tcW w:w="601" w:type="dxa"/>
            <w:tcBorders/>
            <w:shd w:fill="auto" w:val="clear"/>
            <w:vAlign w:val="center"/>
          </w:tcPr>
          <w:p>
            <w:pPr>
              <w:pStyle w:val="TableContents"/>
              <w:spacing w:before="0" w:after="283"/>
              <w:jc w:val="center"/>
              <w:rPr>
                <w:sz w:val="20"/>
              </w:rPr>
            </w:pPr>
            <w:r>
              <w:rPr>
                <w:sz w:val="20"/>
              </w:rPr>
              <w:t>51</w:t>
            </w:r>
          </w:p>
        </w:tc>
      </w:tr>
      <w:tr>
        <w:trPr/>
        <w:tc>
          <w:tcPr>
            <w:tcW w:w="854" w:type="dxa"/>
            <w:tcBorders/>
            <w:shd w:fill="CCEEFF" w:val="clear"/>
            <w:vAlign w:val="center"/>
          </w:tcPr>
          <w:p>
            <w:pPr>
              <w:pStyle w:val="TableContents"/>
              <w:spacing w:before="0" w:after="283"/>
              <w:rPr/>
            </w:pPr>
            <w:hyperlink w:anchor="agri_021">
              <w:r>
                <w:rPr>
                  <w:rStyle w:val="InternetLink"/>
                  <w:sz w:val="20"/>
                </w:rPr>
                <w:t>Item 13.</w:t>
              </w:r>
            </w:hyperlink>
          </w:p>
        </w:tc>
        <w:tc>
          <w:tcPr>
            <w:tcW w:w="8750" w:type="dxa"/>
            <w:tcBorders/>
            <w:shd w:fill="CCEEFF" w:val="clear"/>
            <w:vAlign w:val="center"/>
          </w:tcPr>
          <w:p>
            <w:pPr>
              <w:pStyle w:val="TableContents"/>
              <w:spacing w:before="0" w:after="283"/>
              <w:rPr/>
            </w:pPr>
            <w:hyperlink w:anchor="agri_021">
              <w:r>
                <w:rPr>
                  <w:rStyle w:val="InternetLink"/>
                  <w:sz w:val="20"/>
                </w:rPr>
                <w:t>Certain Relationships and Related Transactions, and Director Independence</w:t>
              </w:r>
            </w:hyperlink>
          </w:p>
        </w:tc>
        <w:tc>
          <w:tcPr>
            <w:tcW w:w="601" w:type="dxa"/>
            <w:tcBorders/>
            <w:shd w:fill="CCEEFF" w:val="clear"/>
            <w:vAlign w:val="center"/>
          </w:tcPr>
          <w:p>
            <w:pPr>
              <w:pStyle w:val="TableContents"/>
              <w:spacing w:before="0" w:after="283"/>
              <w:jc w:val="center"/>
              <w:rPr>
                <w:sz w:val="20"/>
              </w:rPr>
            </w:pPr>
            <w:r>
              <w:rPr>
                <w:sz w:val="20"/>
              </w:rPr>
              <w:t>51</w:t>
            </w:r>
          </w:p>
        </w:tc>
      </w:tr>
      <w:tr>
        <w:trPr/>
        <w:tc>
          <w:tcPr>
            <w:tcW w:w="854" w:type="dxa"/>
            <w:tcBorders/>
            <w:shd w:fill="auto" w:val="clear"/>
            <w:vAlign w:val="center"/>
          </w:tcPr>
          <w:p>
            <w:pPr>
              <w:pStyle w:val="TableContents"/>
              <w:spacing w:before="0" w:after="283"/>
              <w:rPr/>
            </w:pPr>
            <w:hyperlink w:anchor="agri_022">
              <w:r>
                <w:rPr>
                  <w:rStyle w:val="InternetLink"/>
                  <w:sz w:val="20"/>
                </w:rPr>
                <w:t>Item 14.</w:t>
              </w:r>
            </w:hyperlink>
          </w:p>
        </w:tc>
        <w:tc>
          <w:tcPr>
            <w:tcW w:w="8750" w:type="dxa"/>
            <w:tcBorders/>
            <w:shd w:fill="auto" w:val="clear"/>
            <w:vAlign w:val="center"/>
          </w:tcPr>
          <w:p>
            <w:pPr>
              <w:pStyle w:val="TableContents"/>
              <w:spacing w:before="0" w:after="283"/>
              <w:rPr/>
            </w:pPr>
            <w:hyperlink w:anchor="agri_022">
              <w:r>
                <w:rPr>
                  <w:rStyle w:val="InternetLink"/>
                  <w:sz w:val="20"/>
                </w:rPr>
                <w:t>Principal Accounting Fees and Services</w:t>
              </w:r>
            </w:hyperlink>
          </w:p>
        </w:tc>
        <w:tc>
          <w:tcPr>
            <w:tcW w:w="601" w:type="dxa"/>
            <w:tcBorders/>
            <w:shd w:fill="auto" w:val="clear"/>
            <w:vAlign w:val="center"/>
          </w:tcPr>
          <w:p>
            <w:pPr>
              <w:pStyle w:val="TableContents"/>
              <w:spacing w:before="0" w:after="283"/>
              <w:jc w:val="center"/>
              <w:rPr>
                <w:sz w:val="20"/>
              </w:rPr>
            </w:pPr>
            <w:r>
              <w:rPr>
                <w:sz w:val="20"/>
              </w:rPr>
              <w:t>51</w:t>
            </w:r>
          </w:p>
        </w:tc>
      </w:tr>
      <w:tr>
        <w:trPr/>
        <w:tc>
          <w:tcPr>
            <w:tcW w:w="854" w:type="dxa"/>
            <w:tcBorders/>
            <w:shd w:fill="CCEEFF" w:val="clear"/>
            <w:vAlign w:val="center"/>
          </w:tcPr>
          <w:p>
            <w:pPr>
              <w:pStyle w:val="TableContents"/>
              <w:spacing w:before="0" w:after="283"/>
              <w:rPr/>
            </w:pPr>
            <w:r>
              <w:rPr/>
              <w:t> </w:t>
            </w:r>
          </w:p>
        </w:tc>
        <w:tc>
          <w:tcPr>
            <w:tcW w:w="8750"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center"/>
              <w:rPr/>
            </w:pPr>
            <w:r>
              <w:rPr/>
              <w:t> </w:t>
            </w:r>
          </w:p>
        </w:tc>
      </w:tr>
      <w:tr>
        <w:trPr/>
        <w:tc>
          <w:tcPr>
            <w:tcW w:w="10205" w:type="dxa"/>
            <w:gridSpan w:val="3"/>
            <w:tcBorders/>
            <w:shd w:fill="auto" w:val="clear"/>
            <w:vAlign w:val="center"/>
          </w:tcPr>
          <w:p>
            <w:pPr>
              <w:pStyle w:val="TableContents"/>
              <w:spacing w:before="0" w:after="283"/>
              <w:rPr/>
            </w:pPr>
            <w:hyperlink w:anchor="agri_023">
              <w:r>
                <w:rPr>
                  <w:rStyle w:val="InternetLink"/>
                  <w:b/>
                  <w:sz w:val="20"/>
                </w:rPr>
                <w:t>PART IV</w:t>
              </w:r>
            </w:hyperlink>
          </w:p>
        </w:tc>
      </w:tr>
      <w:tr>
        <w:trPr/>
        <w:tc>
          <w:tcPr>
            <w:tcW w:w="10205" w:type="dxa"/>
            <w:gridSpan w:val="3"/>
            <w:tcBorders/>
            <w:shd w:fill="CCEEFF" w:val="clear"/>
            <w:vAlign w:val="center"/>
          </w:tcPr>
          <w:p>
            <w:pPr>
              <w:pStyle w:val="TableContents"/>
              <w:spacing w:before="0" w:after="283"/>
              <w:rPr/>
            </w:pPr>
            <w:r>
              <w:rPr/>
              <w:t> </w:t>
            </w:r>
          </w:p>
        </w:tc>
      </w:tr>
      <w:tr>
        <w:trPr/>
        <w:tc>
          <w:tcPr>
            <w:tcW w:w="854" w:type="dxa"/>
            <w:tcBorders/>
            <w:shd w:fill="auto" w:val="clear"/>
            <w:vAlign w:val="center"/>
          </w:tcPr>
          <w:p>
            <w:pPr>
              <w:pStyle w:val="TableContents"/>
              <w:spacing w:before="0" w:after="283"/>
              <w:rPr/>
            </w:pPr>
            <w:hyperlink w:anchor="agri_024">
              <w:r>
                <w:rPr>
                  <w:rStyle w:val="InternetLink"/>
                  <w:sz w:val="20"/>
                </w:rPr>
                <w:t>Item 15.</w:t>
              </w:r>
            </w:hyperlink>
          </w:p>
        </w:tc>
        <w:tc>
          <w:tcPr>
            <w:tcW w:w="8750" w:type="dxa"/>
            <w:tcBorders/>
            <w:shd w:fill="auto" w:val="clear"/>
            <w:vAlign w:val="center"/>
          </w:tcPr>
          <w:p>
            <w:pPr>
              <w:pStyle w:val="TableContents"/>
              <w:spacing w:before="0" w:after="283"/>
              <w:rPr/>
            </w:pPr>
            <w:hyperlink w:anchor="agri_024">
              <w:r>
                <w:rPr>
                  <w:rStyle w:val="InternetLink"/>
                  <w:sz w:val="20"/>
                </w:rPr>
                <w:t>Exhibits and Financial Statement Schedules</w:t>
              </w:r>
            </w:hyperlink>
          </w:p>
        </w:tc>
        <w:tc>
          <w:tcPr>
            <w:tcW w:w="601" w:type="dxa"/>
            <w:tcBorders/>
            <w:shd w:fill="auto" w:val="clear"/>
            <w:vAlign w:val="center"/>
          </w:tcPr>
          <w:p>
            <w:pPr>
              <w:pStyle w:val="TableContents"/>
              <w:spacing w:before="0" w:after="283"/>
              <w:jc w:val="center"/>
              <w:rPr>
                <w:sz w:val="20"/>
              </w:rPr>
            </w:pPr>
            <w:r>
              <w:rPr>
                <w:sz w:val="20"/>
              </w:rPr>
              <w:t>52</w:t>
            </w:r>
          </w:p>
        </w:tc>
      </w:tr>
      <w:tr>
        <w:trPr/>
        <w:tc>
          <w:tcPr>
            <w:tcW w:w="854" w:type="dxa"/>
            <w:tcBorders/>
            <w:shd w:fill="CCEEFF" w:val="clear"/>
            <w:vAlign w:val="center"/>
          </w:tcPr>
          <w:p>
            <w:pPr>
              <w:pStyle w:val="TableContents"/>
              <w:spacing w:before="0" w:after="283"/>
              <w:rPr/>
            </w:pPr>
            <w:hyperlink w:anchor="item16">
              <w:r>
                <w:rPr>
                  <w:rStyle w:val="InternetLink"/>
                  <w:sz w:val="20"/>
                </w:rPr>
                <w:t>Item 16.</w:t>
              </w:r>
            </w:hyperlink>
          </w:p>
        </w:tc>
        <w:tc>
          <w:tcPr>
            <w:tcW w:w="8750" w:type="dxa"/>
            <w:tcBorders/>
            <w:shd w:fill="CCEEFF" w:val="clear"/>
            <w:vAlign w:val="center"/>
          </w:tcPr>
          <w:p>
            <w:pPr>
              <w:pStyle w:val="TableContents"/>
              <w:spacing w:before="0" w:after="283"/>
              <w:rPr/>
            </w:pPr>
            <w:hyperlink w:anchor="item16">
              <w:r>
                <w:rPr>
                  <w:rStyle w:val="InternetLink"/>
                  <w:sz w:val="20"/>
                </w:rPr>
                <w:t>Form 10-K Summary</w:t>
              </w:r>
            </w:hyperlink>
          </w:p>
        </w:tc>
        <w:tc>
          <w:tcPr>
            <w:tcW w:w="601" w:type="dxa"/>
            <w:tcBorders/>
            <w:shd w:fill="CCEEFF" w:val="clear"/>
            <w:vAlign w:val="center"/>
          </w:tcPr>
          <w:p>
            <w:pPr>
              <w:pStyle w:val="TableContents"/>
              <w:spacing w:before="0" w:after="283"/>
              <w:jc w:val="center"/>
              <w:rPr/>
            </w:pPr>
            <w:r>
              <w:rPr/>
              <w:t>53</w:t>
            </w:r>
          </w:p>
        </w:tc>
      </w:tr>
      <w:tr>
        <w:trPr/>
        <w:tc>
          <w:tcPr>
            <w:tcW w:w="854"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center"/>
              <w:rPr/>
            </w:pPr>
            <w:r>
              <w:rPr/>
              <w:t> </w:t>
            </w:r>
          </w:p>
        </w:tc>
      </w:tr>
      <w:tr>
        <w:trPr/>
        <w:tc>
          <w:tcPr>
            <w:tcW w:w="9604" w:type="dxa"/>
            <w:gridSpan w:val="2"/>
            <w:tcBorders/>
            <w:shd w:fill="CCEEFF" w:val="clear"/>
            <w:vAlign w:val="center"/>
          </w:tcPr>
          <w:p>
            <w:pPr>
              <w:pStyle w:val="TableContents"/>
              <w:spacing w:before="0" w:after="283"/>
              <w:rPr/>
            </w:pPr>
            <w:hyperlink w:anchor="agri_025">
              <w:r>
                <w:rPr>
                  <w:rStyle w:val="InternetLink"/>
                  <w:sz w:val="20"/>
                </w:rPr>
                <w:t>Signatures</w:t>
              </w:r>
            </w:hyperlink>
          </w:p>
        </w:tc>
        <w:tc>
          <w:tcPr>
            <w:tcW w:w="601" w:type="dxa"/>
            <w:tcBorders/>
            <w:shd w:fill="CCEEFF" w:val="clear"/>
            <w:vAlign w:val="center"/>
          </w:tcPr>
          <w:p>
            <w:pPr>
              <w:pStyle w:val="TableContents"/>
              <w:spacing w:before="0" w:after="283"/>
              <w:jc w:val="center"/>
              <w:rPr>
                <w:sz w:val="20"/>
              </w:rPr>
            </w:pPr>
            <w:r>
              <w:rPr>
                <w:sz w:val="20"/>
              </w:rPr>
              <w:t>54</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pStyle w:val="TextBody"/>
        <w:spacing w:before="0" w:after="0"/>
        <w:ind w:left="0" w:right="0" w:firstLine="360"/>
        <w:rPr>
          <w:caps w:val="false"/>
          <w:smallCaps w:val="false"/>
        </w:rPr>
      </w:pPr>
      <w:r>
        <w:rPr>
          <w:caps w:val="false"/>
          <w:smallCaps w:val="false"/>
        </w:rPr>
        <w:t> </w:t>
      </w:r>
    </w:p>
    <w:tbl>
      <w:tblPr>
        <w:tblW w:w="2230" w:type="dxa"/>
        <w:jc w:val="left"/>
        <w:tblInd w:w="0" w:type="dxa"/>
        <w:tblCellMar>
          <w:top w:w="0" w:type="dxa"/>
          <w:left w:w="0" w:type="dxa"/>
          <w:bottom w:w="0" w:type="dxa"/>
          <w:right w:w="0" w:type="dxa"/>
        </w:tblCellMar>
      </w:tblPr>
      <w:tblGrid>
        <w:gridCol w:w="75"/>
        <w:gridCol w:w="170"/>
        <w:gridCol w:w="19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985" w:type="dxa"/>
            <w:tcBorders/>
            <w:shd w:fill="auto" w:val="clear"/>
            <w:vAlign w:val="center"/>
          </w:tcPr>
          <w:p>
            <w:pPr>
              <w:pStyle w:val="TableContents"/>
              <w:spacing w:before="0" w:after="283"/>
              <w:rPr>
                <w:sz w:val="20"/>
              </w:rPr>
            </w:pPr>
            <w:r>
              <w:rPr>
                <w:sz w:val="20"/>
              </w:rPr>
              <w:t>our market opportunity;</w:t>
            </w:r>
          </w:p>
        </w:tc>
      </w:tr>
    </w:tbl>
    <w:p>
      <w:pPr>
        <w:pStyle w:val="TextBody"/>
        <w:spacing w:before="0" w:after="0"/>
        <w:ind w:left="0" w:right="0" w:hanging="0"/>
        <w:rPr>
          <w:caps w:val="false"/>
          <w:smallCaps w:val="false"/>
        </w:rPr>
      </w:pPr>
      <w:r>
        <w:rPr>
          <w:caps w:val="false"/>
          <w:smallCaps w:val="false"/>
        </w:rPr>
        <w:t> </w:t>
      </w:r>
    </w:p>
    <w:tbl>
      <w:tblPr>
        <w:tblW w:w="8860" w:type="dxa"/>
        <w:jc w:val="left"/>
        <w:tblInd w:w="0" w:type="dxa"/>
        <w:tblCellMar>
          <w:top w:w="0" w:type="dxa"/>
          <w:left w:w="0" w:type="dxa"/>
          <w:bottom w:w="0" w:type="dxa"/>
          <w:right w:w="0" w:type="dxa"/>
        </w:tblCellMar>
      </w:tblPr>
      <w:tblGrid>
        <w:gridCol w:w="75"/>
        <w:gridCol w:w="170"/>
        <w:gridCol w:w="86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615" w:type="dxa"/>
            <w:tcBorders/>
            <w:shd w:fill="auto" w:val="clear"/>
            <w:vAlign w:val="center"/>
          </w:tcPr>
          <w:p>
            <w:pPr>
              <w:pStyle w:val="TableContents"/>
              <w:spacing w:before="0" w:after="283"/>
              <w:rPr>
                <w:sz w:val="20"/>
              </w:rPr>
            </w:pPr>
            <w:r>
              <w:rPr>
                <w:sz w:val="20"/>
              </w:rPr>
              <w:t>the effects of increased competition as well as innovations by new and existing competitors in our market;</w:t>
            </w:r>
          </w:p>
        </w:tc>
      </w:tr>
    </w:tbl>
    <w:p>
      <w:pPr>
        <w:pStyle w:val="TextBody"/>
        <w:spacing w:before="0" w:after="0"/>
        <w:ind w:left="0" w:right="0" w:hanging="0"/>
        <w:rPr>
          <w:caps w:val="false"/>
          <w:smallCaps w:val="false"/>
        </w:rPr>
      </w:pPr>
      <w:r>
        <w:rPr>
          <w:caps w:val="false"/>
          <w:smallCaps w:val="false"/>
        </w:rPr>
        <w:t> </w:t>
      </w:r>
    </w:p>
    <w:tbl>
      <w:tblPr>
        <w:tblW w:w="7090" w:type="dxa"/>
        <w:jc w:val="left"/>
        <w:tblInd w:w="0" w:type="dxa"/>
        <w:tblCellMar>
          <w:top w:w="0" w:type="dxa"/>
          <w:left w:w="0" w:type="dxa"/>
          <w:bottom w:w="0" w:type="dxa"/>
          <w:right w:w="0" w:type="dxa"/>
        </w:tblCellMar>
      </w:tblPr>
      <w:tblGrid>
        <w:gridCol w:w="75"/>
        <w:gridCol w:w="170"/>
        <w:gridCol w:w="68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845" w:type="dxa"/>
            <w:tcBorders/>
            <w:shd w:fill="auto" w:val="clear"/>
            <w:vAlign w:val="center"/>
          </w:tcPr>
          <w:p>
            <w:pPr>
              <w:pStyle w:val="TableContents"/>
              <w:spacing w:before="0" w:after="283"/>
              <w:rPr>
                <w:sz w:val="20"/>
              </w:rPr>
            </w:pPr>
            <w:r>
              <w:rPr>
                <w:sz w:val="20"/>
              </w:rPr>
              <w:t>our ability to retain our existing customers and to increase our number of customers;</w:t>
            </w:r>
          </w:p>
        </w:tc>
      </w:tr>
    </w:tbl>
    <w:p>
      <w:pPr>
        <w:pStyle w:val="TextBody"/>
        <w:spacing w:before="0" w:after="0"/>
        <w:ind w:left="0" w:right="0" w:hanging="0"/>
        <w:rPr>
          <w:caps w:val="false"/>
          <w:smallCaps w:val="false"/>
        </w:rPr>
      </w:pPr>
      <w:r>
        <w:rPr>
          <w:caps w:val="false"/>
          <w:smallCaps w:val="false"/>
        </w:rPr>
        <w:t> </w:t>
      </w:r>
    </w:p>
    <w:tbl>
      <w:tblPr>
        <w:tblW w:w="6970" w:type="dxa"/>
        <w:jc w:val="left"/>
        <w:tblInd w:w="0" w:type="dxa"/>
        <w:tblCellMar>
          <w:top w:w="0" w:type="dxa"/>
          <w:left w:w="0" w:type="dxa"/>
          <w:bottom w:w="0" w:type="dxa"/>
          <w:right w:w="0" w:type="dxa"/>
        </w:tblCellMar>
      </w:tblPr>
      <w:tblGrid>
        <w:gridCol w:w="75"/>
        <w:gridCol w:w="170"/>
        <w:gridCol w:w="67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725" w:type="dxa"/>
            <w:tcBorders/>
            <w:shd w:fill="auto" w:val="clear"/>
            <w:vAlign w:val="center"/>
          </w:tcPr>
          <w:p>
            <w:pPr>
              <w:pStyle w:val="TableContents"/>
              <w:spacing w:before="0" w:after="283"/>
              <w:rPr>
                <w:sz w:val="20"/>
              </w:rPr>
            </w:pPr>
            <w:r>
              <w:rPr>
                <w:sz w:val="20"/>
              </w:rPr>
              <w:t>the future growth of the indoor agriculture industry and demands of our customers;</w:t>
            </w:r>
          </w:p>
        </w:tc>
      </w:tr>
    </w:tbl>
    <w:p>
      <w:pPr>
        <w:pStyle w:val="TextBody"/>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75"/>
        <w:gridCol w:w="170"/>
        <w:gridCol w:w="45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505" w:type="dxa"/>
            <w:tcBorders/>
            <w:shd w:fill="auto" w:val="clear"/>
            <w:vAlign w:val="center"/>
          </w:tcPr>
          <w:p>
            <w:pPr>
              <w:pStyle w:val="TableContents"/>
              <w:spacing w:before="0" w:after="283"/>
              <w:rPr>
                <w:sz w:val="20"/>
              </w:rPr>
            </w:pPr>
            <w:r>
              <w:rPr>
                <w:sz w:val="20"/>
              </w:rPr>
              <w:t>our ability to effectively manage or sustain our growth;</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potential issuance of holdback shares from prior acquisitions and integration of complementary businesses and technologies;</w:t>
            </w:r>
          </w:p>
        </w:tc>
      </w:tr>
    </w:tbl>
    <w:p>
      <w:pPr>
        <w:pStyle w:val="TextBody"/>
        <w:spacing w:before="0" w:after="0"/>
        <w:ind w:left="0" w:right="0" w:hanging="0"/>
        <w:rPr>
          <w:caps w:val="false"/>
          <w:smallCaps w:val="false"/>
        </w:rPr>
      </w:pPr>
      <w:r>
        <w:rPr>
          <w:caps w:val="false"/>
          <w:smallCaps w:val="false"/>
        </w:rPr>
        <w:t> </w:t>
      </w:r>
    </w:p>
    <w:tbl>
      <w:tblPr>
        <w:tblW w:w="5260" w:type="dxa"/>
        <w:jc w:val="left"/>
        <w:tblInd w:w="0" w:type="dxa"/>
        <w:tblCellMar>
          <w:top w:w="0" w:type="dxa"/>
          <w:left w:w="0" w:type="dxa"/>
          <w:bottom w:w="0" w:type="dxa"/>
          <w:right w:w="0" w:type="dxa"/>
        </w:tblCellMar>
      </w:tblPr>
      <w:tblGrid>
        <w:gridCol w:w="75"/>
        <w:gridCol w:w="170"/>
        <w:gridCol w:w="50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283"/>
              <w:rPr>
                <w:sz w:val="20"/>
              </w:rPr>
            </w:pPr>
            <w:r>
              <w:rPr>
                <w:sz w:val="20"/>
              </w:rPr>
              <w:t>our ability to maintain, or strengthen awareness of, our brand;</w:t>
            </w:r>
          </w:p>
        </w:tc>
      </w:tr>
    </w:tbl>
    <w:p>
      <w:pPr>
        <w:pStyle w:val="TextBody"/>
        <w:spacing w:before="0" w:after="0"/>
        <w:ind w:left="0" w:right="0" w:hanging="0"/>
        <w:rPr>
          <w:caps w:val="false"/>
          <w:smallCaps w:val="false"/>
        </w:rPr>
      </w:pPr>
      <w:r>
        <w:rPr>
          <w:caps w:val="false"/>
          <w:smallCaps w:val="false"/>
        </w:rPr>
        <w:t> </w:t>
      </w:r>
    </w:p>
    <w:tbl>
      <w:tblPr>
        <w:tblW w:w="7225" w:type="dxa"/>
        <w:jc w:val="left"/>
        <w:tblInd w:w="0" w:type="dxa"/>
        <w:tblCellMar>
          <w:top w:w="0" w:type="dxa"/>
          <w:left w:w="0" w:type="dxa"/>
          <w:bottom w:w="0" w:type="dxa"/>
          <w:right w:w="0" w:type="dxa"/>
        </w:tblCellMar>
      </w:tblPr>
      <w:tblGrid>
        <w:gridCol w:w="75"/>
        <w:gridCol w:w="170"/>
        <w:gridCol w:w="69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980" w:type="dxa"/>
            <w:tcBorders/>
            <w:shd w:fill="auto" w:val="clear"/>
            <w:vAlign w:val="center"/>
          </w:tcPr>
          <w:p>
            <w:pPr>
              <w:pStyle w:val="TableContents"/>
              <w:spacing w:before="0" w:after="283"/>
              <w:rPr>
                <w:sz w:val="20"/>
              </w:rPr>
            </w:pPr>
            <w:r>
              <w:rPr>
                <w:sz w:val="20"/>
              </w:rPr>
              <w:t>future revenue, hiring plans, expenses, capital expenditures, and capital requirements;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our ability to comply with new or modified laws and regulations that currently apply or become applicable to our business;</w:t>
            </w:r>
          </w:p>
        </w:tc>
      </w:tr>
    </w:tbl>
    <w:p>
      <w:pPr>
        <w:pStyle w:val="TextBody"/>
        <w:spacing w:before="0" w:after="0"/>
        <w:ind w:left="0" w:right="0" w:hanging="0"/>
        <w:rPr>
          <w:caps w:val="false"/>
          <w:smallCaps w:val="false"/>
        </w:rPr>
      </w:pPr>
      <w:r>
        <w:rPr>
          <w:caps w:val="false"/>
          <w:smallCaps w:val="false"/>
        </w:rPr>
        <w:t> </w:t>
      </w:r>
    </w:p>
    <w:tbl>
      <w:tblPr>
        <w:tblW w:w="4555" w:type="dxa"/>
        <w:jc w:val="left"/>
        <w:tblInd w:w="0" w:type="dxa"/>
        <w:tblCellMar>
          <w:top w:w="0" w:type="dxa"/>
          <w:left w:w="0" w:type="dxa"/>
          <w:bottom w:w="0" w:type="dxa"/>
          <w:right w:w="0" w:type="dxa"/>
        </w:tblCellMar>
      </w:tblPr>
      <w:tblGrid>
        <w:gridCol w:w="75"/>
        <w:gridCol w:w="170"/>
        <w:gridCol w:w="43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310" w:type="dxa"/>
            <w:tcBorders/>
            <w:shd w:fill="auto" w:val="clear"/>
            <w:vAlign w:val="center"/>
          </w:tcPr>
          <w:p>
            <w:pPr>
              <w:pStyle w:val="TableContents"/>
              <w:spacing w:before="0" w:after="283"/>
              <w:rPr>
                <w:sz w:val="20"/>
              </w:rPr>
            </w:pPr>
            <w:r>
              <w:rPr>
                <w:sz w:val="20"/>
              </w:rPr>
              <w:t>the loss of key employees or management personnel;</w:t>
            </w:r>
          </w:p>
        </w:tc>
      </w:tr>
    </w:tbl>
    <w:p>
      <w:pPr>
        <w:pStyle w:val="TextBody"/>
        <w:spacing w:before="0" w:after="0"/>
        <w:ind w:left="0" w:right="0" w:hanging="0"/>
        <w:rPr>
          <w:caps w:val="false"/>
          <w:smallCaps w:val="false"/>
        </w:rPr>
      </w:pPr>
      <w:r>
        <w:rPr>
          <w:caps w:val="false"/>
          <w:smallCaps w:val="false"/>
        </w:rPr>
        <w:t> </w:t>
      </w:r>
    </w:p>
    <w:tbl>
      <w:tblPr>
        <w:tblW w:w="4810" w:type="dxa"/>
        <w:jc w:val="left"/>
        <w:tblInd w:w="0" w:type="dxa"/>
        <w:tblCellMar>
          <w:top w:w="0" w:type="dxa"/>
          <w:left w:w="0" w:type="dxa"/>
          <w:bottom w:w="0" w:type="dxa"/>
          <w:right w:w="0" w:type="dxa"/>
        </w:tblCellMar>
      </w:tblPr>
      <w:tblGrid>
        <w:gridCol w:w="75"/>
        <w:gridCol w:w="170"/>
        <w:gridCol w:w="45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283"/>
              <w:rPr>
                <w:sz w:val="20"/>
              </w:rPr>
            </w:pPr>
            <w:r>
              <w:rPr>
                <w:sz w:val="20"/>
              </w:rPr>
              <w:t>our financial performance and capital requirements; and</w:t>
            </w:r>
          </w:p>
        </w:tc>
      </w:tr>
    </w:tbl>
    <w:p>
      <w:pPr>
        <w:pStyle w:val="TextBody"/>
        <w:spacing w:before="0" w:after="0"/>
        <w:ind w:left="0" w:right="0" w:hanging="0"/>
        <w:rPr>
          <w:caps w:val="false"/>
          <w:smallCaps w:val="false"/>
        </w:rPr>
      </w:pPr>
      <w:r>
        <w:rPr>
          <w:caps w:val="false"/>
          <w:smallCaps w:val="false"/>
        </w:rPr>
        <w:t> </w:t>
      </w:r>
    </w:p>
    <w:tbl>
      <w:tblPr>
        <w:tblW w:w="5950" w:type="dxa"/>
        <w:jc w:val="left"/>
        <w:tblInd w:w="0" w:type="dxa"/>
        <w:tblCellMar>
          <w:top w:w="0" w:type="dxa"/>
          <w:left w:w="0" w:type="dxa"/>
          <w:bottom w:w="0" w:type="dxa"/>
          <w:right w:w="0" w:type="dxa"/>
        </w:tblCellMar>
      </w:tblPr>
      <w:tblGrid>
        <w:gridCol w:w="75"/>
        <w:gridCol w:w="170"/>
        <w:gridCol w:w="57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705" w:type="dxa"/>
            <w:tcBorders/>
            <w:shd w:fill="auto" w:val="clear"/>
            <w:vAlign w:val="center"/>
          </w:tcPr>
          <w:p>
            <w:pPr>
              <w:pStyle w:val="TableContents"/>
              <w:spacing w:before="0" w:after="283"/>
              <w:rPr>
                <w:sz w:val="20"/>
              </w:rPr>
            </w:pPr>
            <w:r>
              <w:rPr>
                <w:sz w:val="20"/>
              </w:rPr>
              <w:t>our ability to maintain, protect, and enhance our intellectual property.</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The occurrence of one or more of the events or circumstances described in “Item 1A.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pStyle w:val="TextBody"/>
        <w:spacing w:before="0" w:after="0"/>
        <w:ind w:left="0" w:right="0" w:firstLine="360"/>
        <w:rPr>
          <w:caps w:val="false"/>
          <w:smallCaps w:val="false"/>
        </w:rPr>
      </w:pPr>
      <w:r>
        <w:rPr>
          <w:caps w:val="false"/>
          <w:smallCaps w:val="false"/>
        </w:rPr>
        <w:t> </w:t>
      </w:r>
    </w:p>
    <w:tbl>
      <w:tblPr>
        <w:tblW w:w="3910" w:type="dxa"/>
        <w:jc w:val="left"/>
        <w:tblInd w:w="0" w:type="dxa"/>
        <w:tblCellMar>
          <w:top w:w="0" w:type="dxa"/>
          <w:left w:w="0" w:type="dxa"/>
          <w:bottom w:w="0" w:type="dxa"/>
          <w:right w:w="0" w:type="dxa"/>
        </w:tblCellMar>
      </w:tblPr>
      <w:tblGrid>
        <w:gridCol w:w="75"/>
        <w:gridCol w:w="170"/>
        <w:gridCol w:w="36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665" w:type="dxa"/>
            <w:tcBorders/>
            <w:shd w:fill="auto" w:val="clear"/>
            <w:vAlign w:val="center"/>
          </w:tcPr>
          <w:p>
            <w:pPr>
              <w:pStyle w:val="TableContents"/>
              <w:spacing w:before="0" w:after="283"/>
              <w:jc w:val="left"/>
              <w:rPr>
                <w:sz w:val="20"/>
              </w:rPr>
            </w:pPr>
            <w:r>
              <w:rPr>
                <w:sz w:val="20"/>
              </w:rPr>
              <w:t>our ability to continue as a “going concern”;</w:t>
            </w:r>
          </w:p>
        </w:tc>
      </w:tr>
    </w:tbl>
    <w:p>
      <w:pPr>
        <w:pStyle w:val="TextBody"/>
        <w:spacing w:before="0" w:after="0"/>
        <w:ind w:left="0" w:right="0" w:hanging="0"/>
        <w:rPr>
          <w:caps w:val="false"/>
          <w:smallCaps w:val="false"/>
        </w:rPr>
      </w:pPr>
      <w:r>
        <w:rPr>
          <w:caps w:val="false"/>
          <w:smallCaps w:val="false"/>
        </w:rPr>
        <w:t> </w:t>
      </w:r>
    </w:p>
    <w:tbl>
      <w:tblPr>
        <w:tblW w:w="2500" w:type="dxa"/>
        <w:jc w:val="left"/>
        <w:tblInd w:w="0" w:type="dxa"/>
        <w:tblCellMar>
          <w:top w:w="0" w:type="dxa"/>
          <w:left w:w="0" w:type="dxa"/>
          <w:bottom w:w="0" w:type="dxa"/>
          <w:right w:w="0" w:type="dxa"/>
        </w:tblCellMar>
      </w:tblPr>
      <w:tblGrid>
        <w:gridCol w:w="75"/>
        <w:gridCol w:w="170"/>
        <w:gridCol w:w="22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255" w:type="dxa"/>
            <w:tcBorders/>
            <w:shd w:fill="auto" w:val="clear"/>
            <w:vAlign w:val="center"/>
          </w:tcPr>
          <w:p>
            <w:pPr>
              <w:pStyle w:val="TableContents"/>
              <w:spacing w:before="0" w:after="283"/>
              <w:jc w:val="left"/>
              <w:rPr>
                <w:sz w:val="20"/>
              </w:rPr>
            </w:pPr>
            <w:r>
              <w:rPr>
                <w:sz w:val="20"/>
              </w:rPr>
              <w:t>our short operating history;</w:t>
            </w:r>
          </w:p>
        </w:tc>
      </w:tr>
    </w:tbl>
    <w:p>
      <w:pPr>
        <w:pStyle w:val="TextBody"/>
        <w:spacing w:before="0" w:after="0"/>
        <w:ind w:left="0" w:right="0" w:hanging="0"/>
        <w:rPr>
          <w:caps w:val="false"/>
          <w:smallCaps w:val="false"/>
        </w:rPr>
      </w:pPr>
      <w:r>
        <w:rPr>
          <w:caps w:val="false"/>
          <w:smallCaps w:val="false"/>
        </w:rPr>
        <w:t> </w:t>
      </w:r>
    </w:p>
    <w:tbl>
      <w:tblPr>
        <w:tblW w:w="4780" w:type="dxa"/>
        <w:jc w:val="left"/>
        <w:tblInd w:w="0" w:type="dxa"/>
        <w:tblCellMar>
          <w:top w:w="0" w:type="dxa"/>
          <w:left w:w="0" w:type="dxa"/>
          <w:bottom w:w="0" w:type="dxa"/>
          <w:right w:w="0" w:type="dxa"/>
        </w:tblCellMar>
      </w:tblPr>
      <w:tblGrid>
        <w:gridCol w:w="75"/>
        <w:gridCol w:w="170"/>
        <w:gridCol w:w="45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risk of loss associated with our TTK Solution Offerings;</w:t>
            </w:r>
          </w:p>
        </w:tc>
      </w:tr>
    </w:tbl>
    <w:p>
      <w:pPr>
        <w:pStyle w:val="TextBody"/>
        <w:spacing w:before="0" w:after="0"/>
        <w:ind w:left="0" w:right="0" w:hanging="0"/>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75"/>
        <w:gridCol w:w="170"/>
        <w:gridCol w:w="34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40" w:type="dxa"/>
            <w:tcBorders/>
            <w:shd w:fill="auto" w:val="clear"/>
            <w:vAlign w:val="center"/>
          </w:tcPr>
          <w:p>
            <w:pPr>
              <w:pStyle w:val="TableContents"/>
              <w:spacing w:before="0" w:after="283"/>
              <w:jc w:val="left"/>
              <w:rPr>
                <w:sz w:val="20"/>
              </w:rPr>
            </w:pPr>
            <w:r>
              <w:rPr>
                <w:sz w:val="20"/>
              </w:rPr>
              <w:t>our ability to obtain additional financing;</w:t>
            </w:r>
          </w:p>
        </w:tc>
      </w:tr>
    </w:tbl>
    <w:p>
      <w:pPr>
        <w:pStyle w:val="TextBody"/>
        <w:spacing w:before="0" w:after="0"/>
        <w:ind w:left="0" w:right="0" w:hanging="0"/>
        <w:rPr>
          <w:caps w:val="false"/>
          <w:smallCaps w:val="false"/>
        </w:rPr>
      </w:pPr>
      <w:r>
        <w:rPr>
          <w:caps w:val="false"/>
          <w:smallCaps w:val="false"/>
        </w:rPr>
        <w:t> </w:t>
      </w:r>
    </w:p>
    <w:tbl>
      <w:tblPr>
        <w:tblW w:w="4833" w:type="dxa"/>
        <w:jc w:val="left"/>
        <w:tblInd w:w="0" w:type="dxa"/>
        <w:tblCellMar>
          <w:top w:w="0" w:type="dxa"/>
          <w:left w:w="0" w:type="dxa"/>
          <w:bottom w:w="0" w:type="dxa"/>
          <w:right w:w="0" w:type="dxa"/>
        </w:tblCellMar>
      </w:tblPr>
      <w:tblGrid>
        <w:gridCol w:w="38"/>
        <w:gridCol w:w="170"/>
        <w:gridCol w:w="46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risk associated with potential future impairment charges;</w:t>
            </w:r>
          </w:p>
        </w:tc>
      </w:tr>
    </w:tbl>
    <w:p>
      <w:pPr>
        <w:pStyle w:val="TextBody"/>
        <w:spacing w:before="0" w:after="0"/>
        <w:ind w:left="0" w:right="0" w:hanging="0"/>
        <w:rPr>
          <w:caps w:val="false"/>
          <w:smallCaps w:val="false"/>
        </w:rPr>
      </w:pPr>
      <w:r>
        <w:rPr>
          <w:caps w:val="false"/>
          <w:smallCaps w:val="false"/>
        </w:rPr>
        <w:t> </w:t>
      </w:r>
    </w:p>
    <w:tbl>
      <w:tblPr>
        <w:tblW w:w="2845" w:type="dxa"/>
        <w:jc w:val="left"/>
        <w:tblInd w:w="0" w:type="dxa"/>
        <w:tblCellMar>
          <w:top w:w="0" w:type="dxa"/>
          <w:left w:w="0" w:type="dxa"/>
          <w:bottom w:w="0" w:type="dxa"/>
          <w:right w:w="0" w:type="dxa"/>
        </w:tblCellMar>
      </w:tblPr>
      <w:tblGrid>
        <w:gridCol w:w="75"/>
        <w:gridCol w:w="170"/>
        <w:gridCol w:w="26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600" w:type="dxa"/>
            <w:tcBorders/>
            <w:shd w:fill="auto" w:val="clear"/>
            <w:vAlign w:val="center"/>
          </w:tcPr>
          <w:p>
            <w:pPr>
              <w:pStyle w:val="TableContents"/>
              <w:spacing w:before="0" w:after="283"/>
              <w:jc w:val="left"/>
              <w:rPr>
                <w:sz w:val="20"/>
              </w:rPr>
            </w:pPr>
            <w:r>
              <w:rPr>
                <w:sz w:val="20"/>
              </w:rPr>
              <w:t>our concentration of customers;</w:t>
            </w:r>
          </w:p>
        </w:tc>
      </w:tr>
    </w:tbl>
    <w:p>
      <w:pPr>
        <w:pStyle w:val="TextBody"/>
        <w:spacing w:before="0" w:after="0"/>
        <w:ind w:left="0" w:right="0" w:hanging="0"/>
        <w:rPr>
          <w:caps w:val="false"/>
          <w:smallCaps w:val="false"/>
        </w:rPr>
      </w:pPr>
      <w:r>
        <w:rPr>
          <w:caps w:val="false"/>
          <w:smallCaps w:val="false"/>
        </w:rPr>
        <w:t> </w:t>
      </w:r>
    </w:p>
    <w:tbl>
      <w:tblPr>
        <w:tblW w:w="3715" w:type="dxa"/>
        <w:jc w:val="left"/>
        <w:tblInd w:w="0" w:type="dxa"/>
        <w:tblCellMar>
          <w:top w:w="0" w:type="dxa"/>
          <w:left w:w="0" w:type="dxa"/>
          <w:bottom w:w="0" w:type="dxa"/>
          <w:right w:w="0" w:type="dxa"/>
        </w:tblCellMar>
      </w:tblPr>
      <w:tblGrid>
        <w:gridCol w:w="75"/>
        <w:gridCol w:w="170"/>
        <w:gridCol w:w="34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70" w:type="dxa"/>
            <w:tcBorders/>
            <w:shd w:fill="auto" w:val="clear"/>
            <w:vAlign w:val="center"/>
          </w:tcPr>
          <w:p>
            <w:pPr>
              <w:pStyle w:val="TableContents"/>
              <w:spacing w:before="0" w:after="283"/>
              <w:jc w:val="left"/>
              <w:rPr>
                <w:sz w:val="20"/>
              </w:rPr>
            </w:pPr>
            <w:r>
              <w:rPr>
                <w:sz w:val="20"/>
              </w:rPr>
              <w:t>our reliance on a limited base of suppliers;</w:t>
            </w:r>
          </w:p>
        </w:tc>
      </w:tr>
    </w:tbl>
    <w:p>
      <w:pPr>
        <w:pStyle w:val="TextBody"/>
        <w:spacing w:before="0" w:after="0"/>
        <w:ind w:left="0" w:right="0" w:hanging="0"/>
        <w:rPr>
          <w:caps w:val="false"/>
          <w:smallCaps w:val="false"/>
        </w:rPr>
      </w:pPr>
      <w:r>
        <w:rPr>
          <w:caps w:val="false"/>
          <w:smallCaps w:val="false"/>
        </w:rPr>
        <w:t> </w:t>
      </w:r>
    </w:p>
    <w:tbl>
      <w:tblPr>
        <w:tblW w:w="5470" w:type="dxa"/>
        <w:jc w:val="left"/>
        <w:tblInd w:w="0" w:type="dxa"/>
        <w:tblCellMar>
          <w:top w:w="0" w:type="dxa"/>
          <w:left w:w="0" w:type="dxa"/>
          <w:bottom w:w="0" w:type="dxa"/>
          <w:right w:w="0" w:type="dxa"/>
        </w:tblCellMar>
      </w:tblPr>
      <w:tblGrid>
        <w:gridCol w:w="75"/>
        <w:gridCol w:w="170"/>
        <w:gridCol w:w="52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225" w:type="dxa"/>
            <w:tcBorders/>
            <w:shd w:fill="auto" w:val="clear"/>
            <w:vAlign w:val="center"/>
          </w:tcPr>
          <w:p>
            <w:pPr>
              <w:pStyle w:val="TableContents"/>
              <w:spacing w:before="0" w:after="283"/>
              <w:jc w:val="left"/>
              <w:rPr>
                <w:sz w:val="20"/>
              </w:rPr>
            </w:pPr>
            <w:r>
              <w:rPr>
                <w:sz w:val="20"/>
              </w:rPr>
              <w:t>operational difficulties of our suppliers as a result of COVID-19;</w:t>
            </w:r>
          </w:p>
        </w:tc>
      </w:tr>
    </w:tbl>
    <w:p>
      <w:pPr>
        <w:pStyle w:val="TextBody"/>
        <w:spacing w:before="0" w:after="0"/>
        <w:ind w:left="0" w:right="0" w:hanging="0"/>
        <w:rPr>
          <w:caps w:val="false"/>
          <w:smallCaps w:val="false"/>
        </w:rPr>
      </w:pPr>
      <w:r>
        <w:rPr>
          <w:caps w:val="false"/>
          <w:smallCaps w:val="false"/>
        </w:rPr>
        <w:t> </w:t>
      </w:r>
    </w:p>
    <w:tbl>
      <w:tblPr>
        <w:tblW w:w="6025" w:type="dxa"/>
        <w:jc w:val="left"/>
        <w:tblInd w:w="0" w:type="dxa"/>
        <w:tblCellMar>
          <w:top w:w="0" w:type="dxa"/>
          <w:left w:w="0" w:type="dxa"/>
          <w:bottom w:w="0" w:type="dxa"/>
          <w:right w:w="0" w:type="dxa"/>
        </w:tblCellMar>
      </w:tblPr>
      <w:tblGrid>
        <w:gridCol w:w="75"/>
        <w:gridCol w:w="170"/>
        <w:gridCol w:w="57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780" w:type="dxa"/>
            <w:tcBorders/>
            <w:shd w:fill="auto" w:val="clear"/>
            <w:vAlign w:val="center"/>
          </w:tcPr>
          <w:p>
            <w:pPr>
              <w:pStyle w:val="TableContents"/>
              <w:spacing w:before="0" w:after="283"/>
              <w:jc w:val="left"/>
              <w:rPr>
                <w:sz w:val="20"/>
              </w:rPr>
            </w:pPr>
            <w:r>
              <w:rPr>
                <w:sz w:val="20"/>
              </w:rPr>
              <w:t>risks associated with having clients operating in the cannabis industry;</w:t>
            </w:r>
          </w:p>
        </w:tc>
      </w:tr>
    </w:tbl>
    <w:p>
      <w:pPr>
        <w:pStyle w:val="TextBody"/>
        <w:spacing w:before="0" w:after="0"/>
        <w:ind w:left="0" w:right="0" w:hanging="0"/>
        <w:rPr>
          <w:caps w:val="false"/>
          <w:smallCaps w:val="false"/>
        </w:rPr>
      </w:pPr>
      <w:r>
        <w:rPr>
          <w:caps w:val="false"/>
          <w:smallCaps w:val="false"/>
        </w:rPr>
        <w:t> </w:t>
      </w:r>
    </w:p>
    <w:tbl>
      <w:tblPr>
        <w:tblW w:w="6700" w:type="dxa"/>
        <w:jc w:val="left"/>
        <w:tblInd w:w="0" w:type="dxa"/>
        <w:tblCellMar>
          <w:top w:w="0" w:type="dxa"/>
          <w:left w:w="0" w:type="dxa"/>
          <w:bottom w:w="0" w:type="dxa"/>
          <w:right w:w="0" w:type="dxa"/>
        </w:tblCellMar>
      </w:tblPr>
      <w:tblGrid>
        <w:gridCol w:w="75"/>
        <w:gridCol w:w="170"/>
        <w:gridCol w:w="64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55" w:type="dxa"/>
            <w:tcBorders/>
            <w:shd w:fill="auto" w:val="clear"/>
            <w:vAlign w:val="center"/>
          </w:tcPr>
          <w:p>
            <w:pPr>
              <w:pStyle w:val="TableContents"/>
              <w:spacing w:before="0" w:after="283"/>
              <w:jc w:val="left"/>
              <w:rPr>
                <w:sz w:val="20"/>
              </w:rPr>
            </w:pPr>
            <w:r>
              <w:rPr>
                <w:sz w:val="20"/>
              </w:rPr>
              <w:t>the inability of our customers to meet their financial or contractual obligations;</w:t>
            </w:r>
          </w:p>
        </w:tc>
      </w:tr>
    </w:tbl>
    <w:p>
      <w:pPr>
        <w:pStyle w:val="TextBody"/>
        <w:spacing w:before="0" w:after="0"/>
        <w:ind w:left="0" w:right="0" w:hanging="0"/>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75"/>
        <w:gridCol w:w="170"/>
        <w:gridCol w:w="63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365" w:type="dxa"/>
            <w:tcBorders/>
            <w:shd w:fill="auto" w:val="clear"/>
            <w:vAlign w:val="center"/>
          </w:tcPr>
          <w:p>
            <w:pPr>
              <w:pStyle w:val="TableContents"/>
              <w:spacing w:before="0" w:after="283"/>
              <w:jc w:val="left"/>
              <w:rPr>
                <w:sz w:val="20"/>
              </w:rPr>
            </w:pPr>
            <w:r>
              <w:rPr>
                <w:sz w:val="20"/>
              </w:rPr>
              <w:t>conflicts of interest of our officers and directors relating to two of our vendors;</w:t>
            </w:r>
          </w:p>
        </w:tc>
      </w:tr>
    </w:tbl>
    <w:p>
      <w:pPr>
        <w:pStyle w:val="TextBody"/>
        <w:spacing w:before="0" w:after="0"/>
        <w:ind w:left="0" w:right="0" w:hanging="0"/>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75"/>
        <w:gridCol w:w="170"/>
        <w:gridCol w:w="30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65" w:type="dxa"/>
            <w:tcBorders/>
            <w:shd w:fill="auto" w:val="clear"/>
            <w:vAlign w:val="center"/>
          </w:tcPr>
          <w:p>
            <w:pPr>
              <w:pStyle w:val="TableContents"/>
              <w:spacing w:before="0" w:after="283"/>
              <w:jc w:val="left"/>
              <w:rPr>
                <w:sz w:val="20"/>
              </w:rPr>
            </w:pPr>
            <w:r>
              <w:rPr>
                <w:sz w:val="20"/>
              </w:rPr>
              <w:t>potential data breach or cyber-attack;</w:t>
            </w:r>
          </w:p>
        </w:tc>
      </w:tr>
    </w:tbl>
    <w:p>
      <w:pPr>
        <w:pStyle w:val="TextBody"/>
        <w:spacing w:before="0" w:after="0"/>
        <w:ind w:left="0" w:right="0" w:hanging="0"/>
        <w:rPr>
          <w:caps w:val="false"/>
          <w:smallCaps w:val="false"/>
        </w:rPr>
      </w:pPr>
      <w:r>
        <w:rPr>
          <w:caps w:val="false"/>
          <w:smallCaps w:val="false"/>
        </w:rPr>
        <w:t> </w:t>
      </w:r>
    </w:p>
    <w:tbl>
      <w:tblPr>
        <w:tblW w:w="2755" w:type="dxa"/>
        <w:jc w:val="left"/>
        <w:tblInd w:w="0" w:type="dxa"/>
        <w:tblCellMar>
          <w:top w:w="0" w:type="dxa"/>
          <w:left w:w="0" w:type="dxa"/>
          <w:bottom w:w="0" w:type="dxa"/>
          <w:right w:w="0" w:type="dxa"/>
        </w:tblCellMar>
      </w:tblPr>
      <w:tblGrid>
        <w:gridCol w:w="75"/>
        <w:gridCol w:w="170"/>
        <w:gridCol w:w="25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510" w:type="dxa"/>
            <w:tcBorders/>
            <w:shd w:fill="auto" w:val="clear"/>
            <w:vAlign w:val="center"/>
          </w:tcPr>
          <w:p>
            <w:pPr>
              <w:pStyle w:val="TableContents"/>
              <w:spacing w:before="0" w:after="283"/>
              <w:jc w:val="left"/>
              <w:rPr>
                <w:sz w:val="20"/>
              </w:rPr>
            </w:pPr>
            <w:r>
              <w:rPr>
                <w:sz w:val="20"/>
              </w:rPr>
              <w:t>dependence on key personnel;</w:t>
            </w:r>
          </w:p>
        </w:tc>
      </w:tr>
    </w:tbl>
    <w:p>
      <w:pPr>
        <w:pStyle w:val="TextBody"/>
        <w:spacing w:before="0" w:after="0"/>
        <w:ind w:left="0" w:right="0" w:hanging="0"/>
        <w:rPr>
          <w:caps w:val="false"/>
          <w:smallCaps w:val="false"/>
        </w:rPr>
      </w:pPr>
      <w:r>
        <w:rPr>
          <w:caps w:val="false"/>
          <w:smallCaps w:val="false"/>
        </w:rPr>
        <w:t> </w:t>
      </w:r>
    </w:p>
    <w:tbl>
      <w:tblPr>
        <w:tblW w:w="7270" w:type="dxa"/>
        <w:jc w:val="left"/>
        <w:tblInd w:w="0" w:type="dxa"/>
        <w:tblCellMar>
          <w:top w:w="0" w:type="dxa"/>
          <w:left w:w="0" w:type="dxa"/>
          <w:bottom w:w="0" w:type="dxa"/>
          <w:right w:w="0" w:type="dxa"/>
        </w:tblCellMar>
      </w:tblPr>
      <w:tblGrid>
        <w:gridCol w:w="75"/>
        <w:gridCol w:w="170"/>
        <w:gridCol w:w="70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025" w:type="dxa"/>
            <w:tcBorders/>
            <w:shd w:fill="auto" w:val="clear"/>
            <w:vAlign w:val="center"/>
          </w:tcPr>
          <w:p>
            <w:pPr>
              <w:pStyle w:val="TableContents"/>
              <w:spacing w:before="0" w:after="283"/>
              <w:jc w:val="left"/>
              <w:rPr>
                <w:sz w:val="20"/>
              </w:rPr>
            </w:pPr>
            <w:r>
              <w:rPr>
                <w:sz w:val="20"/>
              </w:rPr>
              <w:t>reliance on our relationship with Inventronics without a definitive agreement in place;</w:t>
            </w:r>
          </w:p>
        </w:tc>
      </w:tr>
    </w:tbl>
    <w:p>
      <w:pPr>
        <w:pStyle w:val="TextBody"/>
        <w:spacing w:before="0" w:after="0"/>
        <w:ind w:left="0" w:right="0" w:hanging="0"/>
        <w:rPr>
          <w:caps w:val="false"/>
          <w:smallCaps w:val="false"/>
        </w:rPr>
      </w:pPr>
      <w:r>
        <w:rPr>
          <w:caps w:val="false"/>
          <w:smallCaps w:val="false"/>
        </w:rPr>
        <w:t> </w:t>
      </w:r>
    </w:p>
    <w:tbl>
      <w:tblPr>
        <w:tblW w:w="6520" w:type="dxa"/>
        <w:jc w:val="left"/>
        <w:tblInd w:w="0" w:type="dxa"/>
        <w:tblCellMar>
          <w:top w:w="0" w:type="dxa"/>
          <w:left w:w="0" w:type="dxa"/>
          <w:bottom w:w="0" w:type="dxa"/>
          <w:right w:w="0" w:type="dxa"/>
        </w:tblCellMar>
      </w:tblPr>
      <w:tblGrid>
        <w:gridCol w:w="75"/>
        <w:gridCol w:w="170"/>
        <w:gridCol w:w="62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275" w:type="dxa"/>
            <w:tcBorders/>
            <w:shd w:fill="auto" w:val="clear"/>
            <w:vAlign w:val="center"/>
          </w:tcPr>
          <w:p>
            <w:pPr>
              <w:pStyle w:val="TableContents"/>
              <w:spacing w:before="0" w:after="283"/>
              <w:jc w:val="left"/>
              <w:rPr>
                <w:sz w:val="20"/>
              </w:rPr>
            </w:pPr>
            <w:r>
              <w:rPr>
                <w:sz w:val="20"/>
              </w:rPr>
              <w:t>no assurance our backlog and qualified pipeline will translate into bookings;</w:t>
            </w:r>
          </w:p>
        </w:tc>
      </w:tr>
    </w:tbl>
    <w:p>
      <w:pPr>
        <w:pStyle w:val="TextBody"/>
        <w:spacing w:before="0" w:after="0"/>
        <w:ind w:left="0" w:right="0" w:hanging="0"/>
        <w:rPr>
          <w:caps w:val="false"/>
          <w:smallCaps w:val="false"/>
        </w:rPr>
      </w:pPr>
      <w:r>
        <w:rPr>
          <w:caps w:val="false"/>
          <w:smallCaps w:val="false"/>
        </w:rPr>
        <w:t> </w:t>
      </w:r>
    </w:p>
    <w:tbl>
      <w:tblPr>
        <w:tblW w:w="5875" w:type="dxa"/>
        <w:jc w:val="left"/>
        <w:tblInd w:w="0" w:type="dxa"/>
        <w:tblCellMar>
          <w:top w:w="0" w:type="dxa"/>
          <w:left w:w="0" w:type="dxa"/>
          <w:bottom w:w="0" w:type="dxa"/>
          <w:right w:w="0" w:type="dxa"/>
        </w:tblCellMar>
      </w:tblPr>
      <w:tblGrid>
        <w:gridCol w:w="75"/>
        <w:gridCol w:w="170"/>
        <w:gridCol w:w="56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630" w:type="dxa"/>
            <w:tcBorders/>
            <w:shd w:fill="auto" w:val="clear"/>
            <w:vAlign w:val="center"/>
          </w:tcPr>
          <w:p>
            <w:pPr>
              <w:pStyle w:val="TableContents"/>
              <w:spacing w:before="0" w:after="283"/>
              <w:jc w:val="left"/>
              <w:rPr>
                <w:sz w:val="20"/>
              </w:rPr>
            </w:pPr>
            <w:r>
              <w:rPr>
                <w:sz w:val="20"/>
              </w:rPr>
              <w:t>failure of our information technology systems to perform adequately;</w:t>
            </w:r>
          </w:p>
        </w:tc>
      </w:tr>
    </w:tbl>
    <w:p>
      <w:pPr>
        <w:pStyle w:val="TextBody"/>
        <w:spacing w:before="0" w:after="0"/>
        <w:ind w:left="0" w:right="0" w:hanging="0"/>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75"/>
        <w:gridCol w:w="170"/>
        <w:gridCol w:w="40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085" w:type="dxa"/>
            <w:tcBorders/>
            <w:shd w:fill="auto" w:val="clear"/>
            <w:vAlign w:val="center"/>
          </w:tcPr>
          <w:p>
            <w:pPr>
              <w:pStyle w:val="TableContents"/>
              <w:spacing w:before="0" w:after="283"/>
              <w:jc w:val="left"/>
              <w:rPr>
                <w:sz w:val="20"/>
              </w:rPr>
            </w:pPr>
            <w:r>
              <w:rPr>
                <w:sz w:val="20"/>
              </w:rPr>
              <w:t>intense competition for our products and services;</w:t>
            </w:r>
          </w:p>
        </w:tc>
      </w:tr>
    </w:tbl>
    <w:p>
      <w:pPr>
        <w:pStyle w:val="TextBody"/>
        <w:spacing w:before="0" w:after="0"/>
        <w:ind w:left="0" w:right="0" w:hanging="0"/>
        <w:rPr>
          <w:caps w:val="false"/>
          <w:smallCaps w:val="false"/>
        </w:rPr>
      </w:pPr>
      <w:r>
        <w:rPr>
          <w:caps w:val="false"/>
          <w:smallCaps w:val="false"/>
        </w:rPr>
        <w:t> </w:t>
      </w:r>
    </w:p>
    <w:tbl>
      <w:tblPr>
        <w:tblW w:w="5305" w:type="dxa"/>
        <w:jc w:val="left"/>
        <w:tblInd w:w="0" w:type="dxa"/>
        <w:tblCellMar>
          <w:top w:w="0" w:type="dxa"/>
          <w:left w:w="0" w:type="dxa"/>
          <w:bottom w:w="0" w:type="dxa"/>
          <w:right w:w="0" w:type="dxa"/>
        </w:tblCellMar>
      </w:tblPr>
      <w:tblGrid>
        <w:gridCol w:w="75"/>
        <w:gridCol w:w="170"/>
        <w:gridCol w:w="50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060" w:type="dxa"/>
            <w:tcBorders/>
            <w:shd w:fill="auto" w:val="clear"/>
            <w:vAlign w:val="center"/>
          </w:tcPr>
          <w:p>
            <w:pPr>
              <w:pStyle w:val="TableContents"/>
              <w:spacing w:before="0" w:after="283"/>
              <w:jc w:val="left"/>
              <w:rPr>
                <w:sz w:val="20"/>
              </w:rPr>
            </w:pPr>
            <w:r>
              <w:rPr>
                <w:sz w:val="20"/>
              </w:rPr>
              <w:t>protecting and defending against intellectual property claims;</w:t>
            </w:r>
          </w:p>
        </w:tc>
      </w:tr>
    </w:tbl>
    <w:p>
      <w:pPr>
        <w:pStyle w:val="TextBody"/>
        <w:spacing w:before="0" w:after="0"/>
        <w:ind w:left="0" w:right="0" w:hanging="0"/>
        <w:rPr>
          <w:caps w:val="false"/>
          <w:smallCaps w:val="false"/>
        </w:rPr>
      </w:pPr>
      <w:r>
        <w:rPr>
          <w:caps w:val="false"/>
          <w:smallCaps w:val="false"/>
        </w:rPr>
        <w:t> </w:t>
      </w:r>
    </w:p>
    <w:tbl>
      <w:tblPr>
        <w:tblW w:w="4915" w:type="dxa"/>
        <w:jc w:val="left"/>
        <w:tblInd w:w="0" w:type="dxa"/>
        <w:tblCellMar>
          <w:top w:w="0" w:type="dxa"/>
          <w:left w:w="0" w:type="dxa"/>
          <w:bottom w:w="0" w:type="dxa"/>
          <w:right w:w="0" w:type="dxa"/>
        </w:tblCellMar>
      </w:tblPr>
      <w:tblGrid>
        <w:gridCol w:w="75"/>
        <w:gridCol w:w="170"/>
        <w:gridCol w:w="46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670" w:type="dxa"/>
            <w:tcBorders/>
            <w:shd w:fill="auto" w:val="clear"/>
            <w:vAlign w:val="center"/>
          </w:tcPr>
          <w:p>
            <w:pPr>
              <w:pStyle w:val="TableContents"/>
              <w:spacing w:before="0" w:after="283"/>
              <w:jc w:val="left"/>
              <w:rPr>
                <w:sz w:val="20"/>
              </w:rPr>
            </w:pPr>
            <w:r>
              <w:rPr>
                <w:sz w:val="20"/>
              </w:rPr>
              <w:t>protecting our core technology and intellectual property;</w:t>
            </w:r>
          </w:p>
        </w:tc>
      </w:tr>
    </w:tbl>
    <w:p>
      <w:pPr>
        <w:pStyle w:val="TextBody"/>
        <w:spacing w:before="0" w:after="0"/>
        <w:ind w:left="0" w:right="0" w:hanging="0"/>
        <w:rPr>
          <w:caps w:val="false"/>
          <w:smallCaps w:val="false"/>
        </w:rPr>
      </w:pPr>
      <w:r>
        <w:rPr>
          <w:caps w:val="false"/>
          <w:smallCaps w:val="false"/>
        </w:rPr>
        <w:t> </w:t>
      </w:r>
    </w:p>
    <w:tbl>
      <w:tblPr>
        <w:tblW w:w="6430" w:type="dxa"/>
        <w:jc w:val="left"/>
        <w:tblInd w:w="0" w:type="dxa"/>
        <w:tblCellMar>
          <w:top w:w="0" w:type="dxa"/>
          <w:left w:w="0" w:type="dxa"/>
          <w:bottom w:w="0" w:type="dxa"/>
          <w:right w:w="0" w:type="dxa"/>
        </w:tblCellMar>
      </w:tblPr>
      <w:tblGrid>
        <w:gridCol w:w="75"/>
        <w:gridCol w:w="170"/>
        <w:gridCol w:w="61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185" w:type="dxa"/>
            <w:tcBorders/>
            <w:shd w:fill="auto" w:val="clear"/>
            <w:vAlign w:val="center"/>
          </w:tcPr>
          <w:p>
            <w:pPr>
              <w:pStyle w:val="TableContents"/>
              <w:spacing w:before="0" w:after="283"/>
              <w:jc w:val="left"/>
              <w:rPr>
                <w:sz w:val="20"/>
              </w:rPr>
            </w:pPr>
            <w:r>
              <w:rPr>
                <w:sz w:val="20"/>
              </w:rPr>
              <w:t>data privacy and security concerns relating to our technology and practices;</w:t>
            </w:r>
          </w:p>
        </w:tc>
      </w:tr>
    </w:tbl>
    <w:p>
      <w:pPr>
        <w:pStyle w:val="TextBody"/>
        <w:spacing w:before="0" w:after="0"/>
        <w:ind w:left="0" w:right="0" w:hanging="0"/>
        <w:rPr>
          <w:caps w:val="false"/>
          <w:smallCaps w:val="false"/>
        </w:rPr>
      </w:pPr>
      <w:r>
        <w:rPr>
          <w:caps w:val="false"/>
          <w:smallCaps w:val="false"/>
        </w:rPr>
        <w:t> </w:t>
      </w:r>
    </w:p>
    <w:tbl>
      <w:tblPr>
        <w:tblW w:w="3370" w:type="dxa"/>
        <w:jc w:val="left"/>
        <w:tblInd w:w="0" w:type="dxa"/>
        <w:tblCellMar>
          <w:top w:w="0" w:type="dxa"/>
          <w:left w:w="0" w:type="dxa"/>
          <w:bottom w:w="0" w:type="dxa"/>
          <w:right w:w="0" w:type="dxa"/>
        </w:tblCellMar>
      </w:tblPr>
      <w:tblGrid>
        <w:gridCol w:w="75"/>
        <w:gridCol w:w="170"/>
        <w:gridCol w:w="31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125" w:type="dxa"/>
            <w:tcBorders/>
            <w:shd w:fill="auto" w:val="clear"/>
            <w:vAlign w:val="center"/>
          </w:tcPr>
          <w:p>
            <w:pPr>
              <w:pStyle w:val="TableContents"/>
              <w:spacing w:before="0" w:after="283"/>
              <w:jc w:val="left"/>
              <w:rPr>
                <w:sz w:val="20"/>
              </w:rPr>
            </w:pPr>
            <w:r>
              <w:rPr>
                <w:sz w:val="20"/>
              </w:rPr>
              <w:t>ability to use our net operating losses;</w:t>
            </w:r>
          </w:p>
        </w:tc>
      </w:tr>
    </w:tbl>
    <w:p>
      <w:pPr>
        <w:pStyle w:val="TextBody"/>
        <w:spacing w:before="0" w:after="0"/>
        <w:ind w:left="0" w:right="0" w:hanging="0"/>
        <w:rPr>
          <w:caps w:val="false"/>
          <w:smallCaps w:val="false"/>
        </w:rPr>
      </w:pPr>
      <w:r>
        <w:rPr>
          <w:caps w:val="false"/>
          <w:smallCaps w:val="false"/>
        </w:rPr>
        <w:t> </w:t>
      </w:r>
    </w:p>
    <w:tbl>
      <w:tblPr>
        <w:tblW w:w="5980" w:type="dxa"/>
        <w:jc w:val="left"/>
        <w:tblInd w:w="0" w:type="dxa"/>
        <w:tblCellMar>
          <w:top w:w="0" w:type="dxa"/>
          <w:left w:w="0" w:type="dxa"/>
          <w:bottom w:w="0" w:type="dxa"/>
          <w:right w:w="0" w:type="dxa"/>
        </w:tblCellMar>
      </w:tblPr>
      <w:tblGrid>
        <w:gridCol w:w="75"/>
        <w:gridCol w:w="170"/>
        <w:gridCol w:w="57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735" w:type="dxa"/>
            <w:tcBorders/>
            <w:shd w:fill="auto" w:val="clear"/>
            <w:vAlign w:val="center"/>
          </w:tcPr>
          <w:p>
            <w:pPr>
              <w:pStyle w:val="TableContents"/>
              <w:spacing w:before="0" w:after="283"/>
              <w:jc w:val="left"/>
              <w:rPr>
                <w:sz w:val="20"/>
              </w:rPr>
            </w:pPr>
            <w:r>
              <w:rPr>
                <w:sz w:val="20"/>
              </w:rPr>
              <w:t>our management and their affiliates control a substantial interest in us;</w:t>
            </w:r>
          </w:p>
        </w:tc>
      </w:tr>
    </w:tbl>
    <w:p>
      <w:pPr>
        <w:pStyle w:val="TextBody"/>
        <w:spacing w:before="0" w:after="0"/>
        <w:ind w:left="0" w:right="0" w:hanging="0"/>
        <w:rPr>
          <w:caps w:val="false"/>
          <w:smallCaps w:val="false"/>
        </w:rPr>
      </w:pPr>
      <w:r>
        <w:rPr>
          <w:caps w:val="false"/>
          <w:smallCaps w:val="false"/>
        </w:rPr>
        <w:t> </w:t>
      </w:r>
    </w:p>
    <w:tbl>
      <w:tblPr>
        <w:tblW w:w="3940" w:type="dxa"/>
        <w:jc w:val="left"/>
        <w:tblInd w:w="0" w:type="dxa"/>
        <w:tblCellMar>
          <w:top w:w="0" w:type="dxa"/>
          <w:left w:w="0" w:type="dxa"/>
          <w:bottom w:w="0" w:type="dxa"/>
          <w:right w:w="0" w:type="dxa"/>
        </w:tblCellMar>
      </w:tblPr>
      <w:tblGrid>
        <w:gridCol w:w="75"/>
        <w:gridCol w:w="170"/>
        <w:gridCol w:w="36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283"/>
              <w:jc w:val="left"/>
              <w:rPr>
                <w:sz w:val="20"/>
              </w:rPr>
            </w:pPr>
            <w:r>
              <w:rPr>
                <w:sz w:val="20"/>
              </w:rPr>
              <w:t>our outstanding loans may not be forgivable;</w:t>
            </w:r>
          </w:p>
        </w:tc>
      </w:tr>
    </w:tbl>
    <w:p>
      <w:pPr>
        <w:pStyle w:val="TextBody"/>
        <w:spacing w:before="0" w:after="0"/>
        <w:ind w:left="0" w:right="0" w:hanging="0"/>
        <w:rPr>
          <w:caps w:val="false"/>
          <w:smallCaps w:val="false"/>
        </w:rPr>
      </w:pPr>
      <w:r>
        <w:rPr>
          <w:caps w:val="false"/>
          <w:smallCaps w:val="false"/>
        </w:rPr>
        <w:t> </w:t>
      </w:r>
    </w:p>
    <w:tbl>
      <w:tblPr>
        <w:tblW w:w="9475" w:type="dxa"/>
        <w:jc w:val="left"/>
        <w:tblInd w:w="0" w:type="dxa"/>
        <w:tblCellMar>
          <w:top w:w="0" w:type="dxa"/>
          <w:left w:w="0" w:type="dxa"/>
          <w:bottom w:w="0" w:type="dxa"/>
          <w:right w:w="0" w:type="dxa"/>
        </w:tblCellMar>
      </w:tblPr>
      <w:tblGrid>
        <w:gridCol w:w="75"/>
        <w:gridCol w:w="170"/>
        <w:gridCol w:w="92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23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potential for a large number of shares eligible for public sale could depress the market price of our common stock;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exercise of all or any number of outstanding warrants or the issuance of stock-based awards may dilute your holding of shares of our common stock;</w:t>
            </w:r>
          </w:p>
        </w:tc>
      </w:tr>
    </w:tbl>
    <w:p>
      <w:pPr>
        <w:pStyle w:val="TextBody"/>
        <w:rPr>
          <w:caps w:val="false"/>
          <w:smallCaps w:val="false"/>
        </w:rPr>
      </w:pPr>
      <w:r>
        <w:rPr>
          <w:caps w:val="false"/>
          <w:smallCaps w:val="false"/>
        </w:rPr>
        <w:t> </w:t>
      </w:r>
    </w:p>
    <w:tbl>
      <w:tblPr>
        <w:tblW w:w="8560" w:type="dxa"/>
        <w:jc w:val="left"/>
        <w:tblInd w:w="0" w:type="dxa"/>
        <w:tblCellMar>
          <w:top w:w="0" w:type="dxa"/>
          <w:left w:w="0" w:type="dxa"/>
          <w:bottom w:w="0" w:type="dxa"/>
          <w:right w:w="0" w:type="dxa"/>
        </w:tblCellMar>
      </w:tblPr>
      <w:tblGrid>
        <w:gridCol w:w="75"/>
        <w:gridCol w:w="170"/>
        <w:gridCol w:w="83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315" w:type="dxa"/>
            <w:tcBorders/>
            <w:shd w:fill="auto" w:val="clear"/>
            <w:vAlign w:val="center"/>
          </w:tcPr>
          <w:p>
            <w:pPr>
              <w:pStyle w:val="TableContents"/>
              <w:spacing w:before="0" w:after="283"/>
              <w:jc w:val="left"/>
              <w:rPr>
                <w:sz w:val="20"/>
              </w:rPr>
            </w:pPr>
            <w:r>
              <w:rPr>
                <w:sz w:val="20"/>
              </w:rPr>
              <w:t>provisions in our charter documents and Nevada law may prevent a change in control of our company;</w:t>
            </w:r>
          </w:p>
        </w:tc>
      </w:tr>
    </w:tbl>
    <w:p>
      <w:pPr>
        <w:pStyle w:val="TextBody"/>
        <w:spacing w:before="0" w:after="0"/>
        <w:ind w:left="0" w:right="0" w:hanging="0"/>
        <w:rPr>
          <w:caps w:val="false"/>
          <w:smallCaps w:val="false"/>
        </w:rPr>
      </w:pPr>
      <w:r>
        <w:rPr>
          <w:caps w:val="false"/>
          <w:smallCaps w:val="false"/>
        </w:rPr>
        <w:t> </w:t>
      </w:r>
    </w:p>
    <w:tbl>
      <w:tblPr>
        <w:tblW w:w="9085" w:type="dxa"/>
        <w:jc w:val="left"/>
        <w:tblInd w:w="0" w:type="dxa"/>
        <w:tblCellMar>
          <w:top w:w="0" w:type="dxa"/>
          <w:left w:w="0" w:type="dxa"/>
          <w:bottom w:w="0" w:type="dxa"/>
          <w:right w:w="0" w:type="dxa"/>
        </w:tblCellMar>
      </w:tblPr>
      <w:tblGrid>
        <w:gridCol w:w="75"/>
        <w:gridCol w:w="170"/>
        <w:gridCol w:w="88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840" w:type="dxa"/>
            <w:tcBorders/>
            <w:shd w:fill="auto" w:val="clear"/>
            <w:vAlign w:val="center"/>
          </w:tcPr>
          <w:p>
            <w:pPr>
              <w:pStyle w:val="TableContents"/>
              <w:spacing w:before="0" w:after="283"/>
              <w:jc w:val="left"/>
              <w:rPr>
                <w:sz w:val="20"/>
              </w:rPr>
            </w:pPr>
            <w:r>
              <w:rPr>
                <w:sz w:val="20"/>
              </w:rPr>
              <w:t>reduced disclosure requirements applicable to emerging growth companies and smaller reporting companies;</w:t>
            </w:r>
          </w:p>
        </w:tc>
      </w:tr>
    </w:tbl>
    <w:p>
      <w:pPr>
        <w:pStyle w:val="TextBody"/>
        <w:spacing w:before="0" w:after="0"/>
        <w:ind w:left="0" w:right="0" w:hanging="0"/>
        <w:rPr>
          <w:caps w:val="false"/>
          <w:smallCaps w:val="false"/>
        </w:rPr>
      </w:pPr>
      <w:r>
        <w:rPr>
          <w:caps w:val="false"/>
          <w:smallCaps w:val="false"/>
        </w:rPr>
        <w:t> </w:t>
      </w:r>
    </w:p>
    <w:tbl>
      <w:tblPr>
        <w:tblW w:w="4975" w:type="dxa"/>
        <w:jc w:val="left"/>
        <w:tblInd w:w="0" w:type="dxa"/>
        <w:tblCellMar>
          <w:top w:w="0" w:type="dxa"/>
          <w:left w:w="0" w:type="dxa"/>
          <w:bottom w:w="0" w:type="dxa"/>
          <w:right w:w="0" w:type="dxa"/>
        </w:tblCellMar>
      </w:tblPr>
      <w:tblGrid>
        <w:gridCol w:w="75"/>
        <w:gridCol w:w="170"/>
        <w:gridCol w:w="47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283"/>
              <w:jc w:val="left"/>
              <w:rPr>
                <w:sz w:val="20"/>
              </w:rPr>
            </w:pPr>
            <w:r>
              <w:rPr>
                <w:sz w:val="20"/>
              </w:rPr>
              <w:t>no intention to declare any dividends to our shareholders;</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75"/>
        <w:gridCol w:w="170"/>
        <w:gridCol w:w="39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950" w:type="dxa"/>
            <w:tcBorders/>
            <w:shd w:fill="auto" w:val="clear"/>
            <w:vAlign w:val="center"/>
          </w:tcPr>
          <w:p>
            <w:pPr>
              <w:pStyle w:val="TableContents"/>
              <w:spacing w:before="0" w:after="283"/>
              <w:jc w:val="left"/>
              <w:rPr>
                <w:sz w:val="20"/>
              </w:rPr>
            </w:pPr>
            <w:r>
              <w:rPr>
                <w:sz w:val="20"/>
              </w:rPr>
              <w:t>risks associated with a shortage of raw materials;</w:t>
            </w:r>
          </w:p>
        </w:tc>
      </w:tr>
    </w:tbl>
    <w:p>
      <w:pPr>
        <w:pStyle w:val="TextBody"/>
        <w:spacing w:before="0" w:after="0"/>
        <w:ind w:left="0" w:right="0" w:hanging="0"/>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75"/>
        <w:gridCol w:w="170"/>
        <w:gridCol w:w="77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700" w:type="dxa"/>
            <w:tcBorders/>
            <w:shd w:fill="auto" w:val="clear"/>
            <w:vAlign w:val="center"/>
          </w:tcPr>
          <w:p>
            <w:pPr>
              <w:pStyle w:val="TableContents"/>
              <w:spacing w:before="0" w:after="283"/>
              <w:jc w:val="left"/>
              <w:rPr>
                <w:sz w:val="20"/>
              </w:rPr>
            </w:pPr>
            <w:r>
              <w:rPr>
                <w:sz w:val="20"/>
              </w:rPr>
              <w:t>litigation that may adversely affect our business, financial condition, and results of operations;</w:t>
            </w:r>
          </w:p>
        </w:tc>
      </w:tr>
    </w:tbl>
    <w:p>
      <w:pPr>
        <w:pStyle w:val="TextBody"/>
        <w:spacing w:before="0" w:after="0"/>
        <w:ind w:left="0" w:right="0" w:hanging="0"/>
        <w:rPr>
          <w:caps w:val="false"/>
          <w:smallCaps w:val="false"/>
        </w:rPr>
      </w:pPr>
      <w:r>
        <w:rPr>
          <w:caps w:val="false"/>
          <w:smallCaps w:val="false"/>
        </w:rPr>
        <w:t> </w:t>
      </w:r>
    </w:p>
    <w:tbl>
      <w:tblPr>
        <w:tblW w:w="5320" w:type="dxa"/>
        <w:jc w:val="left"/>
        <w:tblInd w:w="0" w:type="dxa"/>
        <w:tblCellMar>
          <w:top w:w="0" w:type="dxa"/>
          <w:left w:w="0" w:type="dxa"/>
          <w:bottom w:w="0" w:type="dxa"/>
          <w:right w:w="0" w:type="dxa"/>
        </w:tblCellMar>
      </w:tblPr>
      <w:tblGrid>
        <w:gridCol w:w="75"/>
        <w:gridCol w:w="170"/>
        <w:gridCol w:w="50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075" w:type="dxa"/>
            <w:tcBorders/>
            <w:shd w:fill="auto" w:val="clear"/>
            <w:vAlign w:val="center"/>
          </w:tcPr>
          <w:p>
            <w:pPr>
              <w:pStyle w:val="TableContents"/>
              <w:spacing w:before="0" w:after="283"/>
              <w:jc w:val="left"/>
              <w:rPr>
                <w:sz w:val="20"/>
              </w:rPr>
            </w:pPr>
            <w:r>
              <w:rPr>
                <w:sz w:val="20"/>
              </w:rPr>
              <w:t>Nasdaq may delist our securities from trading on its exchange;</w:t>
            </w:r>
          </w:p>
        </w:tc>
      </w:tr>
    </w:tbl>
    <w:p>
      <w:pPr>
        <w:pStyle w:val="TextBody"/>
        <w:spacing w:before="0" w:after="0"/>
        <w:ind w:left="0" w:right="0" w:hanging="0"/>
        <w:rPr>
          <w:caps w:val="false"/>
          <w:smallCaps w:val="false"/>
        </w:rPr>
      </w:pPr>
      <w:r>
        <w:rPr>
          <w:caps w:val="false"/>
          <w:smallCaps w:val="false"/>
        </w:rPr>
        <w:t> </w:t>
      </w:r>
    </w:p>
    <w:tbl>
      <w:tblPr>
        <w:tblW w:w="3385" w:type="dxa"/>
        <w:jc w:val="left"/>
        <w:tblInd w:w="0" w:type="dxa"/>
        <w:tblCellMar>
          <w:top w:w="0" w:type="dxa"/>
          <w:left w:w="0" w:type="dxa"/>
          <w:bottom w:w="0" w:type="dxa"/>
          <w:right w:w="0" w:type="dxa"/>
        </w:tblCellMar>
      </w:tblPr>
      <w:tblGrid>
        <w:gridCol w:w="75"/>
        <w:gridCol w:w="170"/>
        <w:gridCol w:w="31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140" w:type="dxa"/>
            <w:tcBorders/>
            <w:shd w:fill="auto" w:val="clear"/>
            <w:vAlign w:val="center"/>
          </w:tcPr>
          <w:p>
            <w:pPr>
              <w:pStyle w:val="TableContents"/>
              <w:spacing w:before="0" w:after="283"/>
              <w:jc w:val="left"/>
              <w:rPr>
                <w:sz w:val="20"/>
              </w:rPr>
            </w:pPr>
            <w:r>
              <w:rPr>
                <w:sz w:val="20"/>
              </w:rPr>
              <w:t>impact of COVID-19 and related risks;</w:t>
            </w:r>
          </w:p>
        </w:tc>
      </w:tr>
    </w:tbl>
    <w:p>
      <w:pPr>
        <w:pStyle w:val="TextBody"/>
        <w:spacing w:before="0" w:after="0"/>
        <w:ind w:left="0" w:right="0" w:hanging="0"/>
        <w:rPr>
          <w:caps w:val="false"/>
          <w:smallCaps w:val="false"/>
        </w:rPr>
      </w:pPr>
      <w:r>
        <w:rPr>
          <w:caps w:val="false"/>
          <w:smallCaps w:val="false"/>
        </w:rPr>
        <w:t> </w:t>
      </w:r>
    </w:p>
    <w:tbl>
      <w:tblPr>
        <w:tblW w:w="7615" w:type="dxa"/>
        <w:jc w:val="left"/>
        <w:tblInd w:w="0" w:type="dxa"/>
        <w:tblCellMar>
          <w:top w:w="0" w:type="dxa"/>
          <w:left w:w="0" w:type="dxa"/>
          <w:bottom w:w="0" w:type="dxa"/>
          <w:right w:w="0" w:type="dxa"/>
        </w:tblCellMar>
      </w:tblPr>
      <w:tblGrid>
        <w:gridCol w:w="75"/>
        <w:gridCol w:w="170"/>
        <w:gridCol w:w="73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370" w:type="dxa"/>
            <w:tcBorders/>
            <w:shd w:fill="auto" w:val="clear"/>
            <w:vAlign w:val="center"/>
          </w:tcPr>
          <w:p>
            <w:pPr>
              <w:pStyle w:val="TableContents"/>
              <w:spacing w:before="0" w:after="283"/>
              <w:jc w:val="left"/>
              <w:rPr>
                <w:sz w:val="20"/>
              </w:rPr>
            </w:pPr>
            <w:r>
              <w:rPr>
                <w:sz w:val="20"/>
              </w:rPr>
              <w:t>increased costs and demands upon management as a result of being a public company; and</w:t>
            </w:r>
          </w:p>
        </w:tc>
      </w:tr>
    </w:tbl>
    <w:p>
      <w:pPr>
        <w:pStyle w:val="TextBody"/>
        <w:spacing w:before="0" w:after="0"/>
        <w:ind w:left="0" w:right="0" w:hanging="0"/>
        <w:rPr>
          <w:caps w:val="false"/>
          <w:smallCaps w:val="false"/>
        </w:rPr>
      </w:pPr>
      <w:r>
        <w:rPr>
          <w:caps w:val="false"/>
          <w:smallCaps w:val="false"/>
        </w:rPr>
        <w:t> </w:t>
      </w:r>
    </w:p>
    <w:tbl>
      <w:tblPr>
        <w:tblW w:w="5590" w:type="dxa"/>
        <w:jc w:val="left"/>
        <w:tblInd w:w="0" w:type="dxa"/>
        <w:tblCellMar>
          <w:top w:w="0" w:type="dxa"/>
          <w:left w:w="0" w:type="dxa"/>
          <w:bottom w:w="0" w:type="dxa"/>
          <w:right w:w="0" w:type="dxa"/>
        </w:tblCellMar>
      </w:tblPr>
      <w:tblGrid>
        <w:gridCol w:w="75"/>
        <w:gridCol w:w="170"/>
        <w:gridCol w:w="53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345" w:type="dxa"/>
            <w:tcBorders/>
            <w:shd w:fill="auto" w:val="clear"/>
            <w:vAlign w:val="center"/>
          </w:tcPr>
          <w:p>
            <w:pPr>
              <w:pStyle w:val="TableContents"/>
              <w:spacing w:before="0" w:after="283"/>
              <w:jc w:val="left"/>
              <w:rPr>
                <w:sz w:val="20"/>
              </w:rPr>
            </w:pPr>
            <w:r>
              <w:rPr>
                <w:sz w:val="20"/>
              </w:rPr>
              <w:t>inherent risks related to our financial and operational projections.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INDUSTRY AND OTHER DATA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this report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gri_001"/>
      <w:bookmarkEnd w:id="2"/>
      <w:r>
        <w:rPr>
          <w:rFonts w:ascii="Times New Roman;Times;Serif" w:hAnsi="Times New Roman;Times;Serif"/>
          <w:b/>
          <w:i w:val="false"/>
          <w:caps w:val="false"/>
          <w:smallCaps w:val="false"/>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 w:name="agri_002"/>
      <w:bookmarkEnd w:id="3"/>
      <w:r>
        <w:rPr>
          <w:rFonts w:ascii="Times New Roman;Times;Serif" w:hAnsi="Times New Roman;Times;Serif"/>
          <w:b/>
          <w:i w:val="false"/>
          <w:caps w:val="false"/>
          <w:smallCaps w:val="false"/>
          <w:sz w:val="20"/>
        </w:rPr>
        <w:t>Item 1.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Unless otherwise stated or the context otherwise requires, references in this report to “Agrify”, the “Company,” “we,” “us,” “our,” or similar references mean Agrify Corporation and its subsidiaries on a consolidated basis.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pStyle w:val="TextBody"/>
        <w:spacing w:before="0" w:after="0"/>
        <w:ind w:left="0" w:right="0" w:firstLine="360"/>
        <w:rPr>
          <w:caps w:val="false"/>
          <w:smallCaps w:val="false"/>
        </w:rPr>
      </w:pPr>
      <w:r>
        <w:rPr>
          <w:caps w:val="false"/>
          <w:smallCaps w:val="false"/>
        </w:rPr>
        <w:t> </w:t>
      </w:r>
    </w:p>
    <w:tbl>
      <w:tblPr>
        <w:tblW w:w="2050" w:type="dxa"/>
        <w:jc w:val="left"/>
        <w:tblInd w:w="0" w:type="dxa"/>
        <w:tblCellMar>
          <w:top w:w="0" w:type="dxa"/>
          <w:left w:w="0" w:type="dxa"/>
          <w:bottom w:w="0" w:type="dxa"/>
          <w:right w:w="0" w:type="dxa"/>
        </w:tblCellMar>
      </w:tblPr>
      <w:tblGrid>
        <w:gridCol w:w="75"/>
        <w:gridCol w:w="170"/>
        <w:gridCol w:w="18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rPr>
                <w:sz w:val="20"/>
              </w:rPr>
            </w:pPr>
            <w:r>
              <w:rPr>
                <w:sz w:val="20"/>
              </w:rPr>
              <w:t>Cultivation Solutions</w:t>
            </w:r>
          </w:p>
        </w:tc>
      </w:tr>
    </w:tbl>
    <w:p>
      <w:pPr>
        <w:pStyle w:val="TextBody"/>
        <w:spacing w:before="0" w:after="0"/>
        <w:ind w:left="0" w:right="0" w:hanging="0"/>
        <w:rPr>
          <w:caps w:val="false"/>
          <w:smallCaps w:val="false"/>
        </w:rPr>
      </w:pPr>
      <w:r>
        <w:rPr>
          <w:caps w:val="false"/>
          <w:smallCaps w:val="false"/>
        </w:rPr>
        <w:t> </w:t>
      </w:r>
    </w:p>
    <w:tbl>
      <w:tblPr>
        <w:tblW w:w="1960" w:type="dxa"/>
        <w:jc w:val="left"/>
        <w:tblInd w:w="0" w:type="dxa"/>
        <w:tblCellMar>
          <w:top w:w="0" w:type="dxa"/>
          <w:left w:w="0" w:type="dxa"/>
          <w:bottom w:w="0" w:type="dxa"/>
          <w:right w:w="0" w:type="dxa"/>
        </w:tblCellMar>
      </w:tblPr>
      <w:tblGrid>
        <w:gridCol w:w="75"/>
        <w:gridCol w:w="170"/>
        <w:gridCol w:w="17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715" w:type="dxa"/>
            <w:tcBorders/>
            <w:shd w:fill="auto" w:val="clear"/>
            <w:vAlign w:val="center"/>
          </w:tcPr>
          <w:p>
            <w:pPr>
              <w:pStyle w:val="TableContents"/>
              <w:spacing w:before="0" w:after="283"/>
              <w:rPr>
                <w:sz w:val="20"/>
              </w:rPr>
            </w:pPr>
            <w:r>
              <w:rPr>
                <w:sz w:val="20"/>
              </w:rPr>
              <w:t>Extraction Solutions</w:t>
            </w:r>
          </w:p>
        </w:tc>
      </w:tr>
    </w:tbl>
    <w:p>
      <w:pPr>
        <w:pStyle w:val="TextBody"/>
        <w:spacing w:before="0" w:after="0"/>
        <w:ind w:left="0" w:right="0" w:hanging="0"/>
        <w:rPr>
          <w:caps w:val="false"/>
          <w:smallCaps w:val="false"/>
        </w:rPr>
      </w:pPr>
      <w:r>
        <w:rPr>
          <w:caps w:val="false"/>
          <w:smallCaps w:val="false"/>
        </w:rPr>
        <w:t> </w:t>
      </w:r>
    </w:p>
    <w:tbl>
      <w:tblPr>
        <w:tblW w:w="3265" w:type="dxa"/>
        <w:jc w:val="left"/>
        <w:tblInd w:w="0" w:type="dxa"/>
        <w:tblCellMar>
          <w:top w:w="0" w:type="dxa"/>
          <w:left w:w="0" w:type="dxa"/>
          <w:bottom w:w="0" w:type="dxa"/>
          <w:right w:w="0" w:type="dxa"/>
        </w:tblCellMar>
      </w:tblPr>
      <w:tblGrid>
        <w:gridCol w:w="75"/>
        <w:gridCol w:w="170"/>
        <w:gridCol w:w="30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20" w:type="dxa"/>
            <w:tcBorders/>
            <w:shd w:fill="auto" w:val="clear"/>
            <w:vAlign w:val="center"/>
          </w:tcPr>
          <w:p>
            <w:pPr>
              <w:pStyle w:val="TableContents"/>
              <w:spacing w:before="0" w:after="283"/>
              <w:rPr>
                <w:sz w:val="20"/>
              </w:rPr>
            </w:pPr>
            <w:r>
              <w:rPr>
                <w:sz w:val="20"/>
              </w:rPr>
              <w:t xml:space="preserve">Facility Design &amp; Building Services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Cultivation Solutions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Agrify Vertical Farming Unit (“VFU”)</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Superior Floor Space Utilization</w:t>
            </w:r>
            <w:r>
              <w:rPr>
                <w:sz w:val="20"/>
              </w:rPr>
              <w:t>. Each VFU provides two growing rows. Our design introduces an open-room facility design approach to maximize available cultivation floor print while offering superior risk mitigation via individual compartmentalized cultivation chambers.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Precise Environmental Controls</w:t>
            </w:r>
            <w:r>
              <w:rPr>
                <w:sz w:val="20"/>
              </w:rPr>
              <w:t>. Each VFU has an environmental control unit that is integrated with our proprietary cultivation software, Agrify Insights software. This integration allows for precise control and automation over light photoperiod and intensity, temperature, humidity, vapor pressure deficit (“VPD”), carbon dioxide, fertigation, and irrigation throughout the life cycle of the plants.</w:t>
            </w:r>
          </w:p>
        </w:tc>
      </w:tr>
    </w:tbl>
    <w:p>
      <w:pPr>
        <w:pStyle w:val="TextBody"/>
        <w:spacing w:before="0" w:after="0"/>
        <w:ind w:left="45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Modular Scalability</w:t>
            </w:r>
            <w:r>
              <w:rPr>
                <w:sz w:val="20"/>
              </w:rPr>
              <w:t>. The VFU is designed with proper loading to stack up to 3 units tall, sextupling production volume over the same footprint. Each unit is designed to easily integrate with a mezzanine catwalk system.</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Biosecurity and Risk Mitigation</w:t>
            </w:r>
            <w:r>
              <w:rPr>
                <w:sz w:val="20"/>
              </w:rPr>
              <w:t>. The VFU has a motorized curtain on both sides of the unit that 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Worker Safety</w:t>
            </w:r>
            <w:r>
              <w:rPr>
                <w:sz w:val="20"/>
              </w:rPr>
              <w:t>. The VFU’s working area is 8 feet tall, allowing easy access to both rows of plants within the unit. As the motorized curtains can be lifted on either side, this also allows efficient ergonomics at arm’s length. Similarly, our Interlight LED technology is dimmed or turned-off when the curtains are raised for a more ambient working environment.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trike w:val="false"/>
          <w:dstrike w:val="false"/>
          <w:sz w:val="20"/>
          <w:u w:val="none"/>
          <w:effect w:val="none"/>
        </w:rPr>
      </w:pPr>
      <w:r>
        <w:rPr>
          <w:rFonts w:ascii="Times New Roman;Times;Serif" w:hAnsi="Times New Roman;Times;Serif"/>
          <w:b w:val="false"/>
          <w:i/>
          <w:caps w:val="false"/>
          <w:smallCaps w:val="false"/>
          <w:strike w:val="false"/>
          <w:dstrike w:val="false"/>
          <w:sz w:val="20"/>
          <w:u w:val="none"/>
          <w:effect w:val="none"/>
        </w:rPr>
        <w:t>Examples of VFU infrastructure verse traditional grows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Agrify Insights SaaS Software Solution</w:t>
      </w:r>
      <w:r>
        <w:rPr>
          <w:rFonts w:ascii="Times New Roman;Times;Serif" w:hAnsi="Times New Roman;Times;Serif"/>
          <w:b w:val="false"/>
          <w:i w:val="false"/>
          <w:caps w:val="false"/>
          <w:smallCaps w:val="false"/>
          <w:sz w:val="20"/>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Agrify Insights software is focused around optimizing four key components:</w:t>
      </w:r>
    </w:p>
    <w:p>
      <w:pPr>
        <w:pStyle w:val="TextBody"/>
        <w:spacing w:before="0" w:after="0"/>
        <w:ind w:left="0" w:right="0" w:firstLine="360"/>
        <w:rPr>
          <w:caps w:val="false"/>
          <w:smallCaps w:val="false"/>
        </w:rPr>
      </w:pPr>
      <w:r>
        <w:rPr>
          <w:caps w:val="false"/>
          <w:smallCaps w:val="false"/>
        </w:rPr>
        <w:t> </w:t>
      </w:r>
    </w:p>
    <w:tbl>
      <w:tblPr>
        <w:tblW w:w="2830" w:type="dxa"/>
        <w:jc w:val="left"/>
        <w:tblInd w:w="0" w:type="dxa"/>
        <w:tblCellMar>
          <w:top w:w="0" w:type="dxa"/>
          <w:left w:w="0" w:type="dxa"/>
          <w:bottom w:w="0" w:type="dxa"/>
          <w:right w:w="0" w:type="dxa"/>
        </w:tblCellMar>
      </w:tblPr>
      <w:tblGrid>
        <w:gridCol w:w="75"/>
        <w:gridCol w:w="170"/>
        <w:gridCol w:w="25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585" w:type="dxa"/>
            <w:tcBorders/>
            <w:shd w:fill="auto" w:val="clear"/>
            <w:vAlign w:val="center"/>
          </w:tcPr>
          <w:p>
            <w:pPr>
              <w:pStyle w:val="TableContents"/>
              <w:spacing w:before="0" w:after="283"/>
              <w:rPr>
                <w:sz w:val="20"/>
              </w:rPr>
            </w:pPr>
            <w:r>
              <w:rPr>
                <w:sz w:val="20"/>
              </w:rPr>
              <w:t>Optimization at the plant level;</w:t>
            </w:r>
          </w:p>
        </w:tc>
      </w:tr>
    </w:tbl>
    <w:p>
      <w:pPr>
        <w:pStyle w:val="TextBody"/>
        <w:spacing w:before="0" w:after="0"/>
        <w:ind w:left="0" w:right="0" w:hanging="0"/>
        <w:rPr>
          <w:caps w:val="false"/>
          <w:smallCaps w:val="false"/>
        </w:rPr>
      </w:pPr>
      <w:r>
        <w:rPr>
          <w:caps w:val="false"/>
          <w:smallCaps w:val="false"/>
        </w:rPr>
        <w:t> </w:t>
      </w:r>
    </w:p>
    <w:tbl>
      <w:tblPr>
        <w:tblW w:w="3160" w:type="dxa"/>
        <w:jc w:val="left"/>
        <w:tblInd w:w="0" w:type="dxa"/>
        <w:tblCellMar>
          <w:top w:w="0" w:type="dxa"/>
          <w:left w:w="0" w:type="dxa"/>
          <w:bottom w:w="0" w:type="dxa"/>
          <w:right w:w="0" w:type="dxa"/>
        </w:tblCellMar>
      </w:tblPr>
      <w:tblGrid>
        <w:gridCol w:w="75"/>
        <w:gridCol w:w="170"/>
        <w:gridCol w:w="29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915" w:type="dxa"/>
            <w:tcBorders/>
            <w:shd w:fill="auto" w:val="clear"/>
            <w:vAlign w:val="center"/>
          </w:tcPr>
          <w:p>
            <w:pPr>
              <w:pStyle w:val="TableContents"/>
              <w:spacing w:before="0" w:after="283"/>
              <w:rPr>
                <w:sz w:val="20"/>
              </w:rPr>
            </w:pPr>
            <w:r>
              <w:rPr>
                <w:sz w:val="20"/>
              </w:rPr>
              <w:t>Optimization at the VFU unit level;</w:t>
            </w:r>
          </w:p>
        </w:tc>
      </w:tr>
    </w:tbl>
    <w:p>
      <w:pPr>
        <w:pStyle w:val="TextBody"/>
        <w:spacing w:before="0" w:after="0"/>
        <w:ind w:left="0" w:right="0" w:hanging="0"/>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75"/>
        <w:gridCol w:w="170"/>
        <w:gridCol w:w="30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rPr>
                <w:sz w:val="20"/>
              </w:rPr>
            </w:pPr>
            <w:r>
              <w:rPr>
                <w:sz w:val="20"/>
              </w:rPr>
              <w:t>Optimization at the facility level; and</w:t>
            </w:r>
          </w:p>
        </w:tc>
      </w:tr>
    </w:tbl>
    <w:p>
      <w:pPr>
        <w:pStyle w:val="TextBody"/>
        <w:spacing w:before="0" w:after="0"/>
        <w:ind w:left="0" w:right="0" w:hanging="0"/>
        <w:rPr>
          <w:caps w:val="false"/>
          <w:smallCaps w:val="false"/>
        </w:rPr>
      </w:pPr>
      <w:r>
        <w:rPr>
          <w:caps w:val="false"/>
          <w:smallCaps w:val="false"/>
        </w:rPr>
        <w:t> </w:t>
      </w:r>
    </w:p>
    <w:tbl>
      <w:tblPr>
        <w:tblW w:w="3085" w:type="dxa"/>
        <w:jc w:val="left"/>
        <w:tblInd w:w="0" w:type="dxa"/>
        <w:tblCellMar>
          <w:top w:w="0" w:type="dxa"/>
          <w:left w:w="0" w:type="dxa"/>
          <w:bottom w:w="0" w:type="dxa"/>
          <w:right w:w="0" w:type="dxa"/>
        </w:tblCellMar>
      </w:tblPr>
      <w:tblGrid>
        <w:gridCol w:w="75"/>
        <w:gridCol w:w="170"/>
        <w:gridCol w:w="28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840" w:type="dxa"/>
            <w:tcBorders/>
            <w:shd w:fill="auto" w:val="clear"/>
            <w:vAlign w:val="center"/>
          </w:tcPr>
          <w:p>
            <w:pPr>
              <w:pStyle w:val="TableContents"/>
              <w:spacing w:before="0" w:after="283"/>
              <w:rPr>
                <w:sz w:val="20"/>
              </w:rPr>
            </w:pPr>
            <w:r>
              <w:rPr>
                <w:sz w:val="20"/>
              </w:rPr>
              <w:t>Optimization at the business level.</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Plant-Level Optimization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Individual VFU Level Optimization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VFU hardware provides cultivation environmental control within the growth chamber. This hardware and its component valves, motors and sensors are directed and controlled by Agrify Insights software.</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Monitor and Control Agrify Hardware</w:t>
            </w:r>
            <w:r>
              <w:rPr>
                <w:sz w:val="20"/>
              </w:rPr>
              <w:t>. Agrify Insights software can either automatically or manually control our hardware. For example, the water-chilled fan coil can keep temperature in a range accurate to 1.5 degrees Fahrenheit.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Cultivation Environmental Control</w:t>
            </w:r>
            <w:r>
              <w:rPr>
                <w:sz w:val="20"/>
              </w:rPr>
              <w:t>. Using Agrify Insights software, users can view environmental charts that plot temperature, humidity, 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Facility Level Optimization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Production Planning</w:t>
            </w:r>
            <w:r>
              <w:rPr>
                <w:sz w:val="20"/>
              </w:rPr>
              <w:t>. The production planning feature is designed to maximize a facility’s 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Workforce Management</w:t>
            </w:r>
            <w:r>
              <w:rPr>
                <w:sz w:val="20"/>
              </w:rPr>
              <w:t>. Agrify Insights software includes a workforce planning feature to assign tasks to staff. These tasks can be automatically assigned based on user role or their knowledge, skills, and abilities. The calendar displays the estimated amount of time required to complete plant-touching tasks on any given day.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Automatic Notification System</w:t>
            </w:r>
            <w:r>
              <w:rPr>
                <w:sz w:val="20"/>
              </w:rPr>
              <w:t>. Users can select to subscribe to anomalous events, and users are notified in the order in which they are listed. If a user does not acknowledge the notification within the specified time frame, the next user in the list is notified, providing the business with 24/7 monitoring and notifications.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Preventative Maintenance</w:t>
            </w:r>
            <w:r>
              <w:rPr>
                <w:sz w:val="20"/>
              </w:rPr>
              <w:t>. Our equipment and facility preventative maintenance schedules and related tasks are contained, tracked and monitored within Agrify Insights software.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Facility Infrastructure Controls</w:t>
            </w:r>
            <w:r>
              <w:rPr>
                <w:sz w:val="20"/>
              </w:rPr>
              <w:t>. Agrify Insights software controls the irrigation on a facility level as well as connects with the water chilled HVAC system and ambient lighting system, providing our customers a central piece of software for facility management.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Optimization at the Business Level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Consumables Procurement Integration</w:t>
            </w:r>
            <w:r>
              <w:rPr>
                <w:sz w:val="20"/>
              </w:rPr>
              <w:t>. Each task can also be assigned a set of consumables whose inventory will be reduced when the task is started. This feature can help customers manage supply levels and can automatically create purchase orders so that they never run out of required supplies.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Online Standard Operating Procedures (“SOPs’’) and Safety Datasheets</w:t>
            </w:r>
            <w:r>
              <w:rPr>
                <w:sz w:val="20"/>
              </w:rPr>
              <w:t>. Agrify Insights software hosts digital copies of our included Standard Operating Procedures and datasheets, or users can upload their own via our content management system, ensuring that the most recent version of SOPs and forms are available to users.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Roles-Based Dashboards</w:t>
            </w:r>
            <w:r>
              <w:rPr>
                <w:sz w:val="20"/>
              </w:rPr>
              <w:t>. Ability to obtain access to information specifically suited to your 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Data Collection</w:t>
            </w:r>
            <w:r>
              <w:rPr>
                <w:sz w:val="20"/>
              </w:rPr>
              <w:t>. Agrify Insights software is a centralized repository for all data relating to the cultivation aspects of our clients’ business, including research and development testing data, and the ability to capture and compare test results. By doing so, Agrify Insights software becomes a customers’ cultivation statement of record.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Financial Simulator / What If Scenarios</w:t>
            </w:r>
            <w:r>
              <w:rPr>
                <w:sz w:val="20"/>
              </w:rPr>
              <w:t>. Our operating expenses (“OpEx”) calculator enables users to evaluate impacts to profitability by changing hundreds of attributes including, but not limited to, changes to costs in labor, electric, water, CO2, and growing media as well as potential volatility in yields and pricing.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Regulatory Reporting Integration.</w:t>
            </w:r>
            <w:r>
              <w:rPr>
                <w:sz w:val="20"/>
              </w:rPr>
              <w:t xml:space="preserve"> We have integrated our software with Metrc, a leading seed-to-harvest compliance management and tracking solution, which will enable our customers to handle most regulatory reporting directly through Agrify Insights software.</w:t>
            </w:r>
          </w:p>
        </w:tc>
      </w:tr>
    </w:tbl>
    <w:p>
      <w:pPr>
        <w:pStyle w:val="TextBody"/>
        <w:spacing w:before="0" w:after="0"/>
        <w:ind w:left="45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Extraction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 xml:space="preserve">Mass2Media, LLC, d/b/a PX2 Holdings, LLC, d/b/a Precision Extraction Solutions (“Precision”) - </w:t>
            </w:r>
            <w:r>
              <w:rPr>
                <w:sz w:val="20"/>
              </w:rPr>
              <w:t>Market leader in developing and producing high-quality hydrocarbon extraction solutions was acquired by Agrify on October 1,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Cascade Sciences, LLC (“Cascade”)-</w:t>
            </w:r>
            <w:r>
              <w:rPr>
                <w:sz w:val="20"/>
              </w:rPr>
              <w:t xml:space="preserve"> Market leader in developing and producing high-quality vacuum purge ovens and decarboxylation ovens was acquired by Agrify on October 1,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PurePressure, LLC (“PurePressure”) -</w:t>
            </w:r>
            <w:r>
              <w:rPr>
                <w:sz w:val="20"/>
              </w:rPr>
              <w:t xml:space="preserve"> Market leader in developing and producing high-quality solventless extraction solutions was acquired by Agrify on December 31,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LS Holdings Corp. (“Lab Society”) -</w:t>
            </w:r>
            <w:r>
              <w:rPr>
                <w:sz w:val="20"/>
              </w:rPr>
              <w:t xml:space="preserve"> Market leader in developing and producing high-quality distillation and solvent separation extraction solutions was acquired by Agrify on February 1, 2022.</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Facility Design &amp; Building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Cannabis Market Opportunity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December 31, 2021, 38 states have passed laws allowing their citizens to use medical cannabis. On top of this medical condition growth trend, there has been a slower but steady increase in the number of states that have chosen to legalize cannabis for recreational use. As of December 31, 2021, 18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28 countries outside the U.S. currently have medicinal cannabis regulation in force, and that number is expected to significantly increase over time.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market size of legal cannabis in the U.S. in 2020 was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different cultivation environments for cannabis each have advantages and disadvantages, and this leads to a variance in price points based on quality, actual and perceived, and process. According to New Leaf Data Services’ March 25, 2022 U.S. cannabis spot index, the average wholesale price per pound of outdoor grown flower was $502 per pound, greenhouse flower averaged $840 per pound, while indoor grown flower averaged $1,651 per pound and the total market on average was $1,242 per pound.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Outdoor cannabis has the lowest initial capital expenditures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premium indoor grow solutions, whether it’s our VFUs or our LED lights, are designed, engineered, and calibrated to drive significant improvements for our customers, who trust us to deliver the type of productivity and quality that was previously unattainable.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Landscape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full suite of product offerings form an unmatched ecosystem for indoor growing and extraction. At this time, our Agrify Vertical Farming Unit, Agrify Insights software, Extraction solutions, our facility design and build services, and our engineering/installation services are highly differentiated from anything else on the market.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pStyle w:val="TextBody"/>
        <w:spacing w:before="0" w:after="0"/>
        <w:ind w:left="0" w:right="0" w:firstLine="36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170"/>
        <w:gridCol w:w="48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35" w:type="dxa"/>
            <w:tcBorders/>
            <w:shd w:fill="auto" w:val="clear"/>
            <w:vAlign w:val="center"/>
          </w:tcPr>
          <w:p>
            <w:pPr>
              <w:pStyle w:val="TableContents"/>
              <w:spacing w:before="0" w:after="283"/>
              <w:rPr>
                <w:sz w:val="20"/>
              </w:rPr>
            </w:pPr>
            <w:r>
              <w:rPr>
                <w:b/>
                <w:i/>
                <w:sz w:val="20"/>
              </w:rPr>
              <w:t xml:space="preserve">Semi-Integrated Vertical Cultivation Systems </w:t>
            </w:r>
            <w:r>
              <w:rPr>
                <w:sz w:val="20"/>
              </w:rPr>
              <w:t>— Sprout AI</w:t>
            </w:r>
          </w:p>
        </w:tc>
      </w:tr>
    </w:tbl>
    <w:p>
      <w:pPr>
        <w:pStyle w:val="TextBody"/>
        <w:spacing w:before="0" w:after="0"/>
        <w:ind w:left="0" w:right="0" w:hanging="0"/>
        <w:rPr>
          <w:caps w:val="false"/>
          <w:smallCaps w:val="false"/>
        </w:rPr>
      </w:pPr>
      <w:r>
        <w:rPr>
          <w:caps w:val="false"/>
          <w:smallCaps w:val="false"/>
        </w:rPr>
        <w:t> </w:t>
      </w:r>
    </w:p>
    <w:tbl>
      <w:tblPr>
        <w:tblW w:w="5095" w:type="dxa"/>
        <w:jc w:val="left"/>
        <w:tblInd w:w="0" w:type="dxa"/>
        <w:tblCellMar>
          <w:top w:w="0" w:type="dxa"/>
          <w:left w:w="0" w:type="dxa"/>
          <w:bottom w:w="0" w:type="dxa"/>
          <w:right w:w="0" w:type="dxa"/>
        </w:tblCellMar>
      </w:tblPr>
      <w:tblGrid>
        <w:gridCol w:w="75"/>
        <w:gridCol w:w="170"/>
        <w:gridCol w:w="48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50" w:type="dxa"/>
            <w:tcBorders/>
            <w:shd w:fill="auto" w:val="clear"/>
            <w:vAlign w:val="center"/>
          </w:tcPr>
          <w:p>
            <w:pPr>
              <w:pStyle w:val="TableContents"/>
              <w:spacing w:before="0" w:after="283"/>
              <w:rPr>
                <w:sz w:val="20"/>
              </w:rPr>
            </w:pPr>
            <w:r>
              <w:rPr>
                <w:b/>
                <w:i/>
                <w:sz w:val="20"/>
              </w:rPr>
              <w:t>Aeroponic Systems</w:t>
            </w:r>
            <w:r>
              <w:rPr>
                <w:sz w:val="20"/>
              </w:rPr>
              <w:t xml:space="preserve"> — AEssenceGrows and Thrive Growing</w:t>
            </w:r>
          </w:p>
        </w:tc>
      </w:tr>
    </w:tbl>
    <w:p>
      <w:pPr>
        <w:pStyle w:val="TextBody"/>
        <w:spacing w:before="0" w:after="0"/>
        <w:ind w:left="0" w:right="0" w:hanging="0"/>
        <w:rPr>
          <w:caps w:val="false"/>
          <w:smallCaps w:val="false"/>
        </w:rPr>
      </w:pPr>
      <w:r>
        <w:rPr>
          <w:caps w:val="false"/>
          <w:smallCaps w:val="false"/>
        </w:rPr>
        <w:t> </w:t>
      </w:r>
    </w:p>
    <w:tbl>
      <w:tblPr>
        <w:tblW w:w="9340" w:type="dxa"/>
        <w:jc w:val="left"/>
        <w:tblInd w:w="0" w:type="dxa"/>
        <w:tblCellMar>
          <w:top w:w="0" w:type="dxa"/>
          <w:left w:w="0" w:type="dxa"/>
          <w:bottom w:w="0" w:type="dxa"/>
          <w:right w:w="0" w:type="dxa"/>
        </w:tblCellMar>
      </w:tblPr>
      <w:tblGrid>
        <w:gridCol w:w="75"/>
        <w:gridCol w:w="170"/>
        <w:gridCol w:w="90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b/>
                <w:i/>
                <w:sz w:val="20"/>
              </w:rPr>
              <w:t>Horticultural Lighting</w:t>
            </w:r>
            <w:r>
              <w:rPr>
                <w:rFonts w:ascii="Times New Roman;Times;Serif" w:hAnsi="Times New Roman;Times;Serif"/>
                <w:sz w:val="20"/>
              </w:rPr>
              <w:t xml:space="preserve"> — Gavita, Fluence, VividGro, Hydrofarm, GrowGeneration, Hawthorne and Heliospectra</w:t>
            </w:r>
          </w:p>
        </w:tc>
      </w:tr>
    </w:tbl>
    <w:p>
      <w:pPr>
        <w:pStyle w:val="TextBody"/>
        <w:spacing w:before="0" w:after="0"/>
        <w:ind w:left="0" w:right="0" w:hanging="0"/>
        <w:rPr>
          <w:caps w:val="false"/>
          <w:smallCaps w:val="false"/>
        </w:rPr>
      </w:pPr>
      <w:r>
        <w:rPr>
          <w:caps w:val="false"/>
          <w:smallCaps w:val="false"/>
        </w:rPr>
        <w:t> </w:t>
      </w:r>
    </w:p>
    <w:tbl>
      <w:tblPr>
        <w:tblW w:w="5140" w:type="dxa"/>
        <w:jc w:val="left"/>
        <w:tblInd w:w="0" w:type="dxa"/>
        <w:tblCellMar>
          <w:top w:w="0" w:type="dxa"/>
          <w:left w:w="0" w:type="dxa"/>
          <w:bottom w:w="0" w:type="dxa"/>
          <w:right w:w="0" w:type="dxa"/>
        </w:tblCellMar>
      </w:tblPr>
      <w:tblGrid>
        <w:gridCol w:w="75"/>
        <w:gridCol w:w="170"/>
        <w:gridCol w:w="48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rPr>
                <w:sz w:val="20"/>
              </w:rPr>
            </w:pPr>
            <w:r>
              <w:rPr>
                <w:b/>
                <w:i/>
                <w:sz w:val="20"/>
              </w:rPr>
              <w:t>Extraction Solutions</w:t>
            </w:r>
            <w:r>
              <w:rPr>
                <w:sz w:val="20"/>
              </w:rPr>
              <w:t xml:space="preserve"> — Extraction Tech Solutions, Galenja</w:t>
            </w:r>
          </w:p>
        </w:tc>
      </w:tr>
    </w:tbl>
    <w:p>
      <w:pPr>
        <w:pStyle w:val="TextBody"/>
        <w:spacing w:before="0" w:after="0"/>
        <w:ind w:left="0" w:right="0" w:hanging="0"/>
        <w:rPr>
          <w:caps w:val="false"/>
          <w:smallCaps w:val="false"/>
        </w:rPr>
      </w:pPr>
      <w:r>
        <w:rPr>
          <w:caps w:val="false"/>
          <w:smallCaps w:val="false"/>
        </w:rPr>
        <w:t> </w:t>
      </w:r>
    </w:p>
    <w:tbl>
      <w:tblPr>
        <w:tblW w:w="4045" w:type="dxa"/>
        <w:jc w:val="left"/>
        <w:tblInd w:w="0" w:type="dxa"/>
        <w:tblCellMar>
          <w:top w:w="0" w:type="dxa"/>
          <w:left w:w="0" w:type="dxa"/>
          <w:bottom w:w="0" w:type="dxa"/>
          <w:right w:w="0" w:type="dxa"/>
        </w:tblCellMar>
      </w:tblPr>
      <w:tblGrid>
        <w:gridCol w:w="75"/>
        <w:gridCol w:w="170"/>
        <w:gridCol w:w="38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800" w:type="dxa"/>
            <w:tcBorders/>
            <w:shd w:fill="auto" w:val="clear"/>
            <w:vAlign w:val="center"/>
          </w:tcPr>
          <w:p>
            <w:pPr>
              <w:pStyle w:val="TableContents"/>
              <w:spacing w:before="0" w:after="283"/>
              <w:rPr>
                <w:sz w:val="20"/>
              </w:rPr>
            </w:pPr>
            <w:r>
              <w:rPr>
                <w:b/>
                <w:i/>
                <w:sz w:val="20"/>
              </w:rPr>
              <w:t>Monitoring Software</w:t>
            </w:r>
            <w:r>
              <w:rPr>
                <w:sz w:val="20"/>
              </w:rPr>
              <w:t xml:space="preserve"> — Grownetics and Trym</w:t>
            </w:r>
          </w:p>
        </w:tc>
      </w:tr>
    </w:tbl>
    <w:p>
      <w:pPr>
        <w:pStyle w:val="TextBody"/>
        <w:spacing w:before="0" w:after="0"/>
        <w:ind w:left="0" w:right="0" w:hanging="0"/>
        <w:rPr>
          <w:caps w:val="false"/>
          <w:smallCaps w:val="false"/>
        </w:rPr>
      </w:pPr>
      <w:r>
        <w:rPr>
          <w:caps w:val="false"/>
          <w:smallCaps w:val="false"/>
        </w:rPr>
        <w:t> </w:t>
      </w:r>
    </w:p>
    <w:tbl>
      <w:tblPr>
        <w:tblW w:w="5515" w:type="dxa"/>
        <w:jc w:val="left"/>
        <w:tblInd w:w="0" w:type="dxa"/>
        <w:tblCellMar>
          <w:top w:w="0" w:type="dxa"/>
          <w:left w:w="0" w:type="dxa"/>
          <w:bottom w:w="0" w:type="dxa"/>
          <w:right w:w="0" w:type="dxa"/>
        </w:tblCellMar>
      </w:tblPr>
      <w:tblGrid>
        <w:gridCol w:w="75"/>
        <w:gridCol w:w="170"/>
        <w:gridCol w:w="52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270" w:type="dxa"/>
            <w:tcBorders/>
            <w:shd w:fill="auto" w:val="clear"/>
            <w:vAlign w:val="center"/>
          </w:tcPr>
          <w:p>
            <w:pPr>
              <w:pStyle w:val="TableContents"/>
              <w:spacing w:before="0" w:after="283"/>
              <w:rPr>
                <w:sz w:val="20"/>
              </w:rPr>
            </w:pPr>
            <w:r>
              <w:rPr>
                <w:b/>
                <w:i/>
                <w:sz w:val="20"/>
              </w:rPr>
              <w:t>Cultivation Software</w:t>
            </w:r>
            <w:r>
              <w:rPr>
                <w:sz w:val="20"/>
              </w:rPr>
              <w:t xml:space="preserve"> — Quantum Leaf, Flourish, and Grow Link</w:t>
            </w:r>
          </w:p>
        </w:tc>
      </w:tr>
    </w:tbl>
    <w:p>
      <w:pPr>
        <w:pStyle w:val="TextBody"/>
        <w:spacing w:before="0" w:after="0"/>
        <w:ind w:left="0" w:right="0" w:hanging="0"/>
        <w:rPr>
          <w:caps w:val="false"/>
          <w:smallCaps w:val="false"/>
        </w:rPr>
      </w:pPr>
      <w:r>
        <w:rPr>
          <w:caps w:val="false"/>
          <w:smallCaps w:val="false"/>
        </w:rPr>
        <w:t> </w:t>
      </w:r>
    </w:p>
    <w:tbl>
      <w:tblPr>
        <w:tblW w:w="6070" w:type="dxa"/>
        <w:jc w:val="left"/>
        <w:tblInd w:w="0" w:type="dxa"/>
        <w:tblCellMar>
          <w:top w:w="0" w:type="dxa"/>
          <w:left w:w="0" w:type="dxa"/>
          <w:bottom w:w="0" w:type="dxa"/>
          <w:right w:w="0" w:type="dxa"/>
        </w:tblCellMar>
      </w:tblPr>
      <w:tblGrid>
        <w:gridCol w:w="75"/>
        <w:gridCol w:w="170"/>
        <w:gridCol w:w="58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825" w:type="dxa"/>
            <w:tcBorders/>
            <w:shd w:fill="auto" w:val="clear"/>
            <w:vAlign w:val="center"/>
          </w:tcPr>
          <w:p>
            <w:pPr>
              <w:pStyle w:val="TableContents"/>
              <w:spacing w:before="0" w:after="283"/>
              <w:rPr>
                <w:sz w:val="20"/>
              </w:rPr>
            </w:pPr>
            <w:r>
              <w:rPr>
                <w:b/>
                <w:i/>
                <w:sz w:val="20"/>
              </w:rPr>
              <w:t>Vertical Cultivation Racking Systems</w:t>
            </w:r>
            <w:r>
              <w:rPr>
                <w:sz w:val="20"/>
              </w:rPr>
              <w:t xml:space="preserve"> — Pipp Horticulture and Montel</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 is our ability to offer an unrivaled level of precision through a total end-to-end turnkey solution that sets us apart from existing competitors and potential new market entrants.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business has, and our future success will be driven by, the following competitive strengths: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Innovative Technology in an Attractive Growing Industry</w:t>
            </w:r>
            <w:r>
              <w:rPr>
                <w:sz w:val="20"/>
              </w:rPr>
              <w:t>. Our innovative solutions are aimed at large and growing U.S. domestic and global markets. We believe we are the only provider of a fully integrated end-to-end hardware and software turnkey solution for indoor cultivation and extraction facilities that allows customers to produce at scale, high-quality products with consistency that meet the growing demand and needs of end users at a relatively low cost. As such, we believe we have a first mover advantage due to innovating this new type of smart cannabis and hemp cultivation and processing solution, which is already designed, manufactured, and implemented in a number of commercial scale deployments across multiple states within the U.S.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Integrated Proprietary Components</w:t>
            </w:r>
            <w:r>
              <w:rPr>
                <w:sz w:val="20"/>
              </w:rPr>
              <w:t>. We design and create our own hardware, software and SOPs from the ground up, rather than buying piecemeal from third parties. We take a systems-engineered integrated approach that we believe has inherent advantages over other, ad-hoc systems.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Emphasis on Precision and Consistency Through Our Proprietary Grow Solutions</w:t>
            </w:r>
            <w:r>
              <w:rPr>
                <w:sz w:val="20"/>
              </w:rPr>
              <w:t>. While being able to help our customers increase capacity, yield and consequently revenues hold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total turn-key solution (“TTK Solution”) is that our customers are able to create consistent high-quality products with repeatability from anywhere similar to any other consumer product company that provides a branded food or drink product.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 xml:space="preserve">Emphasis on Precision and Consistency Through Our Extraction Division. </w:t>
            </w:r>
            <w:r>
              <w:rPr>
                <w:sz w:val="20"/>
              </w:rPr>
              <w:t>In addition to our 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Market Knowledge and Understanding</w:t>
            </w:r>
            <w:r>
              <w:rPr>
                <w:sz w:val="20"/>
              </w:rPr>
              <w:t>. We have extensive experience with controlled agriculture 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Differentiated Business Model</w:t>
            </w:r>
            <w:r>
              <w:rPr>
                <w:sz w:val="20"/>
              </w:rPr>
              <w:t>. Unlike many of our competitors, we offer a diversified mix of hardware, software and services, which leads to multiple revenue streams. Given the nature of our deployments, we become deeply embedded in our customers’ operations through our numerous product offerings, which include our TTK Solutions and the direct sale of our VFUs, and various extraction and processing equipment and this puts us in a position where their success is directly tied to our equipment. Our ability to differentiate our business model, through both our TTK Solutions, as well as through our direct VFU hardware sales, provides us with multiple opportunities to expand our installed user base, which we believe will lead to future high-margin and stable recurring SaaS revenues, via our Agrify Insights software, and production fee revenues.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Novel Equipment Financing Solution</w:t>
            </w:r>
            <w:r>
              <w:rPr>
                <w:b/>
                <w:sz w:val="20"/>
              </w:rPr>
              <w:t>.</w:t>
            </w:r>
            <w:r>
              <w:rPr>
                <w:sz w:val="20"/>
              </w:rPr>
              <w:t xml:space="preserve"> Limited access to outside capital is a significant issue 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b/>
                <w:i/>
                <w:sz w:val="20"/>
              </w:rPr>
              <w:t>Experienced and Proven Management Team</w:t>
            </w:r>
            <w:r>
              <w:rPr>
                <w:sz w:val="20"/>
              </w:rPr>
              <w:t>. Our leadership team has entrepreneurial experience, technical expertise, and a track record of scaling up businesses and operating public companies. Additionally, our team is supported by strong advisors and leading strategic and institutional investors.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Good Manufacturing Processes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customers across the U.S. and internationally in the cannabis and hemp industry and are of all sizes, ranging from small, single location/ single vertical businesses to multi-state enterprise operations who use Agrify family of solutions.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had two customers that represented more than 10% of total revenues and accounts receivable. In 2020, we had three customers that represented more than 10% of total revenues and accounts receivable.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multi-pronged growth strategy as described below to help us capitalize on the sizable opportunity at hand. Through methodical sales and marketing efforts, cultivation and extraction solutions, facility design and building services,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In 2021 we believe we have significantly improved our new bookings and qualified pipeline. With our expanded product line to included quality extraction solutions, we become more attractive to our prospects and customers, enhancing our value-add and improved wallet share opportunities. We expect our qualified pipeline and new bookings of opportunities to continue to grow.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Rigorous Sales Process and Strong Infrastructure in Place to Drive Revenue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embrace and utilize a rigorous Sandler sales process to evaluate potential new opportunities and then advance vetted prospects through the different phases of our qualified pipeline. The Sandler sales process is the leading enterprise sales process globally,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and convert them from vetted opportunities into committed sales orders within a 12-month period. At each phase of the pipeline, a prospect opportunity is assigned a probability value for closing, providing management production forecast ability.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professional proactive sales team works to convert our qualified pipeline of opportunities into confirmed contractual bookings. Given our emphasis on enterprise sales opportunities we believe we are able to significantly scale our business in the coming year without significant increases our headcount. At the time of this report, our sales team was made up of Sales Operations Specialist, Order Management Representatives, Solution Architects, Account Managers, Director of Business Development, and Director of Channel Partners totaled 19 full-time employees.</w:t>
      </w:r>
    </w:p>
    <w:p>
      <w:pPr>
        <w:pStyle w:val="TextBody"/>
        <w:spacing w:before="0" w:after="0"/>
        <w:ind w:left="0" w:right="0" w:firstLine="48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business has, and our future success will be driven by, the following sales and marketing strategy:</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rFonts w:ascii="Times New Roman;Times;Serif" w:hAnsi="Times New Roman;Times;Serif"/>
                <w:b/>
                <w:i/>
                <w:sz w:val="20"/>
              </w:rPr>
              <w:t>Marketing Team Aligned with Sales Force to Maximize Our Industry Visibility to Drive Revenue</w:t>
            </w:r>
            <w:r>
              <w:rPr>
                <w:rFonts w:ascii="Times New Roman;Times;Serif" w:hAnsi="Times New Roman;Times;Serif"/>
                <w:b/>
                <w:sz w:val="20"/>
              </w:rPr>
              <w:t>.</w:t>
            </w:r>
            <w:r>
              <w:rPr>
                <w:rFonts w:ascii="Times New Roman;Times;Serif" w:hAnsi="Times New Roman;Times;Serif"/>
                <w:sz w:val="20"/>
              </w:rPr>
              <w:t xml:space="preserve"> Our marketing department works in tandem with our sales and business development representatives to best represent and sell our cultivation and extraction solutions to the cannabis </w:t>
            </w:r>
            <w:r>
              <w:rPr>
                <w:sz w:val="20"/>
              </w:rPr>
              <w:t xml:space="preserve">industry. </w:t>
            </w:r>
            <w:r>
              <w:rPr>
                <w:rFonts w:ascii="Times New Roman;Times;Serif" w:hAnsi="Times New Roman;Times;Serif"/>
                <w:sz w:val="20"/>
              </w:rPr>
              <w:t xml:space="preserve">The sales and business development representatives </w:t>
            </w:r>
            <w:r>
              <w:rPr>
                <w:sz w:val="20"/>
              </w:rPr>
              <w:t xml:space="preserve">advance </w:t>
            </w:r>
            <w:r>
              <w:rPr>
                <w:rFonts w:ascii="Times New Roman;Times;Serif" w:hAnsi="Times New Roman;Times;Serif"/>
                <w:sz w:val="20"/>
              </w:rPr>
              <w:t xml:space="preserve">prospects through </w:t>
            </w:r>
            <w:r>
              <w:rPr>
                <w:sz w:val="20"/>
              </w:rPr>
              <w:t xml:space="preserve">our </w:t>
            </w:r>
            <w:r>
              <w:rPr>
                <w:rFonts w:ascii="Times New Roman;Times;Serif" w:hAnsi="Times New Roman;Times;Serif"/>
                <w:sz w:val="20"/>
              </w:rPr>
              <w:t xml:space="preserve">sales funnel, also known as a “buyer’s journey”. Our sales funnel duties are completed using a customer relationship management (“CRM”) system, which allows us to track, qualify, and report on the </w:t>
            </w:r>
            <w:r>
              <w:rPr>
                <w:sz w:val="20"/>
              </w:rPr>
              <w:t xml:space="preserve">pipeline velocity and </w:t>
            </w:r>
            <w:r>
              <w:rPr>
                <w:rFonts w:ascii="Times New Roman;Times;Serif" w:hAnsi="Times New Roman;Times;Serif"/>
                <w:sz w:val="20"/>
              </w:rPr>
              <w:t xml:space="preserve">ROI of our marketing initiatives. Leads are added into our funnel predominantly through our digital marketing efforts, including direct marketing, organic social media growth, thought leadership, </w:t>
            </w:r>
            <w:r>
              <w:rPr>
                <w:sz w:val="20"/>
              </w:rPr>
              <w:t xml:space="preserve">events, </w:t>
            </w:r>
            <w:r>
              <w:rPr>
                <w:rFonts w:ascii="Times New Roman;Times;Serif" w:hAnsi="Times New Roman;Times;Serif"/>
                <w:sz w:val="20"/>
              </w:rPr>
              <w:t>and demand generation via paid advertisements.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 Marketing</w:t>
            </w:r>
            <w:r>
              <w:rPr>
                <w:rFonts w:ascii="Times New Roman;Times;Serif" w:hAnsi="Times New Roman;Times;Serif"/>
                <w:b w:val="false"/>
                <w:i w:val="false"/>
                <w:caps w:val="false"/>
                <w:smallCaps w:val="false"/>
                <w:sz w:val="20"/>
              </w:rPr>
              <w:t>. We capitalize on our direct marketing efforts by utilizing our internal CRM database, as well as the external help of trusted industry databases to target the right audience. Emails go out on a weekly basis and are subdivided by product focus and state, depending on the campaign. We use A/B testing in our email campaign strategy to harness meaningful messages that result around 35%-40% engagement for open and click rates. The average open and click rates for all industries is 21.33%.</w:t>
            </w:r>
          </w:p>
          <w:p>
            <w:pPr>
              <w:pStyle w:val="TableContents"/>
              <w:spacing w:before="0" w:after="0"/>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Social Media and Thought Leadership. </w:t>
            </w:r>
            <w:r>
              <w:rPr>
                <w:rFonts w:ascii="Times New Roman;Times;Serif" w:hAnsi="Times New Roman;Times;Serif"/>
                <w:b w:val="false"/>
                <w:i w:val="false"/>
                <w:caps w:val="false"/>
                <w:smallCaps w:val="false"/>
                <w:sz w:val="20"/>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w:t>
            </w:r>
          </w:p>
          <w:p>
            <w:pPr>
              <w:pStyle w:val="TableContents"/>
              <w:spacing w:before="0" w:after="0"/>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Trade Shows. </w:t>
            </w:r>
            <w:r>
              <w:rPr>
                <w:rFonts w:ascii="Times New Roman;Times;Serif" w:hAnsi="Times New Roman;Times;Serif"/>
                <w:b w:val="false"/>
                <w:i w:val="false"/>
                <w:caps w:val="false"/>
                <w:smallCaps w:val="false"/>
                <w:sz w:val="20"/>
              </w:rPr>
              <w:t>Trade shows and events related to the cannabis industry have proven to be highly effective. When attending trade shows and events, we typically position ourselves front and center, with high-level sponsorships, outstanding booth placement, and speaking opportunities.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 </w:t>
            </w:r>
          </w:p>
          <w:p>
            <w:pPr>
              <w:pStyle w:val="TableContents"/>
              <w:spacing w:before="0" w:after="0"/>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Paid Advertising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We utilize paid advertising such as banner ads on high-trafficked media sites that largely focus on cannabis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pStyle w:val="TableContents"/>
              <w:spacing w:before="0" w:after="0"/>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b/>
                <w:i/>
                <w:sz w:val="20"/>
              </w:rPr>
              <w:t xml:space="preserve">Public Relations Campaigns. </w:t>
            </w:r>
            <w:r>
              <w:rPr>
                <w:rFonts w:ascii="Times New Roman;Times;Serif" w:hAnsi="Times New Roman;Times;Serif"/>
                <w:sz w:val="20"/>
              </w:rPr>
              <w:t>We have successfully gained the interest of press from networks such as CFN and a number of other cannabis media outlets. With our industry positioning using thought-leadership and on-going participation in industry conferences, we have been highlighted through the Newswire and featured in a variety of media outlets. We will continue to sponsor and keynote in industry-related events including technology and agriculture conferences, podcasts, radio shows and more to continue to gain press and ultimately more exposure.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Agrify Total Turn-key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believe that our data-driven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Agrify’s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 Despite the rapidly growing cannabis and hemp industry, many grower and processor customers face some significant obstacles to their operations that pose a serious threat to their long-term viability.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Agrify proprietary TTK Solution is the key to resolving many of the challenges our customers encounter. Since launching our TTK Solution in June of 2021, we have generated significant momentum in the United States market and over time, we expect to have significant future TTK Solution opportunities both domestically and abroad.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pStyle w:val="TextBody"/>
        <w:spacing w:before="0" w:after="0"/>
        <w:ind w:left="0" w:right="0" w:firstLine="360"/>
        <w:rPr>
          <w:caps w:val="false"/>
          <w:smallCaps w:val="false"/>
        </w:rPr>
      </w:pPr>
      <w:r>
        <w:rPr>
          <w:caps w:val="false"/>
          <w:smallCaps w:val="false"/>
        </w:rPr>
        <w:t> </w:t>
      </w:r>
    </w:p>
    <w:tbl>
      <w:tblPr>
        <w:tblW w:w="4525" w:type="dxa"/>
        <w:jc w:val="left"/>
        <w:tblInd w:w="0" w:type="dxa"/>
        <w:tblCellMar>
          <w:top w:w="0" w:type="dxa"/>
          <w:left w:w="0" w:type="dxa"/>
          <w:bottom w:w="0" w:type="dxa"/>
          <w:right w:w="0" w:type="dxa"/>
        </w:tblCellMar>
      </w:tblPr>
      <w:tblGrid>
        <w:gridCol w:w="75"/>
        <w:gridCol w:w="170"/>
        <w:gridCol w:w="42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280" w:type="dxa"/>
            <w:tcBorders/>
            <w:shd w:fill="auto" w:val="clear"/>
            <w:vAlign w:val="center"/>
          </w:tcPr>
          <w:p>
            <w:pPr>
              <w:pStyle w:val="TableContents"/>
              <w:spacing w:before="0" w:after="283"/>
              <w:rPr>
                <w:sz w:val="20"/>
              </w:rPr>
            </w:pPr>
            <w:r>
              <w:rPr>
                <w:sz w:val="20"/>
              </w:rPr>
              <w:t>Facility design, lab design, and engineering services</w:t>
            </w:r>
          </w:p>
        </w:tc>
      </w:tr>
    </w:tbl>
    <w:p>
      <w:pPr>
        <w:pStyle w:val="TextBody"/>
        <w:spacing w:before="0" w:after="0"/>
        <w:ind w:left="0" w:right="0" w:hanging="0"/>
        <w:rPr>
          <w:caps w:val="false"/>
          <w:smallCaps w:val="false"/>
        </w:rPr>
      </w:pPr>
      <w:r>
        <w:rPr>
          <w:caps w:val="false"/>
          <w:smallCaps w:val="false"/>
        </w:rPr>
        <w:t> </w:t>
      </w:r>
    </w:p>
    <w:tbl>
      <w:tblPr>
        <w:tblW w:w="4360" w:type="dxa"/>
        <w:jc w:val="left"/>
        <w:tblInd w:w="0" w:type="dxa"/>
        <w:tblCellMar>
          <w:top w:w="0" w:type="dxa"/>
          <w:left w:w="0" w:type="dxa"/>
          <w:bottom w:w="0" w:type="dxa"/>
          <w:right w:w="0" w:type="dxa"/>
        </w:tblCellMar>
      </w:tblPr>
      <w:tblGrid>
        <w:gridCol w:w="75"/>
        <w:gridCol w:w="170"/>
        <w:gridCol w:w="41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sz w:val="20"/>
              </w:rPr>
            </w:pPr>
            <w:r>
              <w:rPr>
                <w:sz w:val="20"/>
              </w:rPr>
              <w:t>Facility and lab buildout project management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sz w:val="20"/>
              </w:rPr>
            </w:pPr>
            <w:r>
              <w:rPr>
                <w:sz w:val="20"/>
              </w:rPr>
              <w:t>Agrify state of the art VFUs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sz w:val="20"/>
              </w:rPr>
            </w:pPr>
            <w:r>
              <w:rPr>
                <w:sz w:val="20"/>
              </w:rPr>
              <w:t>Agrify data driven Insights SaaS software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sz w:val="20"/>
              </w:rPr>
            </w:pPr>
            <w:r>
              <w:rPr>
                <w:sz w:val="20"/>
              </w:rPr>
              <w:t>Agrify state of the art extraction products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sz w:val="20"/>
              </w:rPr>
            </w:pPr>
            <w:r>
              <w:rPr>
                <w:sz w:val="20"/>
              </w:rPr>
              <w:t>Expert horticulturist training and ongoing support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Agrify’s TTK Solution agreement terms are typically for ten years. If facility design and building services are provided, on average the customer pays Agrify an annual interest rate ranging from 12% to 18% per annum and the money owed for the design and build services are completely repaid withing 24 months of facility occupancy certification. During the remaining term of the agreement the Agrify receives monthly recurring SaaS fees and for a production success fee based on the amount of each harvest. For extraction equipment and products, Agrify TTK Solution agreements range from five years to ten years and the Company receives a production success fee based on the amount produced.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Equipment Financing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 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Scale-Up Manufacturing Capabilities in Order to Meet the Increasing Demand for Our Grow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We expect HMH to evolve into more of a service, engineering development and prototyping, and test facility.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2020, we entered into a five-year supply agreement with Mack Molding Co., a Vermont corporation (“Mack”), pursuant to which Mack will become a key supplier of Company’s VFUs. Mack is a leading supplier of molded plastic parts, fabricated metal parts and high-level assemblies to the medical, industrial, transportation, energy/environment, computer and business equipment, defense, aerospace and consumer markets. Founded in 1920, Mack is a wholly owned subsidiary of the privately held Mack Group corporation, which also includes Mack Technologies and Mack Prototype. The supply agreement contemplates that, following an introductory period, we will negotiate a minimum percentage of our 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supply agreement with Mack provides us with several key benefits, including:</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i/>
                <w:sz w:val="20"/>
              </w:rPr>
              <w:t>Rapid Scaling</w:t>
            </w:r>
            <w:r>
              <w:rPr>
                <w:sz w:val="20"/>
              </w:rPr>
              <w:t>: We can scale to customer orders, as Mack has agreed to maintain a minimum safety stock of VFUs in inventory and allow us to store additional inventory pending customer deliveries; and</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i/>
                <w:sz w:val="20"/>
              </w:rPr>
              <w:t>Long-Term Efficiencies</w:t>
            </w:r>
            <w:r>
              <w:rPr>
                <w:sz w:val="20"/>
              </w:rPr>
              <w:t>: Under a strategic partner governance structure, we intend to meet with 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this key strategic relationship with Mack will grow with our continued and expanding need for additional VFUs.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17 patents in the United States and 3 international patents. We also have nine pending patent applications. These patents and patents applications are directed to, among other things, extraction and processing of botanicals and particular compounds.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Trademarks and Copyrights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applications for numerous national and state trademarks which are essential to our businesses, including Agrify, Precision, PurePressure, PressWare, Lab Society and Elitelab, among others. In addition, we recognize common-law trademark rights AGRIFY INSIGHTS and AGRINAMICS for different software as a service products.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sought copyright registration for our technology or works to date, we rely on common law copyright and trade secret protections in relation to our TechOps/ Agrify Insights software computer program for indoor agriculture management. We have registered our Internet domain names related to our business. We license software from third parties and utilize open-source software for integration into our applications.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a total of 141 employees, of which 136 are full-time employees, with 36 located in the New England area, 35 in Georgia, 31 in Michigan, 17 in Oregon and 22 in other states. None of our employees are subject to collective bargaining agreements. We consider our relationship with our employees to be good.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as applicable, identifying, recruiting, retaining, incentivizing, and integrating our existing and new employees, advisors, and consultants. The principal purposes of our equity incentive plan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various claims, legal actions and regulatory proceedings arising in the ordinary course of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Systems, Inc.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On March 10, 2021, we moved to dismiss all of Cooper and Weinstein’s claims, asserting that the claims failed to allege legal grounds for relief. A decision on our motion is expected in the summer of 2021. On May 12, 2021, a Magistrate issued a preliminary Report and Recommendation, which recommended dismissal of certain of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July 29, 2021, the Company filed a separate arbitration in Boston, Massachusetts against Cooper and Weinstein, in which the Company alleges that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Cooper and Weinstein during the time they were TriGrow employees. We do not believe these claims have any merit and intend to vigorously defend against them (see Note 21, Commitments and Contingencies, in the notes to our audited consolidated financial statements as of December 31, 2021).</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was incorporated in the state of Nevada on June 6, 2016, originally incorporated as Agrinamics, Inc. (or Agrinamics). On September 16, 2019, Agrinamics amended its articles of incorporation to reflect a name change to Agrify Corporation.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2019, we formed Agrify-Valiant, LLC, a 60/40 joint-venture limited liability company, in which we are the 60% majority owner with Valiant-America, LLC, one of the largest premium integrated consulting and general contracting firms in North America with more than ten years of facility general contracting experience across many states.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2020, we and Agrify Merger Sub, Inc., our newly formed wholly 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2020, we acquired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2021, we acquired Mass2Media, LLC, d/b/a PX2 Holdings, LLC, d/b/a Precision Extraction Solutions (“Precision”) and Cascade Sciences, LLC (“Cascade”). As part of the acquisition of Precision, Precision merged with and into a wholly owned subsidiary of the Company, Precision Extraction NewCo, LLC.</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acquired PurePressure, LLC (“PurePressure”), a leader in solventless extraction and advanced ice water hash processing equipment in the cannabis and hemp industry.</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Subsequent to December 31, 2021, on February 1, 2022, we acquired LS Holdings Corp. (“Lab Society”), a leader in distillation and solvent separation for the cannabis and hemp industry. As part of the acquisition of Lab Society, Lab Society merged with and into a wholly owned subsidiary of the Company, Lab Society NewCo,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Implications of Providing Equipment and Services in the Cannabis and Hemp Industry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products and services that end users may purchase for use in industries or segments, including the growing of cannabis and hemp, which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well over a majority of state laws decriminalizing varying types of its use, marijuana remains a Schedule I drug under the Controlled Substances Act, making it illegal under federal law in the United States to, among other things, cultivate, distribute or possess cannabis in the United States.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United States may form the basis for prosecution under applicable U.S. federal money laundering legislation. The approach to enforcement of such laws by the federal government in the United States has trended toward non-enforcement against individuals and businesses that comply with medical or adult-use cannabis regulatory programs in states where such programs are legal, strict compliance with state laws with respect to cannabis.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rigorous due diligence policy on all potential customers, the Company carefully reviews the appropriate licensure of each potential customers in the cannabis and hemp industry for compliance with applicable local, state, and federal laws. The Company is not involved in the cultivation, processing or retail of cannabis products and never takes a controlling interest in any of the operations of its cannabis customers as a matter of state law.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Smaller Reporting Company</w:t>
      </w:r>
    </w:p>
    <w:p>
      <w:pPr>
        <w:pStyle w:val="TextBody"/>
        <w:spacing w:before="0" w:after="0"/>
        <w:ind w:left="0" w:right="0" w:hanging="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engage an auditor to report on our internal controls over financial reporting pursuant to Section 404(b) of the Sarbanes–Oxley Act of 2002, or the Sarbanes–Oxley Act;</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submit certain executive compensation matters to shareholder advisory votes, such as “say-on-pay,” “say-on-frequency,” and “say-on-golden parachutes;” or</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disclose certain executive compensation related items such as the correlation between executive compensation and performance and comparison of the chief executive officer’s compensation to median employee compensation.</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use the extended transition period for complying with new or revised accounting standards.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w:t>
      </w:r>
    </w:p>
    <w:p>
      <w:pPr>
        <w:pStyle w:val="TextBody"/>
        <w:spacing w:before="0" w:after="0"/>
        <w:ind w:left="0" w:right="0" w:firstLine="360"/>
        <w:rPr>
          <w:caps w:val="false"/>
          <w:smallCaps w:val="false"/>
        </w:rPr>
      </w:pPr>
      <w:r>
        <w:rPr>
          <w:caps w:val="false"/>
          <w:smallCaps w:val="false"/>
        </w:rPr>
        <w:t> </w:t>
      </w:r>
    </w:p>
    <w:tbl>
      <w:tblPr>
        <w:tblW w:w="4960" w:type="dxa"/>
        <w:jc w:val="left"/>
        <w:tblInd w:w="0" w:type="dxa"/>
        <w:tblCellMar>
          <w:top w:w="0" w:type="dxa"/>
          <w:left w:w="0" w:type="dxa"/>
          <w:bottom w:w="0" w:type="dxa"/>
          <w:right w:w="0" w:type="dxa"/>
        </w:tblCellMar>
      </w:tblPr>
      <w:tblGrid>
        <w:gridCol w:w="75"/>
        <w:gridCol w:w="170"/>
        <w:gridCol w:w="47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715" w:type="dxa"/>
            <w:tcBorders/>
            <w:shd w:fill="auto" w:val="clear"/>
            <w:vAlign w:val="center"/>
          </w:tcPr>
          <w:p>
            <w:pPr>
              <w:pStyle w:val="TableContents"/>
              <w:spacing w:before="0" w:after="283"/>
              <w:rPr>
                <w:sz w:val="20"/>
              </w:rPr>
            </w:pPr>
            <w:r>
              <w:rPr>
                <w:sz w:val="20"/>
              </w:rPr>
              <w:t>our reporting $1 billion or more in annual gross revenues;</w:t>
            </w:r>
          </w:p>
        </w:tc>
      </w:tr>
    </w:tbl>
    <w:p>
      <w:pPr>
        <w:pStyle w:val="TextBody"/>
        <w:spacing w:before="0" w:after="0"/>
        <w:ind w:left="0" w:right="0" w:firstLine="360"/>
        <w:rPr>
          <w:caps w:val="false"/>
          <w:smallCaps w:val="false"/>
        </w:rPr>
      </w:pPr>
      <w:r>
        <w:rPr>
          <w:caps w:val="false"/>
          <w:smallCaps w:val="false"/>
        </w:rPr>
        <w:t> </w:t>
      </w:r>
    </w:p>
    <w:tbl>
      <w:tblPr>
        <w:tblW w:w="7090" w:type="dxa"/>
        <w:jc w:val="left"/>
        <w:tblInd w:w="0" w:type="dxa"/>
        <w:tblCellMar>
          <w:top w:w="0" w:type="dxa"/>
          <w:left w:w="0" w:type="dxa"/>
          <w:bottom w:w="0" w:type="dxa"/>
          <w:right w:w="0" w:type="dxa"/>
        </w:tblCellMar>
      </w:tblPr>
      <w:tblGrid>
        <w:gridCol w:w="75"/>
        <w:gridCol w:w="170"/>
        <w:gridCol w:w="68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845" w:type="dxa"/>
            <w:tcBorders/>
            <w:shd w:fill="auto" w:val="clear"/>
            <w:vAlign w:val="center"/>
          </w:tcPr>
          <w:p>
            <w:pPr>
              <w:pStyle w:val="TableContents"/>
              <w:spacing w:before="0" w:after="283"/>
              <w:rPr>
                <w:sz w:val="20"/>
              </w:rPr>
            </w:pPr>
            <w:r>
              <w:rPr>
                <w:sz w:val="20"/>
              </w:rPr>
              <w:t>our issuance, in a three-year period, of more than $1 billion in non-convertible debt;</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the end of the fiscal year in which the market value of our common stock held by non-affiliates exceeds $700 million on the last business day of our second fiscal quarter; and</w:t>
            </w:r>
          </w:p>
        </w:tc>
      </w:tr>
    </w:tbl>
    <w:p>
      <w:pPr>
        <w:pStyle w:val="TextBody"/>
        <w:spacing w:before="0" w:after="0"/>
        <w:ind w:left="0" w:right="0" w:firstLine="360"/>
        <w:rPr>
          <w:caps w:val="false"/>
          <w:smallCaps w:val="false"/>
        </w:rPr>
      </w:pPr>
      <w:r>
        <w:rPr>
          <w:caps w:val="false"/>
          <w:smallCaps w:val="false"/>
        </w:rPr>
        <w:t> </w:t>
      </w:r>
    </w:p>
    <w:tbl>
      <w:tblPr>
        <w:tblW w:w="1900" w:type="dxa"/>
        <w:jc w:val="left"/>
        <w:tblInd w:w="0" w:type="dxa"/>
        <w:tblCellMar>
          <w:top w:w="0" w:type="dxa"/>
          <w:left w:w="0" w:type="dxa"/>
          <w:bottom w:w="0" w:type="dxa"/>
          <w:right w:w="0" w:type="dxa"/>
        </w:tblCellMar>
      </w:tblPr>
      <w:tblGrid>
        <w:gridCol w:w="75"/>
        <w:gridCol w:w="170"/>
        <w:gridCol w:w="16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655" w:type="dxa"/>
            <w:tcBorders/>
            <w:shd w:fill="auto" w:val="clear"/>
            <w:vAlign w:val="center"/>
          </w:tcPr>
          <w:p>
            <w:pPr>
              <w:pStyle w:val="TableContents"/>
              <w:spacing w:before="0" w:after="283"/>
              <w:rPr>
                <w:sz w:val="20"/>
              </w:rPr>
            </w:pPr>
            <w:r>
              <w:rPr>
                <w:sz w:val="20"/>
              </w:rPr>
              <w:t>December 31, 2026.</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which could result in a less active trading market for our securities and increased volatility in the price of our securities.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 w:name="agri_003"/>
      <w:bookmarkEnd w:id="4"/>
      <w:r>
        <w:rPr>
          <w:rFonts w:ascii="Times New Roman;Times;Serif" w:hAnsi="Times New Roman;Times;Serif"/>
          <w:b/>
          <w:i w:val="false"/>
          <w:caps w:val="false"/>
          <w:smallCaps w:val="false"/>
          <w:sz w:val="20"/>
        </w:rPr>
        <w:t xml:space="preserve">Item 1A. Risk Factors.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in each fiscal year since our inception in 2016. We have experienced net losses of approximately $32.5 million and $21.6 million for the years ended December 31, 2021 and 2020, respectively. We expect our operating expenses (“OpEx”), to increase in the future due to expected increased sales and marketing expenses, operational costs, product development costs, and general and administrative costs and, therefore, our operating losses will continue or even increase at least through the near term. In addition, since the consummation of our initial public offering (the “IPO”) on February 1, 2021, we have incurred and will continue to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a relatively short operating history, which makes it difficult to evaluate our business and future prospects</w:t>
      </w:r>
      <w:r>
        <w:rPr>
          <w:rFonts w:ascii="Times New Roman;Times;Serif" w:hAnsi="Times New Roman;Times;Serif"/>
          <w:b w:val="false"/>
          <w:i w:val="false"/>
          <w:caps w:val="false"/>
          <w:smallCaps w:val="false"/>
          <w:sz w:val="20"/>
        </w:rPr>
        <w: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relatively short operating history, which makes it difficult to evaluate our business and future prospects. We have been in existence since June 2016 and much of our revenue growth has occurred during 2020 and 2021. We have encountered, and will continue to encounter, risks and difficulties frequently experienced by growing companies in rapidly changing industries, including those related to:</w:t>
      </w:r>
    </w:p>
    <w:p>
      <w:pPr>
        <w:pStyle w:val="TextBody"/>
        <w:spacing w:before="0" w:after="0"/>
        <w:ind w:left="0" w:right="0" w:firstLine="360"/>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75"/>
        <w:gridCol w:w="170"/>
        <w:gridCol w:w="53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390" w:type="dxa"/>
            <w:tcBorders/>
            <w:shd w:fill="auto" w:val="clear"/>
            <w:vAlign w:val="center"/>
          </w:tcPr>
          <w:p>
            <w:pPr>
              <w:pStyle w:val="TableContents"/>
              <w:spacing w:before="0" w:after="283"/>
              <w:rPr>
                <w:sz w:val="20"/>
              </w:rPr>
            </w:pPr>
            <w:r>
              <w:rPr>
                <w:sz w:val="20"/>
              </w:rPr>
              <w:t>market acceptance of our current and future products and services;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changing regulatory environments and costs associated with compliance, particularly as related to our operations in the cannabis sector;</w:t>
            </w:r>
          </w:p>
        </w:tc>
      </w:tr>
    </w:tbl>
    <w:p>
      <w:pPr>
        <w:pStyle w:val="TextBody"/>
        <w:spacing w:before="0" w:after="0"/>
        <w:ind w:left="0" w:right="0" w:firstLine="360"/>
        <w:rPr>
          <w:caps w:val="false"/>
          <w:smallCaps w:val="false"/>
        </w:rPr>
      </w:pPr>
      <w:r>
        <w:rPr>
          <w:caps w:val="false"/>
          <w:smallCaps w:val="false"/>
        </w:rPr>
        <w:t> </w:t>
      </w:r>
    </w:p>
    <w:tbl>
      <w:tblPr>
        <w:tblW w:w="7000" w:type="dxa"/>
        <w:jc w:val="left"/>
        <w:tblInd w:w="0" w:type="dxa"/>
        <w:tblCellMar>
          <w:top w:w="0" w:type="dxa"/>
          <w:left w:w="0" w:type="dxa"/>
          <w:bottom w:w="0" w:type="dxa"/>
          <w:right w:w="0" w:type="dxa"/>
        </w:tblCellMar>
      </w:tblPr>
      <w:tblGrid>
        <w:gridCol w:w="75"/>
        <w:gridCol w:w="170"/>
        <w:gridCol w:w="67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283"/>
              <w:rPr>
                <w:sz w:val="20"/>
              </w:rPr>
            </w:pPr>
            <w:r>
              <w:rPr>
                <w:sz w:val="20"/>
              </w:rPr>
              <w:t>our ability to compete with other companies offering similar products and services;</w:t>
            </w:r>
          </w:p>
        </w:tc>
      </w:tr>
    </w:tbl>
    <w:p>
      <w:pPr>
        <w:pStyle w:val="TextBody"/>
        <w:spacing w:before="0" w:after="0"/>
        <w:ind w:left="0" w:right="0" w:firstLine="360"/>
        <w:rPr>
          <w:caps w:val="false"/>
          <w:smallCaps w:val="false"/>
        </w:rPr>
      </w:pPr>
      <w:r>
        <w:rPr>
          <w:caps w:val="false"/>
          <w:smallCaps w:val="false"/>
        </w:rPr>
        <w:t> </w:t>
      </w:r>
    </w:p>
    <w:tbl>
      <w:tblPr>
        <w:tblW w:w="6880" w:type="dxa"/>
        <w:jc w:val="left"/>
        <w:tblInd w:w="0" w:type="dxa"/>
        <w:tblCellMar>
          <w:top w:w="0" w:type="dxa"/>
          <w:left w:w="0" w:type="dxa"/>
          <w:bottom w:w="0" w:type="dxa"/>
          <w:right w:w="0" w:type="dxa"/>
        </w:tblCellMar>
      </w:tblPr>
      <w:tblGrid>
        <w:gridCol w:w="75"/>
        <w:gridCol w:w="170"/>
        <w:gridCol w:w="66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635" w:type="dxa"/>
            <w:tcBorders/>
            <w:shd w:fill="auto" w:val="clear"/>
            <w:vAlign w:val="center"/>
          </w:tcPr>
          <w:p>
            <w:pPr>
              <w:pStyle w:val="TableContents"/>
              <w:spacing w:before="0" w:after="283"/>
              <w:rPr>
                <w:sz w:val="20"/>
              </w:rPr>
            </w:pPr>
            <w:r>
              <w:rPr>
                <w:sz w:val="20"/>
              </w:rPr>
              <w:t>our ability to effectively market our products and services and attract new clients;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the amount and timing of OpEx, particularly sales and marketing expenses, related to the maintenance and expansion of our business, operations, and infrastructure;</w:t>
            </w:r>
          </w:p>
        </w:tc>
      </w:tr>
    </w:tbl>
    <w:p>
      <w:pPr>
        <w:pStyle w:val="TextBody"/>
        <w:spacing w:before="0" w:after="0"/>
        <w:ind w:left="0" w:right="0" w:firstLine="360"/>
        <w:rPr>
          <w:caps w:val="false"/>
          <w:smallCaps w:val="false"/>
        </w:rPr>
      </w:pPr>
      <w:r>
        <w:rPr>
          <w:caps w:val="false"/>
          <w:smallCaps w:val="false"/>
        </w:rPr>
        <w:t> </w:t>
      </w:r>
    </w:p>
    <w:tbl>
      <w:tblPr>
        <w:tblW w:w="3880" w:type="dxa"/>
        <w:jc w:val="left"/>
        <w:tblInd w:w="0" w:type="dxa"/>
        <w:tblCellMar>
          <w:top w:w="0" w:type="dxa"/>
          <w:left w:w="0" w:type="dxa"/>
          <w:bottom w:w="0" w:type="dxa"/>
          <w:right w:w="0" w:type="dxa"/>
        </w:tblCellMar>
      </w:tblPr>
      <w:tblGrid>
        <w:gridCol w:w="75"/>
        <w:gridCol w:w="170"/>
        <w:gridCol w:w="36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635" w:type="dxa"/>
            <w:tcBorders/>
            <w:shd w:fill="auto" w:val="clear"/>
            <w:vAlign w:val="center"/>
          </w:tcPr>
          <w:p>
            <w:pPr>
              <w:pStyle w:val="TableContents"/>
              <w:spacing w:before="0" w:after="283"/>
              <w:rPr>
                <w:sz w:val="20"/>
              </w:rPr>
            </w:pPr>
            <w:r>
              <w:rPr>
                <w:sz w:val="20"/>
              </w:rPr>
              <w:t>our ability to control costs, including OpEx;</w:t>
            </w:r>
          </w:p>
        </w:tc>
      </w:tr>
    </w:tbl>
    <w:p>
      <w:pPr>
        <w:pStyle w:val="TextBody"/>
        <w:spacing w:before="0" w:after="0"/>
        <w:ind w:left="0" w:right="0" w:firstLine="360"/>
        <w:rPr>
          <w:caps w:val="false"/>
          <w:smallCaps w:val="false"/>
        </w:rPr>
      </w:pPr>
      <w:r>
        <w:rPr>
          <w:caps w:val="false"/>
          <w:smallCaps w:val="false"/>
        </w:rPr>
        <w:t> </w:t>
      </w:r>
    </w:p>
    <w:tbl>
      <w:tblPr>
        <w:tblW w:w="6160" w:type="dxa"/>
        <w:jc w:val="left"/>
        <w:tblInd w:w="0" w:type="dxa"/>
        <w:tblCellMar>
          <w:top w:w="0" w:type="dxa"/>
          <w:left w:w="0" w:type="dxa"/>
          <w:bottom w:w="0" w:type="dxa"/>
          <w:right w:w="0" w:type="dxa"/>
        </w:tblCellMar>
      </w:tblPr>
      <w:tblGrid>
        <w:gridCol w:w="75"/>
        <w:gridCol w:w="170"/>
        <w:gridCol w:w="59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915" w:type="dxa"/>
            <w:tcBorders/>
            <w:shd w:fill="auto" w:val="clear"/>
            <w:vAlign w:val="center"/>
          </w:tcPr>
          <w:p>
            <w:pPr>
              <w:pStyle w:val="TableContents"/>
              <w:spacing w:before="0" w:after="283"/>
              <w:rPr>
                <w:sz w:val="20"/>
              </w:rPr>
            </w:pPr>
            <w:r>
              <w:rPr>
                <w:sz w:val="20"/>
              </w:rPr>
              <w:t>our ability to manage organic growth and growth fueled by acquisitions;</w:t>
            </w:r>
          </w:p>
        </w:tc>
      </w:tr>
    </w:tbl>
    <w:p>
      <w:pPr>
        <w:pStyle w:val="TextBody"/>
        <w:spacing w:before="0" w:after="0"/>
        <w:ind w:left="0" w:right="0" w:firstLine="36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170"/>
        <w:gridCol w:w="73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rPr>
                <w:sz w:val="20"/>
              </w:rPr>
            </w:pPr>
            <w:r>
              <w:rPr>
                <w:sz w:val="20"/>
              </w:rPr>
              <w:t>public perception and acceptance of cannabis-related products and services generally; and</w:t>
            </w:r>
          </w:p>
        </w:tc>
      </w:tr>
    </w:tbl>
    <w:p>
      <w:pPr>
        <w:pStyle w:val="TextBody"/>
        <w:spacing w:before="0" w:after="0"/>
        <w:ind w:left="0" w:right="0" w:firstLine="360"/>
        <w:rPr>
          <w:caps w:val="false"/>
          <w:smallCaps w:val="false"/>
        </w:rPr>
      </w:pPr>
      <w:r>
        <w:rPr>
          <w:caps w:val="false"/>
          <w:smallCaps w:val="false"/>
        </w:rPr>
        <w:t> </w:t>
      </w:r>
    </w:p>
    <w:tbl>
      <w:tblPr>
        <w:tblW w:w="3595" w:type="dxa"/>
        <w:jc w:val="left"/>
        <w:tblInd w:w="0" w:type="dxa"/>
        <w:tblCellMar>
          <w:top w:w="0" w:type="dxa"/>
          <w:left w:w="0" w:type="dxa"/>
          <w:bottom w:w="0" w:type="dxa"/>
          <w:right w:w="0" w:type="dxa"/>
        </w:tblCellMar>
      </w:tblPr>
      <w:tblGrid>
        <w:gridCol w:w="75"/>
        <w:gridCol w:w="170"/>
        <w:gridCol w:w="33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350" w:type="dxa"/>
            <w:tcBorders/>
            <w:shd w:fill="auto" w:val="clear"/>
            <w:vAlign w:val="center"/>
          </w:tcPr>
          <w:p>
            <w:pPr>
              <w:pStyle w:val="TableContents"/>
              <w:spacing w:before="0" w:after="283"/>
              <w:rPr>
                <w:sz w:val="20"/>
              </w:rPr>
            </w:pPr>
            <w:r>
              <w:rPr>
                <w:sz w:val="20"/>
              </w:rPr>
              <w:t>general economic conditions and events.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manage these risks successfully, our business and financial performance will be adversely affected.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risk of loss associated with our TTK Solution Offerings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we introduced our TTK Solution, which among other things, include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a significant amount of our working capital has been invested in funding our TTK Solutions construction and equipment commitments. We expect to continue to allocate a significant portion of our working capital towards existing and future TTK partnerships.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potential risk of loss associated with our ability to receive anticipated future payments that are in line with our projected financial unit metrics due to a host of variables including, but not limited to the following:</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in the early stages of our TTK Solution offerings, the TTK Solution is currently an unproven business model;</w:t>
            </w:r>
          </w:p>
          <w:p>
            <w:pPr>
              <w:pStyle w:val="TableContents"/>
              <w:spacing w:before="0" w:after="0"/>
              <w:ind w:left="0" w:right="0" w:firstLine="36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TTK Solution offering requires a significant amount of capital and our collection of advanced amounts is subject to customer credit risk;</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Our anticipated downstream production fee revenue assumes that our VFUs will successfully produce 35 pounds of product per VFU per year; and</w:t>
            </w:r>
          </w:p>
        </w:tc>
      </w:tr>
    </w:tbl>
    <w:p>
      <w:pPr>
        <w:pStyle w:val="TextBody"/>
        <w:spacing w:before="0" w:after="0"/>
        <w:ind w:left="0" w:right="0" w:firstLine="360"/>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75"/>
        <w:gridCol w:w="170"/>
        <w:gridCol w:w="77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anticipated returns are reliant upon our customer’s ability to market and sell the products.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require additional financing to achieve our goals, and a failure to obtain this necessary capital when needed on acceptable terms, or at all, may force us to delay, limit, reduce or terminate our product manufacturing and development, and other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2021, we had cash and cash equivalents and current marketable securities of approximately $56.6 million, which we believe will be sufficient to fund our planned operations for the next 12 months. Our operating plan may change because of factors currently unknown to us, and we may need to seek additional funds sooner than planned. Even if we are able to substantially increase revenue and reduce OpEx,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strategic acquisitions.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pStyle w:val="TextBody"/>
        <w:spacing w:before="0" w:after="0"/>
        <w:ind w:left="0" w:right="0" w:firstLine="40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Any acquired business could under-perform relative to our expectations and the price that we paid for it, or not perform in accordance with its anticipated timetable;</w:t>
            </w:r>
          </w:p>
        </w:tc>
      </w:tr>
    </w:tbl>
    <w:p>
      <w:pPr>
        <w:pStyle w:val="TextBody"/>
        <w:spacing w:before="0" w:after="0"/>
        <w:ind w:left="720" w:right="0" w:hanging="0"/>
        <w:rPr>
          <w:caps w:val="false"/>
          <w:smallCaps w:val="false"/>
        </w:rPr>
      </w:pPr>
      <w:r>
        <w:rPr>
          <w:caps w:val="false"/>
          <w:smallCaps w:val="false"/>
        </w:rPr>
        <w:t> </w:t>
      </w:r>
    </w:p>
    <w:tbl>
      <w:tblPr>
        <w:tblW w:w="6475" w:type="dxa"/>
        <w:jc w:val="left"/>
        <w:tblInd w:w="0" w:type="dxa"/>
        <w:tblCellMar>
          <w:top w:w="0" w:type="dxa"/>
          <w:left w:w="0" w:type="dxa"/>
          <w:bottom w:w="0" w:type="dxa"/>
          <w:right w:w="0" w:type="dxa"/>
        </w:tblCellMar>
      </w:tblPr>
      <w:tblGrid>
        <w:gridCol w:w="75"/>
        <w:gridCol w:w="170"/>
        <w:gridCol w:w="62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230" w:type="dxa"/>
            <w:tcBorders/>
            <w:shd w:fill="auto" w:val="clear"/>
            <w:vAlign w:val="center"/>
          </w:tcPr>
          <w:p>
            <w:pPr>
              <w:pStyle w:val="TableContents"/>
              <w:spacing w:before="0" w:after="283"/>
              <w:rPr>
                <w:sz w:val="20"/>
              </w:rPr>
            </w:pPr>
            <w:r>
              <w:rPr>
                <w:sz w:val="20"/>
              </w:rPr>
              <w:t>We may incur or assume significant debt in connection with its acquisitions;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Acquisitions could cause our results of operations to differ from our own or the investment community’s expectations in any given period, or over the long term; and</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Acquisitions could create demands on our management that it may be unable to effectively address, or for which it may incur additional costs.</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following any business acquisition, we could experience difficulty in integrating personnel, operations, financial and other systems, and in retaining key employees and customers.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record goodwill and other intangible assets on our consolidated balance sheet in connection with its acquisitions. If we are not able to realize the value of these assets, we may be required to incur charges relating to the impairment of these assets, which could materially impact our results of operations.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2022, we entered into a Securities Purchase Agreement (the “Purchase Agreement”) with an institutional investor (the “Investor”). The Purchase Agreement provides for of the issuance of a senior secured note in the aggregate amount of $65 million (the “Note”) and a warrant exercisable 6,881,108 shares of the Company’s common stock, with the potential for two potential subsequent closings for notes with an original principal amount of $35 million each. The Note will mature on March 1, 2026.</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pStyle w:val="TextBody"/>
        <w:spacing w:before="0" w:after="0"/>
        <w:ind w:left="0" w:right="0" w:hanging="0"/>
        <w:rPr>
          <w:caps w:val="false"/>
          <w:smallCaps w:val="false"/>
        </w:rPr>
      </w:pPr>
      <w:r>
        <w:rPr>
          <w:caps w:val="false"/>
          <w:smallCaps w:val="false"/>
        </w:rPr>
        <w:t> </w:t>
      </w:r>
    </w:p>
    <w:tbl>
      <w:tblPr>
        <w:tblW w:w="1150" w:type="dxa"/>
        <w:jc w:val="left"/>
        <w:tblInd w:w="0" w:type="dxa"/>
        <w:tblCellMar>
          <w:top w:w="0" w:type="dxa"/>
          <w:left w:w="0" w:type="dxa"/>
          <w:bottom w:w="0" w:type="dxa"/>
          <w:right w:w="0" w:type="dxa"/>
        </w:tblCellMar>
      </w:tblPr>
      <w:tblGrid>
        <w:gridCol w:w="75"/>
        <w:gridCol w:w="170"/>
        <w:gridCol w:w="9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05" w:type="dxa"/>
            <w:tcBorders/>
            <w:shd w:fill="auto" w:val="clear"/>
            <w:vAlign w:val="center"/>
          </w:tcPr>
          <w:p>
            <w:pPr>
              <w:pStyle w:val="TableContents"/>
              <w:spacing w:before="0" w:after="283"/>
              <w:rPr>
                <w:sz w:val="20"/>
              </w:rPr>
            </w:pPr>
            <w:r>
              <w:rPr>
                <w:sz w:val="20"/>
              </w:rPr>
              <w:t>incur debt,</w:t>
            </w:r>
          </w:p>
        </w:tc>
      </w:tr>
    </w:tbl>
    <w:p>
      <w:pPr>
        <w:pStyle w:val="TextBody"/>
        <w:spacing w:before="0" w:after="0"/>
        <w:ind w:left="0" w:right="0" w:hanging="0"/>
        <w:rPr>
          <w:caps w:val="false"/>
          <w:smallCaps w:val="false"/>
        </w:rPr>
      </w:pPr>
      <w:r>
        <w:rPr>
          <w:caps w:val="false"/>
          <w:smallCaps w:val="false"/>
        </w:rPr>
        <w:t> </w:t>
      </w:r>
    </w:p>
    <w:tbl>
      <w:tblPr>
        <w:tblW w:w="1180" w:type="dxa"/>
        <w:jc w:val="left"/>
        <w:tblInd w:w="0" w:type="dxa"/>
        <w:tblCellMar>
          <w:top w:w="0" w:type="dxa"/>
          <w:left w:w="0" w:type="dxa"/>
          <w:bottom w:w="0" w:type="dxa"/>
          <w:right w:w="0" w:type="dxa"/>
        </w:tblCellMar>
      </w:tblPr>
      <w:tblGrid>
        <w:gridCol w:w="75"/>
        <w:gridCol w:w="170"/>
        <w:gridCol w:w="9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rPr>
                <w:sz w:val="20"/>
              </w:rPr>
            </w:pPr>
            <w:r>
              <w:rPr>
                <w:sz w:val="20"/>
              </w:rPr>
              <w:t>incur liens,</w:t>
            </w:r>
          </w:p>
        </w:tc>
      </w:tr>
    </w:tbl>
    <w:p>
      <w:pPr>
        <w:pStyle w:val="TextBody"/>
        <w:spacing w:before="0" w:after="0"/>
        <w:ind w:left="0" w:right="0" w:hanging="0"/>
        <w:rPr>
          <w:caps w:val="false"/>
          <w:smallCaps w:val="false"/>
        </w:rPr>
      </w:pPr>
      <w:r>
        <w:rPr>
          <w:caps w:val="false"/>
          <w:smallCaps w:val="false"/>
        </w:rPr>
        <w:t> </w:t>
      </w:r>
    </w:p>
    <w:tbl>
      <w:tblPr>
        <w:tblW w:w="3775" w:type="dxa"/>
        <w:jc w:val="left"/>
        <w:tblInd w:w="0" w:type="dxa"/>
        <w:tblCellMar>
          <w:top w:w="0" w:type="dxa"/>
          <w:left w:w="0" w:type="dxa"/>
          <w:bottom w:w="0" w:type="dxa"/>
          <w:right w:w="0" w:type="dxa"/>
        </w:tblCellMar>
      </w:tblPr>
      <w:tblGrid>
        <w:gridCol w:w="75"/>
        <w:gridCol w:w="170"/>
        <w:gridCol w:w="35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530" w:type="dxa"/>
            <w:tcBorders/>
            <w:shd w:fill="auto" w:val="clear"/>
            <w:vAlign w:val="center"/>
          </w:tcPr>
          <w:p>
            <w:pPr>
              <w:pStyle w:val="TableContents"/>
              <w:spacing w:before="0" w:after="283"/>
              <w:rPr>
                <w:sz w:val="20"/>
              </w:rPr>
            </w:pPr>
            <w:r>
              <w:rPr>
                <w:sz w:val="20"/>
              </w:rPr>
              <w:t>make investments (including acquisitions),</w:t>
            </w:r>
          </w:p>
        </w:tc>
      </w:tr>
    </w:tbl>
    <w:p>
      <w:pPr>
        <w:pStyle w:val="TextBody"/>
        <w:spacing w:before="0" w:after="0"/>
        <w:ind w:left="0" w:right="0" w:hanging="0"/>
        <w:rPr>
          <w:caps w:val="false"/>
          <w:smallCaps w:val="false"/>
        </w:rPr>
      </w:pPr>
      <w:r>
        <w:rPr>
          <w:caps w:val="false"/>
          <w:smallCaps w:val="false"/>
        </w:rPr>
        <w:t> </w:t>
      </w:r>
    </w:p>
    <w:tbl>
      <w:tblPr>
        <w:tblW w:w="1465" w:type="dxa"/>
        <w:jc w:val="left"/>
        <w:tblInd w:w="0" w:type="dxa"/>
        <w:tblCellMar>
          <w:top w:w="0" w:type="dxa"/>
          <w:left w:w="0" w:type="dxa"/>
          <w:bottom w:w="0" w:type="dxa"/>
          <w:right w:w="0" w:type="dxa"/>
        </w:tblCellMar>
      </w:tblPr>
      <w:tblGrid>
        <w:gridCol w:w="75"/>
        <w:gridCol w:w="170"/>
        <w:gridCol w:w="12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rPr>
                <w:sz w:val="20"/>
              </w:rPr>
            </w:pPr>
            <w:r>
              <w:rPr>
                <w:sz w:val="20"/>
              </w:rPr>
              <w:t>sell assets, and</w:t>
            </w:r>
          </w:p>
        </w:tc>
      </w:tr>
    </w:tbl>
    <w:p>
      <w:pPr>
        <w:pStyle w:val="TextBody"/>
        <w:spacing w:before="0" w:after="0"/>
        <w:ind w:left="0" w:right="0" w:hanging="0"/>
        <w:rPr>
          <w:caps w:val="false"/>
          <w:smallCaps w:val="false"/>
        </w:rPr>
      </w:pPr>
      <w:r>
        <w:rPr>
          <w:caps w:val="false"/>
          <w:smallCaps w:val="false"/>
        </w:rPr>
        <w:t> </w:t>
      </w:r>
    </w:p>
    <w:tbl>
      <w:tblPr>
        <w:tblW w:w="3130" w:type="dxa"/>
        <w:jc w:val="left"/>
        <w:tblInd w:w="0" w:type="dxa"/>
        <w:tblCellMar>
          <w:top w:w="0" w:type="dxa"/>
          <w:left w:w="0" w:type="dxa"/>
          <w:bottom w:w="0" w:type="dxa"/>
          <w:right w:w="0" w:type="dxa"/>
        </w:tblCellMar>
      </w:tblPr>
      <w:tblGrid>
        <w:gridCol w:w="75"/>
        <w:gridCol w:w="170"/>
        <w:gridCol w:w="28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885" w:type="dxa"/>
            <w:tcBorders/>
            <w:shd w:fill="auto" w:val="clear"/>
            <w:vAlign w:val="center"/>
          </w:tcPr>
          <w:p>
            <w:pPr>
              <w:pStyle w:val="TableContents"/>
              <w:spacing w:before="0" w:after="283"/>
              <w:rPr>
                <w:sz w:val="20"/>
              </w:rPr>
            </w:pPr>
            <w:r>
              <w:rPr>
                <w:sz w:val="20"/>
              </w:rPr>
              <w:t>pay dividends on our capital stock.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contains certain financial covenants, including minimum liquidity, which will be tested monthly, and adjusted EBITDA and minimum revenue, each of which will be tested at the end of each fiscal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in compliance with certain of these covenants, in addition to other actions the Investors may require, the amounts outstanding under the Purchase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based upon our actual performance levels, our covenants relating to liquidity and adjusted EBITDA could limit our ability to incur additional debt, which could hinder our ability to execute our current business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the Note. Our cash flow and existing capital resources may be insufficient to repay our debt at maturity, in which such case prior thereto we would have to extend such maturity date, or otherwise repay, refinance and or restructure the obligations under the Note, including with proceeds from the sale of assets, and additional equity or debt capital. If we are unsuccessful in obtaining such extension, or entering into such repayment, refinance or restructure prior to maturity, or any other default existed under the Note, the Investor could accelerate the indebtedness under the Note, foreclose against its collateral or seek other remedies, which would jeopardize our ability to continue our current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record impairment charges against the carrying value of our goodwill and other intangible assets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and 2020, we had recorded goodwill and intangible assets with a net book value of $64.2 million and $2.3 million, respectively. We are required to test for impairment at least annually and whenever evidence of impairment exists. We have not recorded any impairment charges against the carrying value of our goodwill and intangible assets in the past. The carrying value of our goodwill and intangible asset values are measured using a variety of factors, including values of comparable companies, overall stock market and economic data and our own projections of future financial performance. We may be required in the future to record impairment charges that could have a material adverse effect on our reported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Two customers, each of which are related parties, accounted for approximately 52.5% (or $31.4 million) of our total revenue during the year ended December 31, 2021. During the year ended December 31, 2020, two customers accounted for approximately 46.8% (or $5.7 million) of our total revenue and one related party customer accounted for approximately 32.4% (or $3.9 million) of our total revenue. In the event of any material decrease in revenue from these customers, or if we are unable to replace the revenue through the sale of our products to additional customers, our financial condition and results from operations could be materially and adversely affected</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customers leaves us exposed to the risks associated with the loss of one or more of these significant customers, which would materially and adversely affect our revenues and results of operations. In addition, some of these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reliance on a limited base of suppliers for our products may result in disruptions to our supply chain and business and adversely affect our financial results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Many of our suppliers are experiencing operational difficulties as a result of COVID-19, which in turn may have an adverse effect on our ability to provide products to our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with clients operating in the cannabis industry, we face many particular and evolving risks associated with that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Marijuana remains illegal under United States federal law</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Uncertainty of federal enforcement and the need to renew temporary safeguards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 Rider is no longer in effect, the risk of federal enforcement and override of state marijuana laws would increase.</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legislative development beneficial to our operations is not guaranteed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cannabis industry could face strong opposition from other industries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legality of marijuana could be reversed in one or more states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legislation and evolving interpretations of law</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client licensing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Banking regulations could limit access to banking services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use of marijuana is illegal under federal law, there is a compelling argument that banks cannot lawfully except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insurance risks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participate in an evolving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customers to meet their financial or contractual obligations to us may result in disruption to our results of operations and could result in financial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exposure to several customers and at least some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reliance on our relationship with our strategic investor, Inventronics, without a definitive agreement in place may have an adverse effect on our ability to provide products and services to our customers</w:t>
      </w:r>
      <w:r>
        <w:rPr>
          <w:rFonts w:ascii="Times New Roman;Times;Serif" w:hAnsi="Times New Roman;Times;Serif"/>
          <w:b w:val="false"/>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Inventronics Inc. (“Inventronics”),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credit profile may affect our relationship with our suppliers, which could have a material adverse effect on our liquidity.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our backlog, which consists of purchase orders or purchase commitments, was $837 million. We expect to recognize revenue of approximately $110 million from the backlog as revenue in 2022 and the rest gradually thereafter.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officers and directors may become subject to conflicts of interests arising out of our relationship with Bluezone Products, Inc. (“Bluezone”) and Enozo Technologies, Inc. (“Enozo”).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two distribution agreements with companies in which certain of our officers and directors have an interest. Specifically, Guichao Hua, a member of our board of directors, has an ownership interest in Bluezone of approximately 3%. Raymond Chang, our Chairman of the Board and Chief Executive Officer, has a minority ownership interest in and manages NXT Venture Fund II, a now inactive fund, of approximately 5% which has a minority interest in Bluezone of approximately 8%. This results in Mr. Chang having approximately a 0.4% indirect ownership interest in Bluezone. Mr. Hua is a board member of Enozo and has an ownership interest of approximately 12% in the company. Mr. Chang also is owed approximately $500 thousand of debt from Enozo in accordance with a certain promissory note. The overlapping nature of these relationships could cause conflicts of interest for Messrs. Hua and Chang, which may not be easily resolved, or if they are resolved, they may not be resolved on terms advantageous to 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rely on third parties for certain services made available to our customers, which could limit our control over the quality of the user experience and our cost of providing services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applications and services available through our proprietary Agrify “Precision Elevated™” cultivation solution, including our flagship hardware product, the Agrify Vertical Farming Unit (“VFU”), and our proprietary SaaS product, Agrify Insights software,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growth and success of our business depends on the continued contributions of Raymond Chang, as our key executive officer, as well as our ability to attract and retain qualified personnel</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face intense competition that could prohibit us from developing or increasing our customer base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Protecting and defending against intellectual property claims may have a material adverse effect on our business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depends, in part, upon successful protection of our intellectual property relating to our proprietary Agrify cultivation solution, including our flagship hardware product, the VFU, and our proprietary SaaS product, Agrify Insights software.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pStyle w:val="TextBody"/>
        <w:spacing w:before="0" w:after="0"/>
        <w:ind w:left="0" w:right="0" w:hanging="0"/>
        <w:rPr>
          <w:caps w:val="false"/>
          <w:smallCaps w:val="false"/>
        </w:rPr>
      </w:pPr>
      <w:r>
        <w:rPr>
          <w:caps w:val="false"/>
          <w:smallCaps w:val="false"/>
        </w:rPr>
        <w:t> </w:t>
      </w:r>
    </w:p>
    <w:tbl>
      <w:tblPr>
        <w:tblW w:w="8470" w:type="dxa"/>
        <w:jc w:val="left"/>
        <w:tblInd w:w="0" w:type="dxa"/>
        <w:tblCellMar>
          <w:top w:w="0" w:type="dxa"/>
          <w:left w:w="0" w:type="dxa"/>
          <w:bottom w:w="0" w:type="dxa"/>
          <w:right w:w="0" w:type="dxa"/>
        </w:tblCellMar>
      </w:tblPr>
      <w:tblGrid>
        <w:gridCol w:w="75"/>
        <w:gridCol w:w="170"/>
        <w:gridCol w:w="82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225" w:type="dxa"/>
            <w:tcBorders/>
            <w:shd w:fill="auto" w:val="clear"/>
            <w:vAlign w:val="center"/>
          </w:tcPr>
          <w:p>
            <w:pPr>
              <w:pStyle w:val="TableContents"/>
              <w:spacing w:before="0" w:after="283"/>
              <w:rPr>
                <w:sz w:val="20"/>
              </w:rPr>
            </w:pPr>
            <w:r>
              <w:rPr>
                <w:sz w:val="20"/>
              </w:rPr>
              <w:t>we may not have been the first to make the inventions claimed or disclosed in our patent application;</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other parties may independently develop similar or alternative products and technologies or duplicate any of our products and technologies, which can potentially impact our market share, revenue, and goodwill, regardless of</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may be unaware of or unfamiliar with prior art and/or interpretations of prior art that could potentially impact the validity or scope of our patents or patent applications that we may file;</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may elect not to maintain or pursue intellectual property rights that, at some point in time, may be considered relevant to or enforceable against a competitor;</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may not develop additional proprietary products and technologies that are patentable, or we may develop additional proprietary products and technologies that are not patentable;</w:t>
            </w:r>
          </w:p>
        </w:tc>
      </w:tr>
    </w:tbl>
    <w:p>
      <w:pPr>
        <w:pStyle w:val="TextBody"/>
        <w:spacing w:before="0" w:after="0"/>
        <w:ind w:left="0" w:right="0" w:firstLine="360"/>
        <w:rPr>
          <w:caps w:val="false"/>
          <w:smallCaps w:val="false"/>
        </w:rPr>
      </w:pPr>
      <w:r>
        <w:rPr>
          <w:caps w:val="false"/>
          <w:smallCaps w:val="false"/>
        </w:rPr>
        <w:t> </w:t>
      </w:r>
    </w:p>
    <w:tbl>
      <w:tblPr>
        <w:tblW w:w="8740" w:type="dxa"/>
        <w:jc w:val="left"/>
        <w:tblInd w:w="0" w:type="dxa"/>
        <w:tblCellMar>
          <w:top w:w="0" w:type="dxa"/>
          <w:left w:w="0" w:type="dxa"/>
          <w:bottom w:w="0" w:type="dxa"/>
          <w:right w:w="0" w:type="dxa"/>
        </w:tblCellMar>
      </w:tblPr>
      <w:tblGrid>
        <w:gridCol w:w="75"/>
        <w:gridCol w:w="170"/>
        <w:gridCol w:w="84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495" w:type="dxa"/>
            <w:tcBorders/>
            <w:shd w:fill="auto" w:val="clear"/>
            <w:vAlign w:val="center"/>
          </w:tcPr>
          <w:p>
            <w:pPr>
              <w:pStyle w:val="TableContents"/>
              <w:spacing w:before="0" w:after="283"/>
              <w:rPr>
                <w:sz w:val="20"/>
              </w:rPr>
            </w:pPr>
            <w:r>
              <w:rPr>
                <w:sz w:val="20"/>
              </w:rPr>
              <w:t>the patents or other intellectual property rights of others may have an adverse effect on our business; and</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success depends in part upon our ability to protect our core technology and intellectual property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need to enter into intellectual property license agreements in the future, and if we are unable to obtain these licenses, our business could be harmed</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Others may assert intellectual property infringement claims against us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use our net operating losses to offset future taxable income may be subject to certain limitations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net operating loss (“NOL”) carryforwards for federal and state income tax purposes which may be available to offset taxable income in future years. Approximately $675 thousand federal NOLs will expire if not utilized by 2037 and approximately $51.5 million of federal NOLs carryforward indefinitely but are only available to offset 80% of taxable income per year. The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2021,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are no assurances that our outstanding loans will be forgivable in whole or in part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July 2020, we entered into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 thousand and $44 thousand from the unsecured PPP Loans. The PPP Loans are scheduled to mature on May 7, 2022 and July 27, 2025,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 In September 2021, the loan for $44 thousand was 100% forgiven by the SBA. The Company’s application for forgiveness of the balance of the remaining $779 thousand PPP Loan is still under review by the SBA.</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CARES Act and the PPP, we have used all of the proceeds from the PPP Loan primarily for payroll costs. We believe that we will be eligible for the remaining loan forgiveness under the program, but there is no assurance that the full loan amount will be forgiven, and we cannot anticipate the timing of any such forgiveness. Although we believe that we satisfied all eligibility criteria for the PPP Loan and that our receipt of the PPP Loan is consistent with the objectives of the PPP Loan of the CARES Act, if it is later determined that we were ineligible to receive the PPP Loan, we may be required to repay the PPP Loan in its entirety and/or be subject to additional penalties and adverse publicity, which could have a material adverse effect on our business, results of operations, and financial condition.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Concentration of ownership among our existing executive officers, directors and their affiliates may prevent new investors from influencing significant corporate decisions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beneficially own, in the aggregate, approximately 6.7% of our outstanding shares of common stock. In particular, Raymond Chang, our Chairman of the Board and Chief Executive Officer, beneficially owns approximately 3.3% of our outstanding shares of common stock.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large number of shares eligible for public sale could depress the market price of our common stock</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United States in the open market.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exercise of all or any number of outstanding warrants or the issuance of stock-based awards may dilute your holding of shares of our common stock.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several securities providing for the right to purchase our common stock. Investors could be subject to increased dilution upon the exercise of our Convertible Notes issued in Fiscal 2020, which have a $0.02 exercise price. A total of 271,844 warrants issued on connection with the 2020 convertible notes are outstanding as of December 31, 2021. Subsequent to December 31, 2021, the Company completed a private placement of our common stock and entered into a securities purchase agreement. Both of these arrangements include warrant issuance provisions. On January 25, 2022, the Company issued a total of 4,586,389 warrants in connection with the private placement entered into with an institutional investor and other accredited investors. The warrant issuance included 1,570,644 pre-funded warrants, with an exercise price of $0.001, and 3,015,745 warrants with exercise prices ranging between $6.80 and $6.90. On March 23, 2022, the Company issued a total of 6,881,108 warrants in connection with its entrance into a securities purchase agreement with an accredited investor. The warrants issued have an exercise price of $6.75.</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shares of common stock were reserved for issuance of equity-based awards to employees, directors and certain other individuals under the Company’s 2020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may experience dilution in the value of their investment upon the exercise of the warrants and any equity awards that may be granted or issued pursuant to the 2020 Omnibus 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Provisions in our articles of incorporation, our by-laws and Nevada law might discourage, delay or prevent a change in control of our company or changes in our management and, therefore, depress the trading price of our common stock</w:t>
      </w:r>
      <w:r>
        <w:rPr>
          <w:rFonts w:ascii="Times New Roman;Times;Serif" w:hAnsi="Times New Roman;Times;Serif"/>
          <w:b w:val="false"/>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spacing w:before="0" w:after="0"/>
        <w:ind w:left="0" w:right="0" w:firstLine="360"/>
        <w:rPr>
          <w:caps w:val="false"/>
          <w:smallCaps w:val="false"/>
        </w:rPr>
      </w:pPr>
      <w:r>
        <w:rPr>
          <w:caps w:val="false"/>
          <w:smallCaps w:val="false"/>
        </w:rPr>
        <w:t> </w:t>
      </w:r>
    </w:p>
    <w:tbl>
      <w:tblPr>
        <w:tblW w:w="4930" w:type="dxa"/>
        <w:jc w:val="left"/>
        <w:tblInd w:w="0" w:type="dxa"/>
        <w:tblCellMar>
          <w:top w:w="0" w:type="dxa"/>
          <w:left w:w="0" w:type="dxa"/>
          <w:bottom w:w="0" w:type="dxa"/>
          <w:right w:w="0" w:type="dxa"/>
        </w:tblCellMar>
      </w:tblPr>
      <w:tblGrid>
        <w:gridCol w:w="75"/>
        <w:gridCol w:w="170"/>
        <w:gridCol w:w="46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283"/>
              <w:rPr>
                <w:sz w:val="20"/>
              </w:rPr>
            </w:pPr>
            <w:r>
              <w:rPr>
                <w:sz w:val="20"/>
              </w:rPr>
              <w:t>the inability of stockholders to call special meetings; and</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not and do not expect to declare any dividends to our shareholders in the foreseeable future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COVID-19 pandemic and the efforts to mitigate its impact may have an adverse effect on our business, liquidity, results of operations, financial condition and price of our securities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pStyle w:val="TextBody"/>
        <w:spacing w:before="0" w:after="0"/>
        <w:ind w:left="0" w:right="0" w:firstLine="360"/>
        <w:rPr>
          <w:caps w:val="false"/>
          <w:smallCaps w:val="false"/>
        </w:rPr>
      </w:pPr>
      <w:r>
        <w:rPr>
          <w:caps w:val="false"/>
          <w:smallCaps w:val="false"/>
        </w:rPr>
        <w:t> </w:t>
      </w:r>
    </w:p>
    <w:tbl>
      <w:tblPr>
        <w:tblW w:w="3250" w:type="dxa"/>
        <w:jc w:val="left"/>
        <w:tblInd w:w="0" w:type="dxa"/>
        <w:tblCellMar>
          <w:top w:w="0" w:type="dxa"/>
          <w:left w:w="0" w:type="dxa"/>
          <w:bottom w:w="0" w:type="dxa"/>
          <w:right w:w="0" w:type="dxa"/>
        </w:tblCellMar>
      </w:tblPr>
      <w:tblGrid>
        <w:gridCol w:w="75"/>
        <w:gridCol w:w="170"/>
        <w:gridCol w:w="30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05" w:type="dxa"/>
            <w:tcBorders/>
            <w:shd w:fill="auto" w:val="clear"/>
            <w:vAlign w:val="center"/>
          </w:tcPr>
          <w:p>
            <w:pPr>
              <w:pStyle w:val="TableContents"/>
              <w:spacing w:before="0" w:after="283"/>
              <w:rPr>
                <w:sz w:val="20"/>
              </w:rPr>
            </w:pPr>
            <w:r>
              <w:rPr>
                <w:sz w:val="20"/>
              </w:rPr>
              <w:t>voluntary or mandatory quarantines;</w:t>
            </w:r>
          </w:p>
        </w:tc>
      </w:tr>
    </w:tbl>
    <w:p>
      <w:pPr>
        <w:pStyle w:val="TextBody"/>
        <w:spacing w:before="0" w:after="0"/>
        <w:ind w:left="0" w:right="0" w:firstLine="360"/>
        <w:rPr>
          <w:caps w:val="false"/>
          <w:smallCaps w:val="false"/>
        </w:rPr>
      </w:pPr>
      <w:r>
        <w:rPr>
          <w:caps w:val="false"/>
          <w:smallCaps w:val="false"/>
        </w:rPr>
        <w:t> </w:t>
      </w:r>
    </w:p>
    <w:tbl>
      <w:tblPr>
        <w:tblW w:w="2350" w:type="dxa"/>
        <w:jc w:val="left"/>
        <w:tblInd w:w="0" w:type="dxa"/>
        <w:tblCellMar>
          <w:top w:w="0" w:type="dxa"/>
          <w:left w:w="0" w:type="dxa"/>
          <w:bottom w:w="0" w:type="dxa"/>
          <w:right w:w="0" w:type="dxa"/>
        </w:tblCellMar>
      </w:tblPr>
      <w:tblGrid>
        <w:gridCol w:w="75"/>
        <w:gridCol w:w="170"/>
        <w:gridCol w:w="210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105" w:type="dxa"/>
            <w:tcBorders/>
            <w:shd w:fill="auto" w:val="clear"/>
            <w:vAlign w:val="center"/>
          </w:tcPr>
          <w:p>
            <w:pPr>
              <w:pStyle w:val="TableContents"/>
              <w:spacing w:before="0" w:after="283"/>
              <w:rPr>
                <w:sz w:val="20"/>
              </w:rPr>
            </w:pPr>
            <w:r>
              <w:rPr>
                <w:sz w:val="20"/>
              </w:rPr>
              <w:t>restrictions on travel; and</w:t>
            </w:r>
          </w:p>
        </w:tc>
      </w:tr>
    </w:tbl>
    <w:p>
      <w:pPr>
        <w:pStyle w:val="TextBody"/>
        <w:spacing w:before="0" w:after="0"/>
        <w:ind w:left="0" w:right="0" w:firstLine="360"/>
        <w:rPr>
          <w:caps w:val="false"/>
          <w:smallCaps w:val="false"/>
        </w:rPr>
      </w:pPr>
      <w:r>
        <w:rPr>
          <w:caps w:val="false"/>
          <w:smallCaps w:val="false"/>
        </w:rPr>
        <w:t> </w:t>
      </w:r>
    </w:p>
    <w:tbl>
      <w:tblPr>
        <w:tblW w:w="4030" w:type="dxa"/>
        <w:jc w:val="left"/>
        <w:tblInd w:w="0" w:type="dxa"/>
        <w:tblCellMar>
          <w:top w:w="0" w:type="dxa"/>
          <w:left w:w="0" w:type="dxa"/>
          <w:bottom w:w="0" w:type="dxa"/>
          <w:right w:w="0" w:type="dxa"/>
        </w:tblCellMar>
      </w:tblPr>
      <w:tblGrid>
        <w:gridCol w:w="75"/>
        <w:gridCol w:w="170"/>
        <w:gridCol w:w="37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785" w:type="dxa"/>
            <w:tcBorders/>
            <w:shd w:fill="auto" w:val="clear"/>
            <w:vAlign w:val="center"/>
          </w:tcPr>
          <w:p>
            <w:pPr>
              <w:pStyle w:val="TableContents"/>
              <w:spacing w:before="0" w:after="283"/>
              <w:rPr>
                <w:sz w:val="20"/>
              </w:rPr>
            </w:pPr>
            <w:r>
              <w:rPr>
                <w:sz w:val="20"/>
              </w:rPr>
              <w:t>limiting gatherings of people in public places.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prolonged economic downturn, particularly in light of the COVID-19 pandemic, could adversely affect our business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Increases in costs, disruption of supply or shortage of raw materials could harm our business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Matters relating to the employment market and prevailing wage standards may adversely affect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Litigation may adversely affect our business, financial condition and results of operations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 active, liquid, and orderly trading market for our common stock may not develop, the price of our stock may be volatile, and you could lose all or part of your investment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pStyle w:val="TextBody"/>
        <w:spacing w:before="0" w:after="0"/>
        <w:ind w:left="0" w:right="0" w:firstLine="360"/>
        <w:rPr>
          <w:caps w:val="false"/>
          <w:smallCaps w:val="false"/>
        </w:rPr>
      </w:pPr>
      <w:r>
        <w:rPr>
          <w:caps w:val="false"/>
          <w:smallCaps w:val="false"/>
        </w:rPr>
        <w:t> </w:t>
      </w:r>
    </w:p>
    <w:tbl>
      <w:tblPr>
        <w:tblW w:w="4900" w:type="dxa"/>
        <w:jc w:val="left"/>
        <w:tblInd w:w="0" w:type="dxa"/>
        <w:tblCellMar>
          <w:top w:w="0" w:type="dxa"/>
          <w:left w:w="0" w:type="dxa"/>
          <w:bottom w:w="0" w:type="dxa"/>
          <w:right w:w="0" w:type="dxa"/>
        </w:tblCellMar>
      </w:tblPr>
      <w:tblGrid>
        <w:gridCol w:w="75"/>
        <w:gridCol w:w="170"/>
        <w:gridCol w:w="46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655" w:type="dxa"/>
            <w:tcBorders/>
            <w:shd w:fill="auto" w:val="clear"/>
            <w:vAlign w:val="center"/>
          </w:tcPr>
          <w:p>
            <w:pPr>
              <w:pStyle w:val="TableContents"/>
              <w:spacing w:before="0" w:after="283"/>
              <w:rPr>
                <w:sz w:val="20"/>
              </w:rPr>
            </w:pPr>
            <w:r>
              <w:rPr>
                <w:sz w:val="20"/>
              </w:rPr>
              <w:t>whether we achieve our anticipated corporate objectives;</w:t>
            </w:r>
          </w:p>
        </w:tc>
      </w:tr>
    </w:tbl>
    <w:p>
      <w:pPr>
        <w:pStyle w:val="TextBody"/>
        <w:spacing w:before="0" w:after="0"/>
        <w:ind w:left="0" w:right="0" w:firstLine="360"/>
        <w:rPr>
          <w:caps w:val="false"/>
          <w:smallCaps w:val="false"/>
        </w:rPr>
      </w:pPr>
      <w:r>
        <w:rPr>
          <w:caps w:val="false"/>
          <w:smallCaps w:val="false"/>
        </w:rPr>
        <w:t> </w:t>
      </w:r>
    </w:p>
    <w:tbl>
      <w:tblPr>
        <w:tblW w:w="6535" w:type="dxa"/>
        <w:jc w:val="left"/>
        <w:tblInd w:w="0" w:type="dxa"/>
        <w:tblCellMar>
          <w:top w:w="0" w:type="dxa"/>
          <w:left w:w="0" w:type="dxa"/>
          <w:bottom w:w="0" w:type="dxa"/>
          <w:right w:w="0" w:type="dxa"/>
        </w:tblCellMar>
      </w:tblPr>
      <w:tblGrid>
        <w:gridCol w:w="75"/>
        <w:gridCol w:w="170"/>
        <w:gridCol w:w="62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290" w:type="dxa"/>
            <w:tcBorders/>
            <w:shd w:fill="auto" w:val="clear"/>
            <w:vAlign w:val="center"/>
          </w:tcPr>
          <w:p>
            <w:pPr>
              <w:pStyle w:val="TableContents"/>
              <w:spacing w:before="0" w:after="283"/>
              <w:rPr>
                <w:sz w:val="20"/>
              </w:rPr>
            </w:pPr>
            <w:r>
              <w:rPr>
                <w:sz w:val="20"/>
              </w:rPr>
              <w:t>actual or anticipated fluctuations in our quarterly or annual operating results;</w:t>
            </w:r>
          </w:p>
        </w:tc>
      </w:tr>
    </w:tbl>
    <w:p>
      <w:pPr>
        <w:pStyle w:val="TextBody"/>
        <w:spacing w:before="0" w:after="0"/>
        <w:ind w:left="0" w:right="0" w:firstLine="360"/>
        <w:rPr>
          <w:caps w:val="false"/>
          <w:smallCaps w:val="false"/>
        </w:rPr>
      </w:pPr>
      <w:r>
        <w:rPr>
          <w:caps w:val="false"/>
          <w:smallCaps w:val="false"/>
        </w:rPr>
        <w:t> </w:t>
      </w:r>
    </w:p>
    <w:tbl>
      <w:tblPr>
        <w:tblW w:w="5440" w:type="dxa"/>
        <w:jc w:val="left"/>
        <w:tblInd w:w="0" w:type="dxa"/>
        <w:tblCellMar>
          <w:top w:w="0" w:type="dxa"/>
          <w:left w:w="0" w:type="dxa"/>
          <w:bottom w:w="0" w:type="dxa"/>
          <w:right w:w="0" w:type="dxa"/>
        </w:tblCellMar>
      </w:tblPr>
      <w:tblGrid>
        <w:gridCol w:w="75"/>
        <w:gridCol w:w="170"/>
        <w:gridCol w:w="51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195" w:type="dxa"/>
            <w:tcBorders/>
            <w:shd w:fill="auto" w:val="clear"/>
            <w:vAlign w:val="center"/>
          </w:tcPr>
          <w:p>
            <w:pPr>
              <w:pStyle w:val="TableContents"/>
              <w:spacing w:before="0" w:after="283"/>
              <w:rPr>
                <w:sz w:val="20"/>
              </w:rPr>
            </w:pPr>
            <w:r>
              <w:rPr>
                <w:sz w:val="20"/>
              </w:rPr>
              <w:t>changes in our financial or operational estimates or projections;</w:t>
            </w:r>
          </w:p>
        </w:tc>
      </w:tr>
    </w:tbl>
    <w:p>
      <w:pPr>
        <w:pStyle w:val="TextBody"/>
        <w:spacing w:before="0" w:after="0"/>
        <w:ind w:left="0" w:right="0" w:firstLine="360"/>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75"/>
        <w:gridCol w:w="170"/>
        <w:gridCol w:w="855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rPr>
                <w:sz w:val="20"/>
              </w:rPr>
            </w:pPr>
            <w:r>
              <w:rPr>
                <w:sz w:val="20"/>
              </w:rPr>
              <w:t>our ability to implement our operational plans;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rPr>
                <w:sz w:val="20"/>
              </w:rPr>
            </w:pPr>
            <w:r>
              <w:rPr>
                <w:sz w:val="20"/>
              </w:rPr>
              <w:t>termination of the lock-up agreement or other restrictions on the ability of our stockholders to sell shares;</w:t>
            </w:r>
          </w:p>
        </w:tc>
      </w:tr>
    </w:tbl>
    <w:p>
      <w:pPr>
        <w:pStyle w:val="TextBody"/>
        <w:spacing w:before="0" w:after="0"/>
        <w:ind w:left="0" w:right="0" w:firstLine="360"/>
        <w:rPr>
          <w:caps w:val="false"/>
          <w:smallCaps w:val="false"/>
        </w:rPr>
      </w:pPr>
      <w:r>
        <w:rPr>
          <w:caps w:val="false"/>
          <w:smallCaps w:val="false"/>
        </w:rPr>
        <w:t> </w:t>
      </w:r>
    </w:p>
    <w:tbl>
      <w:tblPr>
        <w:tblW w:w="7780" w:type="dxa"/>
        <w:jc w:val="left"/>
        <w:tblInd w:w="0" w:type="dxa"/>
        <w:tblCellMar>
          <w:top w:w="0" w:type="dxa"/>
          <w:left w:w="0" w:type="dxa"/>
          <w:bottom w:w="0" w:type="dxa"/>
          <w:right w:w="0" w:type="dxa"/>
        </w:tblCellMar>
      </w:tblPr>
      <w:tblGrid>
        <w:gridCol w:w="75"/>
        <w:gridCol w:w="170"/>
        <w:gridCol w:w="75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535" w:type="dxa"/>
            <w:tcBorders/>
            <w:shd w:fill="auto" w:val="clear"/>
            <w:vAlign w:val="center"/>
          </w:tcPr>
          <w:p>
            <w:pPr>
              <w:pStyle w:val="TableContents"/>
              <w:spacing w:before="0" w:after="283"/>
              <w:rPr>
                <w:sz w:val="20"/>
              </w:rPr>
            </w:pPr>
            <w:r>
              <w:rPr>
                <w:sz w:val="20"/>
              </w:rPr>
              <w:t>changes in the economic performance or market valuations of companies similar to ours; and</w:t>
            </w:r>
          </w:p>
        </w:tc>
      </w:tr>
    </w:tbl>
    <w:p>
      <w:pPr>
        <w:pStyle w:val="TextBody"/>
        <w:spacing w:before="0" w:after="0"/>
        <w:ind w:left="0" w:right="0" w:firstLine="360"/>
        <w:rPr>
          <w:caps w:val="false"/>
          <w:smallCaps w:val="false"/>
        </w:rPr>
      </w:pPr>
      <w:r>
        <w:rPr>
          <w:caps w:val="false"/>
          <w:smallCaps w:val="false"/>
        </w:rPr>
        <w:t> </w:t>
      </w:r>
    </w:p>
    <w:tbl>
      <w:tblPr>
        <w:tblW w:w="6310" w:type="dxa"/>
        <w:jc w:val="left"/>
        <w:tblInd w:w="0" w:type="dxa"/>
        <w:tblCellMar>
          <w:top w:w="0" w:type="dxa"/>
          <w:left w:w="0" w:type="dxa"/>
          <w:bottom w:w="0" w:type="dxa"/>
          <w:right w:w="0" w:type="dxa"/>
        </w:tblCellMar>
      </w:tblPr>
      <w:tblGrid>
        <w:gridCol w:w="75"/>
        <w:gridCol w:w="170"/>
        <w:gridCol w:w="60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065" w:type="dxa"/>
            <w:tcBorders/>
            <w:shd w:fill="auto" w:val="clear"/>
            <w:vAlign w:val="center"/>
          </w:tcPr>
          <w:p>
            <w:pPr>
              <w:pStyle w:val="TableContents"/>
              <w:spacing w:before="0" w:after="283"/>
              <w:rPr>
                <w:sz w:val="20"/>
              </w:rPr>
            </w:pPr>
            <w:r>
              <w:rPr>
                <w:sz w:val="20"/>
              </w:rPr>
              <w:t>general economic or political conditions in the United States or elsewhere.</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failure to meet the continuing listing requirements of the NASDAQ Capital Market could result in a de-listing of our securities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incur increased costs and demands upon management as a result of complying with the laws and regulations affecting public companies, which could adversely affect our operating results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Times;Serif" w:hAnsi="Times New Roman;Times;Serif"/>
          <w:b w:val="false"/>
          <w:i w:val="false"/>
          <w:caps w:val="false"/>
          <w:smallCaps w:val="false"/>
          <w:sz w:val="20"/>
        </w:rPr>
        <w:t>.</w:t>
      </w:r>
    </w:p>
    <w:p>
      <w:pPr>
        <w:pStyle w:val="TextBody"/>
        <w:spacing w:before="0" w:after="0"/>
        <w:ind w:left="45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operations may be impaired if our information technology systems fail to perform adequately or if we are the subject of a data breach or cyber-attack</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Privacy regulation is an evolving area and compliance with applicable privacy regulations may increase our operating costs or adversely impact our ability to service our clients and market our products and services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shares of common stock become subject to the penny stock rules, it would become more difficult to trade our shares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financial and operational projections that we may make from time to time are subject to inherent risks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were to dissolve, the holders of our securities may lose all or substantial amounts of their investments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5" w:name="agri_004"/>
      <w:bookmarkEnd w:id="5"/>
      <w:r>
        <w:rPr>
          <w:rFonts w:ascii="Times New Roman;Times;Serif" w:hAnsi="Times New Roman;Times;Serif"/>
          <w:b/>
          <w:i w:val="false"/>
          <w:caps w:val="false"/>
          <w:smallCaps w:val="false"/>
          <w:sz w:val="20"/>
        </w:rPr>
        <w:t>Item 1B. 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6" w:name="agri_005"/>
      <w:bookmarkEnd w:id="6"/>
      <w:r>
        <w:rPr>
          <w:rFonts w:ascii="Times New Roman;Times;Serif" w:hAnsi="Times New Roman;Times;Serif"/>
          <w:b/>
          <w:i w:val="false"/>
          <w:caps w:val="false"/>
          <w:smallCaps w:val="false"/>
          <w:sz w:val="20"/>
        </w:rPr>
        <w:t>Item 2. Properties.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in Billerica, Massachusetts where we occupy approximately 7,500 square feet of office and showroom space under lease that expires in 2027. We lease properties located within various geographic regions in which we conduct business, including Colorado, Georgia, Massachusetts, Michigan, and Oregon. Our properties include office spaces, showrooms and warehouses used for research and development, operational, sales, management, and administrative purposes. All of our facilities are leased.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that are scheduled to expire during the next 12 months, we may negotiate new lease agreements, renew existing lease agreements, exercise any respective options to extend the existing lease agreements, or use alternate facilities. We believe our facilities are adequate for our needs and believe that we should be able to renew any of our existing leases or secure similar property without an adverse impact on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7" w:name="agri_006"/>
      <w:bookmarkEnd w:id="7"/>
      <w:r>
        <w:rPr>
          <w:rFonts w:ascii="Times New Roman;Times;Serif" w:hAnsi="Times New Roman;Times;Serif"/>
          <w:b/>
          <w:i w:val="false"/>
          <w:caps w:val="false"/>
          <w:smallCaps w:val="false"/>
          <w:sz w:val="20"/>
        </w:rPr>
        <w:t>Item 3.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1 – Business – Legal Proceedings” for a discussion of the significant legal proceedings in which we are involved.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8" w:name="agri_007"/>
      <w:bookmarkEnd w:id="8"/>
      <w:r>
        <w:rPr>
          <w:rFonts w:ascii="Times New Roman;Times;Serif" w:hAnsi="Times New Roman;Times;Serif"/>
          <w:b/>
          <w:i w:val="false"/>
          <w:caps w:val="false"/>
          <w:smallCaps w:val="false"/>
          <w:sz w:val="20"/>
        </w:rPr>
        <w:t>Item 4. 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 w:name="agri_008"/>
      <w:bookmarkEnd w:id="9"/>
      <w:r>
        <w:rPr>
          <w:rFonts w:ascii="Times New Roman;Times;Serif" w:hAnsi="Times New Roman;Times;Serif"/>
          <w:b/>
          <w:i w:val="false"/>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0" w:name="agri_009"/>
      <w:bookmarkEnd w:id="10"/>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traded on the NASDAQ Capital Market under the symbol “AGFY.”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24, 2022, there were 62 holders of record of our common stock. Such numbers do not include beneficial owners holding shares of our common stock in nominee or “street” name through various brokerage firms.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any of our capital stock and currently intend to retain our future earnings, if any, to fund the development and growth of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concerning our equity compensation plan is incorporated by reference from the information in our Proxy Statement for our 2022 Annual Meeting of Stockholders, which we will file with the SEC within 120 days of the end of the fiscal year to which this Annual Report on Form 10-K relates.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Repurchases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all issuances of our unregistered securities during the year ended December 31, 2021.The securities in the below-referenced transactions were (i) issued without registration and (ii) were subject to restrictions under the Securities Act and the securities laws of certain states, in reliance on the private offering exemptions contained in Sections 4(2), 4(6) and/or 3(b) of the Securities Act and on Regulation D promulgated there under, and in reliance on similar exemptions under applicable state laws as transactions not involving a public offering. Unless stated otherwise, no placement or underwriting fees were paid in connection with these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issued stock options to purchase an aggregate of 8,000 shares of its common stock to an employee in consideration of achieving certain milestones from the acquisition of Harbor Mountain Holdings,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issued an aggregate of 666,403 shares of its common stock to the Precision and Cascade shareholders in connection with the merger with Precision and Cascade. In addition to the shares issued at the closing of the acquisition, the Company has also held back an additional 117,600 shares of the Company’s common stock due to the former stockholders of Precision and Cascade, which are scheduled to be issued six (6) months after the close, subject to the satisfaction of certain covenants.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issued an aggregate of 240,301 shares of its common stock to the PurePressure shareholders in connection with the merger PurePressure. Additionally, as per the purchase agreement, the Company held back 88,878 shares of the Company’s common stock, representing 15% of the value of the closing consideration amount. The shares will be held back by the Company for a period of twelve (12) months for purposes of satisfying any post-closing adjustments.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 from Initial Public Offering of Common Stock and Secondary Public Offering</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2021, we closed our initial public offering, or (“IPO”), of 6,210,000 shares of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Maxim Group LLC and Roth Capital Partners acted as the underwriters. The public offering price of the shares sold in the offering was $10.00 per share. The total gross proceeds from the offering were $62.1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underwriting discounts and commissions of $4 million and offering expenses paid or payable by us of approximately $1 million, the net proceeds from the offering were approximately $57 million. During the fiscal year ended December 31, 2021, we used the net proceeds from the IPO for our current working capital needs to support accounts receivable growth, manage inventory to meet demand forecasts, and support operational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we consummated a secondary public offering (the “February Offering”) of 5,555,555 shares of common stock for a price of $13.50 per share, less certain underwriting discounts and commissions. On March 22, 2021, we closed on the sale of an additional 833,333 shares of common stock on the same terms and conditions pursuant to the exercise of the underwriters’ over-allotment option. The exercise of the over-allotment option brought the total number of shares of common stock sold by us in connection with the February Offering to 6,388,888 shares and the total net proceeds received in connection with the February Offering to approximately $80 million, after deducting underwriting discounts and estimated offering expenses. During the fiscal year ended December 31, 2021, we used the net proceeds from the IPO for our current working capital needs to support accounts receivable growth, manage inventory to meet demand forecasts, and support operational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1" w:name="agri_010"/>
      <w:bookmarkEnd w:id="11"/>
      <w:r>
        <w:rPr>
          <w:rFonts w:ascii="Times New Roman;Times;Serif" w:hAnsi="Times New Roman;Times;Serif"/>
          <w:b/>
          <w:i w:val="false"/>
          <w:caps w:val="false"/>
          <w:smallCaps w:val="false"/>
          <w:sz w:val="20"/>
        </w:rPr>
        <w:t>Item 6.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2" w:name="agri_011"/>
      <w:bookmarkEnd w:id="12"/>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developer of highly advanced and proprietary precision hardware and software grow solutions for the indoor agriculture marketplace and provide equipment and solutions for extraction, post-processing, and testing for the cannabis and hemp industry. We believe we are the only company with an automated and fully integrated grow solution in the industry. We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forms an unrivaled ecosystem in what has historically been an extremely fragmented market. As a result, we believe we are well situated to create a dominant market position in the indoor agriculture sector.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was incorporated in the state of Nevada on June 6, 2016, originally incorporated as Agrinamics, Inc. (or Agrinamics). On September 16, 2019, Agrinamics amended its articles of incorporation to reflect a name change to Agrify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office is located in Billerica, Massachusetts. We also lease properties located within various geographic regions in which we conduct business, including Colorado, Georgia, Massachusetts, Michigan, and Oregon.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2021, the Company effected a 1-for-1.581804 reverse stock split. All share and per share information has been retroactively adjusted to give effect to the reverse stock split for all periods presented, unless otherwise indicated.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2021 Highlights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Precision and Cascade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2021 (the “Execution Date”), we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and each of the equity holders of Sinclair named therein (collectively, the “Sinclair Members”). On October 1, 2021, we consummated the transactions contemplated by the Purchase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Purchase Agreement, (1) Sinclair transferred, to us, and we purchased (the “Interest Purchase”) from Sinclair, 100% of the equity interests of Cascade Sciences, LLC, a Delaware limited liability company, such that immediately after the consummation of such Interest Purchase, Cascade became a wholly owned subsidiary of us, and (2) Precision merged (the “Merger”) with and into a newly-formed wholly owned subsidiary of us, Precision Extraction NewCo, LLC.</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Interest Purchase and the Merger consisted of: (a) the sum of $30 million, plus consideration payable to holders of outstanding Sinclair equity awards, subject to certain adjustments for working capital, cash and indebtedness, payable in connection with the Interest Purchase; (b) the number of shares of our common stock, subject to adjustment, equal to the quotient of (i) $20 million divided by (ii) the volume-weighted average price per share of our common stock on The Nasdaq Capital Market for the 30 consecutive trading days ending on the Execution Date (the “VWAP Price”), issuable in connection with the Merger; and (c) the True-Up Buyer Shares, if any (as defined below), issuable in connection with the Merger.</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post-closing adjustments, representations and warranties and covenants of the parties. The Sinclair Members may become entitled to additional shares of our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us pursuant to the terms of the Purchase Agreement, taking into account any Aggregate True-Up Payment in favor of the Sinclair Members, exceed $65 million. In connection with the Aggregate True Up Payment, Precision and Cascade earned additional purchase consideration of $5.4 million during fiscal year ending December 31, 2021. Of the $5.4 million of additional consideration, $1.4 million was recognized as change in contingent consideration in our consolidated statements of operations during the fourth quarter of 2021 due to the fact that the final revenue achievement exceeded our original fair value estimate at the time of the acquisition.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related costs, consisting primarily of professional fees, directly related to the acquisition, totaled $4.0 million for the year ended December 31, 2021. All transaction and related costs were expensed as incurred and are included in selling, 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$49.9 million and may be adjusted upon further review of the values assigned to identifiable intangible assets and goodwill.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amortize our intangible assets assuming no residual value over periods in which the economic benefit of these assets is consumed.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of Precision and Cascade included in our consolidated statement of operations from the acquisition date of October 1, 2021 to December 31, 2021 was approximately $12.3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PurePressure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entered into a Membership Interest Purchase Agreement (the “Pure Purchase Agreement”) with PurePressure, LLC, a Colorado Limited liability company and the members of PurePressure (collectively, the “Members”), Benjamin Britton as the Member Representative thereunder, and each of the Members. Concurrently with the execution of the Pure Purchase Agreement, we consummated the acquisition of all the outstanding equity interests of PurePressure, such that immediately after the consummation of such purchase, PurePressure became a wholly owned subsidiary of us (the “Acquisition”).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Acquisition consisted of: (a) $4.0 million in cash, subject to certain adjustments for working capital, cash and indebtedness of PurePressure at closing; (b) 329,179 shares of our common stock (the “Buyer Shares”); and (c) the Earn-out Consideration (as defined below), to the extent earned.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withheld 88,878 of the Buyer Shares issuable to certain Members (the “Holdback Buyer Shares”) for the purpose of securing any post-closing adjustment owed to us and any claim for indemnification or payment of damages to which we may be entitled under the Pure Purchase Agreement. The Holdback Buyer Shares shall be released following the twelve (12) month anniversary of the Closing Date in accordance with and subject to the conditions of the Pure Purchase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our common stock (collectively, the “Earn-out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amortize our intangible assets assuming no residual value over periods in which the economic benefit of these assets is consumed.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from PurePressure was included in our consolidated statement of operations as the transaction occurred on December 31, 2021.</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Impact of coronavirus pandemic (“COVID-19”)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2021, our Board of Directors and shareholders approved the amendment to the conversion formula of the Convertible Promissory Notes (the “Notes”) issued by us on dates between August 2020 and November 2020. Pursuant to the amendment, immediately prior to the consummation of a public transaction, the outstanding principal amount of the Notes, together with all accrued and unpaid interest, shall convert into a number of fully paid and non-assessable shares of common stock, at a conversion price of $7.72.</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the original conversion feature was bifurcated from the host instrument, we determined that the amended conversion feature would not require bifurcation. Since the accounting for the conversion feature changed because of the amendment, we applied extinguishment accounting pursuant to its accounting policy. Accordingly, we recognized a gain on extinguishment of $2.7 million in connection with the derecognition of the net carrying amount of the extinguished debt of $19.7 million (inclusive of $13.1 million of principal, $7.1 million of derivative liabilities, less $587 thousand of debt discount) and the recognition of the $17.0 million fair value of the new convertible notes (including the same principal amount of $13.1 million, plus the $3.9 million fair value of the beneficial conversion feature).</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February 1, 2021, in conjunction with the closing of our IPO, the Notes in the aggregate principal amount of $13.1 million were converted into 1,697,075 shares of common stock at the election of us at a conversion price of $7.72 per share.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Significant Judgments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following sources: (1) equipment sales, (2) services sales and (3) construction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contracts with customers using a five-step model, which is described below:</w:t>
      </w:r>
    </w:p>
    <w:p>
      <w:pPr>
        <w:pStyle w:val="TextBody"/>
        <w:spacing w:before="0" w:after="0"/>
        <w:ind w:left="0" w:right="0" w:firstLine="360"/>
        <w:rPr>
          <w:caps w:val="false"/>
          <w:smallCaps w:val="false"/>
        </w:rPr>
      </w:pPr>
      <w:r>
        <w:rPr>
          <w:caps w:val="false"/>
          <w:smallCaps w:val="false"/>
        </w:rPr>
        <w:t> </w:t>
      </w:r>
    </w:p>
    <w:tbl>
      <w:tblPr>
        <w:tblW w:w="2733" w:type="dxa"/>
        <w:jc w:val="left"/>
        <w:tblInd w:w="0" w:type="dxa"/>
        <w:tblCellMar>
          <w:top w:w="0" w:type="dxa"/>
          <w:left w:w="0" w:type="dxa"/>
          <w:bottom w:w="0" w:type="dxa"/>
          <w:right w:w="0" w:type="dxa"/>
        </w:tblCellMar>
      </w:tblPr>
      <w:tblGrid>
        <w:gridCol w:w="38"/>
        <w:gridCol w:w="170"/>
        <w:gridCol w:w="25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identify the customer contract;</w:t>
            </w:r>
          </w:p>
        </w:tc>
      </w:tr>
    </w:tbl>
    <w:p>
      <w:pPr>
        <w:pStyle w:val="TextBody"/>
        <w:rPr>
          <w:caps w:val="false"/>
          <w:smallCaps w:val="false"/>
        </w:rPr>
      </w:pPr>
      <w:r>
        <w:rPr>
          <w:caps w:val="false"/>
          <w:smallCaps w:val="false"/>
        </w:rPr>
        <w:t> </w:t>
      </w:r>
    </w:p>
    <w:tbl>
      <w:tblPr>
        <w:tblW w:w="4278" w:type="dxa"/>
        <w:jc w:val="left"/>
        <w:tblInd w:w="0" w:type="dxa"/>
        <w:tblCellMar>
          <w:top w:w="0" w:type="dxa"/>
          <w:left w:w="0" w:type="dxa"/>
          <w:bottom w:w="0" w:type="dxa"/>
          <w:right w:w="0" w:type="dxa"/>
        </w:tblCellMar>
      </w:tblPr>
      <w:tblGrid>
        <w:gridCol w:w="38"/>
        <w:gridCol w:w="170"/>
        <w:gridCol w:w="40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0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identify performance obligations that are distinct;</w:t>
            </w:r>
          </w:p>
        </w:tc>
      </w:tr>
    </w:tbl>
    <w:p>
      <w:pPr>
        <w:pStyle w:val="TextBody"/>
        <w:rPr>
          <w:caps w:val="false"/>
          <w:smallCaps w:val="false"/>
        </w:rPr>
      </w:pPr>
      <w:r>
        <w:rPr>
          <w:caps w:val="false"/>
          <w:smallCaps w:val="false"/>
        </w:rPr>
        <w:t> </w:t>
      </w:r>
    </w:p>
    <w:tbl>
      <w:tblPr>
        <w:tblW w:w="2808" w:type="dxa"/>
        <w:jc w:val="left"/>
        <w:tblInd w:w="0" w:type="dxa"/>
        <w:tblCellMar>
          <w:top w:w="0" w:type="dxa"/>
          <w:left w:w="0" w:type="dxa"/>
          <w:bottom w:w="0" w:type="dxa"/>
          <w:right w:w="0" w:type="dxa"/>
        </w:tblCellMar>
      </w:tblPr>
      <w:tblGrid>
        <w:gridCol w:w="38"/>
        <w:gridCol w:w="17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6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rPr>
          <w:caps w:val="false"/>
          <w:smallCaps w:val="false"/>
        </w:rPr>
      </w:pPr>
      <w:r>
        <w:rPr>
          <w:caps w:val="false"/>
          <w:smallCaps w:val="false"/>
        </w:rPr>
        <w:t> </w:t>
      </w:r>
    </w:p>
    <w:tbl>
      <w:tblPr>
        <w:tblW w:w="6183" w:type="dxa"/>
        <w:jc w:val="left"/>
        <w:tblInd w:w="0" w:type="dxa"/>
        <w:tblCellMar>
          <w:top w:w="0" w:type="dxa"/>
          <w:left w:w="0" w:type="dxa"/>
          <w:bottom w:w="0" w:type="dxa"/>
          <w:right w:w="0" w:type="dxa"/>
        </w:tblCellMar>
      </w:tblPr>
      <w:tblGrid>
        <w:gridCol w:w="38"/>
        <w:gridCol w:w="170"/>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97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allocate the transaction price to the distinct performance obligations; and</w:t>
            </w:r>
          </w:p>
        </w:tc>
      </w:tr>
    </w:tbl>
    <w:p>
      <w:pPr>
        <w:pStyle w:val="TextBody"/>
        <w:rPr>
          <w:caps w:val="false"/>
          <w:smallCaps w:val="false"/>
        </w:rPr>
      </w:pPr>
      <w:r>
        <w:rPr>
          <w:caps w:val="false"/>
          <w:smallCaps w:val="false"/>
        </w:rPr>
        <w:t> </w:t>
      </w:r>
    </w:p>
    <w:tbl>
      <w:tblPr>
        <w:tblW w:w="5313" w:type="dxa"/>
        <w:jc w:val="left"/>
        <w:tblInd w:w="0" w:type="dxa"/>
        <w:tblCellMar>
          <w:top w:w="0" w:type="dxa"/>
          <w:left w:w="0" w:type="dxa"/>
          <w:bottom w:w="0" w:type="dxa"/>
          <w:right w:w="0" w:type="dxa"/>
        </w:tblCellMar>
      </w:tblPr>
      <w:tblGrid>
        <w:gridCol w:w="38"/>
        <w:gridCol w:w="170"/>
        <w:gridCol w:w="51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10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recognize revenue as the performance obligations are satisfied.</w:t>
            </w:r>
          </w:p>
        </w:tc>
      </w:tr>
    </w:tbl>
    <w:p>
      <w:pPr>
        <w:pStyle w:val="TextBody"/>
        <w:spacing w:before="0" w:after="0"/>
        <w:ind w:left="0" w:right="0" w:firstLine="360"/>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Identify the customer contract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Identify performance obligations that are distinct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Determine the transaction price</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we expect to be entitled in exchange for transferring goods or services to a customer, excluding sales taxes that are collected on behalf of government agencies.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Allocate the transaction price to distinct performance obligations</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Recognize revenue as the performance obligations are satisfied</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by transferring control of a promised product or service to a customer.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Significant Judgments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that can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the cost-plus margin method to determine the SSP for equipment and buildout services. It is based on the cost of the services from third parties, plus a reasonable markup that we believe is reflective of a market-based reseller margin.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SSP for services in time and materials contracts is determined by observable prices in standalone services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contracts have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years ended December 31, 2021 and 2020, we did not have any such financial income.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Business Combinations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critical estimates in valuing certain of the intangible assets we have acquired or may acquire in the future include but are not limited to:</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future expected cash flows from software license sales, support agreements, consulting contracts, other customer contracts, and acquired developed technologies;</w:t>
            </w:r>
          </w:p>
        </w:tc>
      </w:tr>
    </w:tbl>
    <w:p>
      <w:pPr>
        <w:pStyle w:val="TextBody"/>
        <w:spacing w:before="0" w:after="0"/>
        <w:ind w:left="45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expected costs to develop in-process research and development into commercially viable products and estimated cash flows from the projects when completed;</w:t>
            </w:r>
          </w:p>
        </w:tc>
      </w:tr>
    </w:tbl>
    <w:p>
      <w:pPr>
        <w:pStyle w:val="TextBody"/>
        <w:spacing w:before="0" w:after="0"/>
        <w:ind w:left="45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sz w:val="20"/>
              </w:rPr>
            </w:pPr>
            <w:r>
              <w:rPr>
                <w:sz w:val="20"/>
              </w:rPr>
              <w:t>the acquired company’s brand and competitive position, as well as assumptions about the period of time the acquired brand will continue to be used in the combined company’s product portfolio;</w:t>
            </w:r>
          </w:p>
        </w:tc>
      </w:tr>
    </w:tbl>
    <w:p>
      <w:pPr>
        <w:pStyle w:val="TextBody"/>
        <w:spacing w:before="0" w:after="0"/>
        <w:ind w:left="450" w:right="0" w:hanging="0"/>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75"/>
        <w:gridCol w:w="170"/>
        <w:gridCol w:w="30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rPr>
                <w:sz w:val="20"/>
              </w:rPr>
            </w:pPr>
            <w:r>
              <w:rPr>
                <w:sz w:val="20"/>
              </w:rPr>
              <w:t>cost of capital and discount rates; and</w:t>
            </w:r>
          </w:p>
        </w:tc>
      </w:tr>
    </w:tbl>
    <w:p>
      <w:pPr>
        <w:pStyle w:val="TextBody"/>
        <w:spacing w:before="0" w:after="0"/>
        <w:ind w:left="450" w:right="0" w:hanging="0"/>
        <w:rPr>
          <w:caps w:val="false"/>
          <w:smallCaps w:val="false"/>
        </w:rPr>
      </w:pPr>
      <w:r>
        <w:rPr>
          <w:caps w:val="false"/>
          <w:smallCaps w:val="false"/>
        </w:rPr>
        <w:t> </w:t>
      </w:r>
    </w:p>
    <w:tbl>
      <w:tblPr>
        <w:tblW w:w="9175" w:type="dxa"/>
        <w:jc w:val="left"/>
        <w:tblInd w:w="0" w:type="dxa"/>
        <w:tblCellMar>
          <w:top w:w="0" w:type="dxa"/>
          <w:left w:w="0" w:type="dxa"/>
          <w:bottom w:w="0" w:type="dxa"/>
          <w:right w:w="0" w:type="dxa"/>
        </w:tblCellMar>
      </w:tblPr>
      <w:tblGrid>
        <w:gridCol w:w="75"/>
        <w:gridCol w:w="170"/>
        <w:gridCol w:w="89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930" w:type="dxa"/>
            <w:tcBorders/>
            <w:shd w:fill="auto" w:val="clear"/>
            <w:vAlign w:val="center"/>
          </w:tcPr>
          <w:p>
            <w:pPr>
              <w:pStyle w:val="TableContents"/>
              <w:spacing w:before="0" w:after="283"/>
              <w:rPr>
                <w:sz w:val="20"/>
              </w:rPr>
            </w:pPr>
            <w:r>
              <w:rPr>
                <w:sz w:val="20"/>
              </w:rPr>
              <w:t>estimating the useful lives of acquired assets as well as the pattern or manner in which the assets will amortize.</w:t>
            </w:r>
          </w:p>
        </w:tc>
      </w:tr>
    </w:tbl>
    <w:p>
      <w:pPr>
        <w:pStyle w:val="TextBody"/>
        <w:spacing w:before="0" w:after="0"/>
        <w:ind w:left="45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pStyle w:val="TextBody"/>
        <w:spacing w:before="0" w:after="0"/>
        <w:ind w:left="0" w:right="0" w:firstLine="360"/>
        <w:rPr>
          <w:caps w:val="false"/>
          <w:smallCaps w:val="false"/>
        </w:rPr>
      </w:pPr>
      <w:r>
        <w:rPr>
          <w:caps w:val="false"/>
          <w:smallCaps w:val="false"/>
        </w:rPr>
        <w:t> </w:t>
      </w:r>
    </w:p>
    <w:p>
      <w:pPr>
        <w:pStyle w:val="TextBody"/>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Goodwill and Intangible Assets</w:t>
      </w:r>
    </w:p>
    <w:p>
      <w:pPr>
        <w:pStyle w:val="TextBody"/>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 is the result of the acquisition of TriGrow, which occurred in 2020, the acquisition of Sinclair which occurred in 2021, and the acquisition of PurePressure, which also occurred in 2021. As a result of these transactions, customer relationships, acquired technology, non-compete agreements and trade name were identified as intangible assets, and are amortized over their estimated useful lives.</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 There have been no impairment charges recorded for fiscal 2020 and fiscal 2021.</w:t>
      </w:r>
    </w:p>
    <w:p>
      <w:pPr>
        <w:pStyle w:val="TextBody"/>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the discussion of our operating results that follows be read in conjunction with the critical accounting policies disclosed above.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2021 and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2021 and 2020:</w:t>
      </w:r>
    </w:p>
    <w:p>
      <w:pPr>
        <w:pStyle w:val="TextBody"/>
        <w:spacing w:before="0" w:after="0"/>
        <w:ind w:left="0" w:right="0" w:hanging="0"/>
        <w:rPr>
          <w:caps w:val="false"/>
          <w:smallCaps w:val="false"/>
        </w:rPr>
      </w:pPr>
      <w:r>
        <w:rPr>
          <w:caps w:val="false"/>
          <w:smallCaps w:val="false"/>
        </w:rPr>
        <w:t> </w:t>
      </w:r>
    </w:p>
    <w:tbl>
      <w:tblPr>
        <w:tblW w:w="9965" w:type="dxa"/>
        <w:jc w:val="left"/>
        <w:tblInd w:w="0" w:type="dxa"/>
        <w:tblCellMar>
          <w:top w:w="0" w:type="dxa"/>
          <w:left w:w="0" w:type="dxa"/>
          <w:bottom w:w="0" w:type="dxa"/>
          <w:right w:w="0" w:type="dxa"/>
        </w:tblCellMar>
      </w:tblPr>
      <w:tblGrid>
        <w:gridCol w:w="7280"/>
        <w:gridCol w:w="60"/>
        <w:gridCol w:w="140"/>
        <w:gridCol w:w="1100"/>
        <w:gridCol w:w="95"/>
        <w:gridCol w:w="60"/>
        <w:gridCol w:w="140"/>
        <w:gridCol w:w="980"/>
        <w:gridCol w:w="110"/>
      </w:tblGrid>
      <w:tr>
        <w:trPr/>
        <w:tc>
          <w:tcPr>
            <w:tcW w:w="72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51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Years ended</w:t>
              <w:br/>
              <w:t>December 31,</w:t>
            </w:r>
          </w:p>
        </w:tc>
        <w:tc>
          <w:tcPr>
            <w:tcW w:w="110" w:type="dxa"/>
            <w:tcBorders/>
            <w:shd w:fill="auto" w:val="clear"/>
            <w:vAlign w:val="center"/>
          </w:tcPr>
          <w:p>
            <w:pPr>
              <w:pStyle w:val="TableContents"/>
              <w:spacing w:before="0" w:after="283"/>
              <w:jc w:val="center"/>
              <w:rPr/>
            </w:pPr>
            <w:r>
              <w:rPr/>
              <w:t> </w:t>
            </w:r>
          </w:p>
        </w:tc>
      </w:tr>
      <w:tr>
        <w:trPr/>
        <w:tc>
          <w:tcPr>
            <w:tcW w:w="7280" w:type="dxa"/>
            <w:tcBorders>
              <w:bottom w:val="single" w:sz="12" w:space="0" w:color="000000"/>
            </w:tcBorders>
            <w:shd w:fill="auto" w:val="clear"/>
            <w:tcMar>
              <w:bottom w:w="28" w:type="dxa"/>
            </w:tcMar>
            <w:vAlign w:val="center"/>
          </w:tcPr>
          <w:p>
            <w:pPr>
              <w:pStyle w:val="TableContents"/>
              <w:spacing w:before="0" w:after="283"/>
              <w:jc w:val="left"/>
              <w:rPr>
                <w:b/>
              </w:rPr>
            </w:pPr>
            <w:r>
              <w:rPr>
                <w:b/>
              </w:rPr>
              <w:t>(Dollar amounts, excluding share and per share amounts, in thousands)</w:t>
            </w:r>
          </w:p>
        </w:tc>
        <w:tc>
          <w:tcPr>
            <w:tcW w:w="60" w:type="dxa"/>
            <w:tcBorders/>
            <w:shd w:fill="auto" w:val="cle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jc w:val="center"/>
              <w:rPr/>
            </w:pPr>
            <w:r>
              <w:rPr/>
              <w:t> </w:t>
            </w:r>
          </w:p>
        </w:tc>
      </w:tr>
      <w:tr>
        <w:trPr/>
        <w:tc>
          <w:tcPr>
            <w:tcW w:w="7280" w:type="dxa"/>
            <w:tcBorders/>
            <w:shd w:fill="CCEEFF" w:val="clear"/>
            <w:vAlign w:val="center"/>
          </w:tcPr>
          <w:p>
            <w:pPr>
              <w:pStyle w:val="TableContents"/>
              <w:spacing w:before="0" w:after="283"/>
              <w:jc w:val="left"/>
              <w:rPr/>
            </w:pPr>
            <w:r>
              <w:rPr/>
              <w:t>Revenue,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59,859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12,087</w:t>
            </w:r>
          </w:p>
        </w:tc>
        <w:tc>
          <w:tcPr>
            <w:tcW w:w="110" w:type="dxa"/>
            <w:tcBorders/>
            <w:shd w:fill="CCEEFF" w:val="clear"/>
            <w:vAlign w:val="center"/>
          </w:tcPr>
          <w:p>
            <w:pPr>
              <w:pStyle w:val="TableContents"/>
              <w:spacing w:before="0" w:after="283"/>
              <w:jc w:val="left"/>
              <w:rPr/>
            </w:pPr>
            <w:r>
              <w:rPr/>
              <w:t> </w:t>
            </w:r>
          </w:p>
        </w:tc>
      </w:tr>
      <w:tr>
        <w:trPr/>
        <w:tc>
          <w:tcPr>
            <w:tcW w:w="7280" w:type="dxa"/>
            <w:tcBorders/>
            <w:shd w:fill="auto" w:val="clear"/>
            <w:vAlign w:val="center"/>
          </w:tcPr>
          <w:p>
            <w:pPr>
              <w:pStyle w:val="TableContents"/>
              <w:spacing w:before="0" w:after="283"/>
              <w:jc w:val="left"/>
              <w:rPr/>
            </w:pPr>
            <w:r>
              <w:rPr/>
              <w:t>Cost of goods sold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54,625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11,517</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Gross profit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5,234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570</w:t>
            </w:r>
          </w:p>
        </w:tc>
        <w:tc>
          <w:tcPr>
            <w:tcW w:w="110" w:type="dxa"/>
            <w:tcBorders/>
            <w:shd w:fill="CCEEFF" w:val="clear"/>
            <w:vAlign w:val="center"/>
          </w:tcPr>
          <w:p>
            <w:pPr>
              <w:pStyle w:val="TableContents"/>
              <w:spacing w:before="0" w:after="283"/>
              <w:jc w:val="left"/>
              <w:rPr/>
            </w:pPr>
            <w:r>
              <w:rPr/>
              <w:t> </w:t>
            </w:r>
          </w:p>
        </w:tc>
      </w:tr>
      <w:tr>
        <w:trPr/>
        <w:tc>
          <w:tcPr>
            <w:tcW w:w="7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Selling, 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34,970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9,832</w:t>
            </w:r>
          </w:p>
        </w:tc>
        <w:tc>
          <w:tcPr>
            <w:tcW w:w="110" w:type="dxa"/>
            <w:tcBorders/>
            <w:shd w:fill="CCEEFF" w:val="clear"/>
            <w:vAlign w:val="center"/>
          </w:tcPr>
          <w:p>
            <w:pPr>
              <w:pStyle w:val="TableContents"/>
              <w:spacing w:before="0" w:after="283"/>
              <w:jc w:val="left"/>
              <w:rPr/>
            </w:pPr>
            <w:r>
              <w:rPr/>
              <w:t> </w:t>
            </w:r>
          </w:p>
        </w:tc>
      </w:tr>
      <w:tr>
        <w:trPr/>
        <w:tc>
          <w:tcPr>
            <w:tcW w:w="7280" w:type="dxa"/>
            <w:tcBorders/>
            <w:shd w:fill="auto" w:val="clear"/>
            <w:vAlign w:val="center"/>
          </w:tcPr>
          <w:p>
            <w:pPr>
              <w:pStyle w:val="TableContents"/>
              <w:spacing w:before="0" w:after="283"/>
              <w:jc w:val="left"/>
              <w:rPr/>
            </w:pPr>
            <w:r>
              <w:rPr/>
              <w:t>Research and development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3,925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3,354</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Change in contingent consideration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1,412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80" w:type="dxa"/>
            <w:tcBorders/>
            <w:shd w:fill="auto" w:val="clear"/>
            <w:vAlign w:val="center"/>
          </w:tcPr>
          <w:p>
            <w:pPr>
              <w:pStyle w:val="TableContents"/>
              <w:spacing w:before="0" w:after="283"/>
              <w:jc w:val="left"/>
              <w:rPr/>
            </w:pPr>
            <w:r>
              <w:rPr/>
              <w:t>Total operating expenses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40,307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13,186</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(35,073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(12,616</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Interest income (expense),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74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(481</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Other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Gain (loss) on extinguishment of notes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2,685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(5,618</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Gain on forgiveness of PPP loan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45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Change in fair value of derivative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(2,924</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Other income (expense), net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2,773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(9,023</w:t>
            </w:r>
          </w:p>
        </w:tc>
        <w:tc>
          <w:tcPr>
            <w:tcW w:w="110" w:type="dxa"/>
            <w:tcBorders/>
            <w:shd w:fill="auto" w:val="clear"/>
            <w:vAlign w:val="center"/>
          </w:tcPr>
          <w:p>
            <w:pPr>
              <w:pStyle w:val="TableContents"/>
              <w:spacing w:before="0" w:after="283"/>
              <w:jc w:val="left"/>
              <w:rPr/>
            </w:pPr>
            <w:r>
              <w:rPr/>
              <w:t>)</w:t>
            </w:r>
          </w:p>
        </w:tc>
      </w:tr>
      <w:tr>
        <w:trPr/>
        <w:tc>
          <w:tcPr>
            <w:tcW w:w="7280" w:type="dxa"/>
            <w:tcBorders/>
            <w:shd w:fill="CCEEFF" w:val="clear"/>
            <w:vAlign w:val="center"/>
          </w:tcPr>
          <w:p>
            <w:pPr>
              <w:pStyle w:val="TableContents"/>
              <w:spacing w:before="0" w:after="283"/>
              <w:jc w:val="left"/>
              <w:rPr/>
            </w:pPr>
            <w:r>
              <w:rPr/>
              <w:t>Net loss before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(32,300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(21,639</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Income tax provision</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25</w:t>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110" w:type="dxa"/>
            <w:tcBorders/>
            <w:shd w:fill="auto" w:val="clear"/>
            <w:vAlign w:val="center"/>
          </w:tcPr>
          <w:p>
            <w:pPr>
              <w:pStyle w:val="TableContents"/>
              <w:spacing w:before="0" w:after="283"/>
              <w:jc w:val="left"/>
              <w:rPr/>
            </w:pPr>
            <w:r>
              <w:rPr/>
              <w:t> </w:t>
            </w:r>
          </w:p>
        </w:tc>
      </w:tr>
      <w:tr>
        <w:trPr/>
        <w:tc>
          <w:tcPr>
            <w:tcW w:w="728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(32,325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(21,639</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Income (loss) attributable to non-controlling interest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140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(22</w:t>
            </w:r>
          </w:p>
        </w:tc>
        <w:tc>
          <w:tcPr>
            <w:tcW w:w="110" w:type="dxa"/>
            <w:tcBorders/>
            <w:shd w:fill="auto" w:val="clear"/>
            <w:vAlign w:val="center"/>
          </w:tcPr>
          <w:p>
            <w:pPr>
              <w:pStyle w:val="TableContents"/>
              <w:spacing w:before="0" w:after="283"/>
              <w:jc w:val="left"/>
              <w:rPr/>
            </w:pPr>
            <w:r>
              <w:rPr/>
              <w:t>)</w:t>
            </w:r>
          </w:p>
        </w:tc>
      </w:tr>
      <w:tr>
        <w:trPr/>
        <w:tc>
          <w:tcPr>
            <w:tcW w:w="7280" w:type="dxa"/>
            <w:tcBorders/>
            <w:shd w:fill="CCEEFF" w:val="clear"/>
            <w:vAlign w:val="center"/>
          </w:tcPr>
          <w:p>
            <w:pPr>
              <w:pStyle w:val="TableContents"/>
              <w:spacing w:before="0" w:after="283"/>
              <w:jc w:val="left"/>
              <w:rPr/>
            </w:pPr>
            <w:r>
              <w:rPr/>
              <w:t>Net loss attributable to Agrify Corporation</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(32,465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(21,617</w:t>
            </w:r>
          </w:p>
        </w:tc>
        <w:tc>
          <w:tcPr>
            <w:tcW w:w="110" w:type="dxa"/>
            <w:tcBorders/>
            <w:shd w:fill="CCEEFF" w:val="clear"/>
            <w:vAlign w:val="center"/>
          </w:tcPr>
          <w:p>
            <w:pPr>
              <w:pStyle w:val="TableContents"/>
              <w:spacing w:before="0" w:after="283"/>
              <w:jc w:val="left"/>
              <w:rPr/>
            </w:pPr>
            <w:r>
              <w:rPr/>
              <w:t>)</w:t>
            </w:r>
          </w:p>
        </w:tc>
      </w:tr>
      <w:tr>
        <w:trPr/>
        <w:tc>
          <w:tcPr>
            <w:tcW w:w="7280" w:type="dxa"/>
            <w:tcBorders/>
            <w:shd w:fill="auto" w:val="clear"/>
            <w:vAlign w:val="center"/>
          </w:tcPr>
          <w:p>
            <w:pPr>
              <w:pStyle w:val="TableContents"/>
              <w:spacing w:before="0" w:after="283"/>
              <w:jc w:val="left"/>
              <w:rPr/>
            </w:pPr>
            <w:r>
              <w:rPr/>
              <w:t>Net loss per share attributable to common stockholders – basic and diluted</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(1.69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(5.32</w:t>
            </w:r>
          </w:p>
        </w:tc>
        <w:tc>
          <w:tcPr>
            <w:tcW w:w="110" w:type="dxa"/>
            <w:tcBorders/>
            <w:shd w:fill="auto" w:val="clear"/>
            <w:vAlign w:val="center"/>
          </w:tcPr>
          <w:p>
            <w:pPr>
              <w:pStyle w:val="TableContents"/>
              <w:spacing w:before="0" w:after="283"/>
              <w:jc w:val="left"/>
              <w:rPr/>
            </w:pPr>
            <w:r>
              <w:rPr/>
              <w:t>)</w:t>
            </w:r>
          </w:p>
        </w:tc>
      </w:tr>
      <w:tr>
        <w:trPr/>
        <w:tc>
          <w:tcPr>
            <w:tcW w:w="7280" w:type="dxa"/>
            <w:tcBorders/>
            <w:shd w:fill="CCEEFF" w:val="clear"/>
            <w:vAlign w:val="center"/>
          </w:tcPr>
          <w:p>
            <w:pPr>
              <w:pStyle w:val="TableContents"/>
              <w:spacing w:before="0" w:after="283"/>
              <w:rPr/>
            </w:pPr>
            <w:r>
              <w:rPr/>
              <w:t>Weighted average common shares outstanding – basic and diluted</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19,090,932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4,175,867</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provide our customers with a variety of products to address their entire indoor agriculture needs. Our core product offering includes our Agrify Vertical Farming Units (or “VFUs”) and Agrify Integrated Grow Racks with our Agrify Insights software, which in 2020 and 2021 are supplemented with environmental control products, grow lights, facility build-out services and extraction equipment.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monitor and address the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fluctuations in prices globally, with corresponding impacts to sales and interim profits.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 -processing and testing services to transform harvest into a sellable product. We believe that delivery of each solution in the various stages in the process will generate sales of additional solutions and services.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revenue for the years ended December 31, 2021 and 2020:</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871"/>
        <w:gridCol w:w="60"/>
        <w:gridCol w:w="140"/>
        <w:gridCol w:w="680"/>
        <w:gridCol w:w="60"/>
        <w:gridCol w:w="60"/>
        <w:gridCol w:w="140"/>
        <w:gridCol w:w="680"/>
        <w:gridCol w:w="60"/>
        <w:gridCol w:w="60"/>
        <w:gridCol w:w="140"/>
        <w:gridCol w:w="680"/>
        <w:gridCol w:w="95"/>
        <w:gridCol w:w="60"/>
        <w:gridCol w:w="152"/>
        <w:gridCol w:w="963"/>
        <w:gridCol w:w="304"/>
      </w:tblGrid>
      <w:tr>
        <w:trPr/>
        <w:tc>
          <w:tcPr>
            <w:tcW w:w="587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r>
      <w:tr>
        <w:trPr/>
        <w:tc>
          <w:tcPr>
            <w:tcW w:w="5871"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Change</w:t>
            </w:r>
          </w:p>
        </w:tc>
        <w:tc>
          <w:tcPr>
            <w:tcW w:w="304" w:type="dxa"/>
            <w:tcBorders/>
            <w:shd w:fill="auto" w:val="clear"/>
            <w:vAlign w:val="center"/>
          </w:tcPr>
          <w:p>
            <w:pPr>
              <w:pStyle w:val="TableContents"/>
              <w:spacing w:before="0" w:after="283"/>
              <w:rPr/>
            </w:pPr>
            <w:r>
              <w:rPr/>
              <w:t> </w:t>
            </w:r>
          </w:p>
        </w:tc>
      </w:tr>
      <w:tr>
        <w:trPr/>
        <w:tc>
          <w:tcPr>
            <w:tcW w:w="5871" w:type="dxa"/>
            <w:tcBorders/>
            <w:shd w:fill="CCEEFF" w:val="clear"/>
            <w:vAlign w:val="center"/>
          </w:tcPr>
          <w:p>
            <w:pPr>
              <w:pStyle w:val="TableContents"/>
              <w:spacing w:before="0" w:after="283"/>
              <w:jc w:val="left"/>
              <w:rPr/>
            </w:pPr>
            <w:r>
              <w:rPr/>
              <w:t>Cultivation solutions, including ancillary products and services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11,354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4,883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6,471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963" w:type="dxa"/>
            <w:tcBorders/>
            <w:shd w:fill="CCEEFF" w:val="clear"/>
            <w:vAlign w:val="center"/>
          </w:tcPr>
          <w:p>
            <w:pPr>
              <w:pStyle w:val="TableContents"/>
              <w:spacing w:before="0" w:after="283"/>
              <w:jc w:val="right"/>
              <w:rPr/>
            </w:pPr>
            <w:r>
              <w:rPr/>
              <w:t>133</w:t>
            </w:r>
          </w:p>
        </w:tc>
        <w:tc>
          <w:tcPr>
            <w:tcW w:w="304" w:type="dxa"/>
            <w:tcBorders/>
            <w:shd w:fill="CCEEFF" w:val="clear"/>
            <w:vAlign w:val="center"/>
          </w:tcPr>
          <w:p>
            <w:pPr>
              <w:pStyle w:val="TableContents"/>
              <w:spacing w:before="0" w:after="283"/>
              <w:jc w:val="left"/>
              <w:rPr/>
            </w:pPr>
            <w:r>
              <w:rPr/>
              <w:t>%</w:t>
            </w:r>
          </w:p>
        </w:tc>
      </w:tr>
      <w:tr>
        <w:trPr/>
        <w:tc>
          <w:tcPr>
            <w:tcW w:w="5871" w:type="dxa"/>
            <w:tcBorders/>
            <w:shd w:fill="auto" w:val="clear"/>
            <w:vAlign w:val="center"/>
          </w:tcPr>
          <w:p>
            <w:pPr>
              <w:pStyle w:val="TableContents"/>
              <w:spacing w:before="0" w:after="283"/>
              <w:jc w:val="left"/>
              <w:rPr/>
            </w:pPr>
            <w:r>
              <w:rPr/>
              <w:t>Agrify Insights software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24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(16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963" w:type="dxa"/>
            <w:tcBorders/>
            <w:shd w:fill="auto" w:val="clear"/>
            <w:vAlign w:val="center"/>
          </w:tcPr>
          <w:p>
            <w:pPr>
              <w:pStyle w:val="TableContents"/>
              <w:spacing w:before="0" w:after="283"/>
              <w:jc w:val="right"/>
              <w:rPr/>
            </w:pPr>
            <w:r>
              <w:rPr/>
              <w:t>(67</w:t>
            </w:r>
          </w:p>
        </w:tc>
        <w:tc>
          <w:tcPr>
            <w:tcW w:w="304" w:type="dxa"/>
            <w:tcBorders/>
            <w:shd w:fill="auto" w:val="clear"/>
            <w:vAlign w:val="center"/>
          </w:tcPr>
          <w:p>
            <w:pPr>
              <w:pStyle w:val="TableContents"/>
              <w:spacing w:before="0" w:after="283"/>
              <w:jc w:val="left"/>
              <w:rPr/>
            </w:pPr>
            <w:r>
              <w:rPr/>
              <w:t>)%</w:t>
            </w:r>
          </w:p>
        </w:tc>
      </w:tr>
      <w:tr>
        <w:trPr/>
        <w:tc>
          <w:tcPr>
            <w:tcW w:w="5871" w:type="dxa"/>
            <w:tcBorders/>
            <w:shd w:fill="CCEEFF" w:val="clear"/>
            <w:vAlign w:val="center"/>
          </w:tcPr>
          <w:p>
            <w:pPr>
              <w:pStyle w:val="TableContents"/>
              <w:spacing w:before="0" w:after="283"/>
              <w:jc w:val="left"/>
              <w:rPr/>
            </w:pPr>
            <w:r>
              <w:rPr/>
              <w:t>Facility build-outs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36,193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7,180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29,013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963" w:type="dxa"/>
            <w:tcBorders/>
            <w:shd w:fill="CCEEFF" w:val="clear"/>
            <w:vAlign w:val="center"/>
          </w:tcPr>
          <w:p>
            <w:pPr>
              <w:pStyle w:val="TableContents"/>
              <w:spacing w:before="0" w:after="283"/>
              <w:jc w:val="right"/>
              <w:rPr/>
            </w:pPr>
            <w:r>
              <w:rPr/>
              <w:t>404</w:t>
            </w:r>
          </w:p>
        </w:tc>
        <w:tc>
          <w:tcPr>
            <w:tcW w:w="304" w:type="dxa"/>
            <w:tcBorders/>
            <w:shd w:fill="CCEEFF" w:val="clear"/>
            <w:vAlign w:val="center"/>
          </w:tcPr>
          <w:p>
            <w:pPr>
              <w:pStyle w:val="TableContents"/>
              <w:spacing w:before="0" w:after="283"/>
              <w:jc w:val="left"/>
              <w:rPr/>
            </w:pPr>
            <w:r>
              <w:rPr/>
              <w:t>%</w:t>
            </w:r>
          </w:p>
        </w:tc>
      </w:tr>
      <w:tr>
        <w:trPr/>
        <w:tc>
          <w:tcPr>
            <w:tcW w:w="5871" w:type="dxa"/>
            <w:tcBorders/>
            <w:shd w:fill="auto" w:val="clear"/>
            <w:vAlign w:val="center"/>
          </w:tcPr>
          <w:p>
            <w:pPr>
              <w:pStyle w:val="TableContents"/>
              <w:spacing w:before="0" w:after="283"/>
              <w:jc w:val="left"/>
              <w:rPr/>
            </w:pPr>
            <w:r>
              <w:rPr/>
              <w:t>Extraction solutions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12,304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12,304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63" w:type="dxa"/>
            <w:tcBorders>
              <w:bottom w:val="single" w:sz="12" w:space="0" w:color="000000"/>
            </w:tcBorders>
            <w:shd w:fill="auto" w:val="clear"/>
            <w:tcMar>
              <w:bottom w:w="28" w:type="dxa"/>
            </w:tcMar>
            <w:vAlign w:val="center"/>
          </w:tcPr>
          <w:p>
            <w:pPr>
              <w:pStyle w:val="TableContents"/>
              <w:spacing w:before="0" w:after="283"/>
              <w:jc w:val="right"/>
              <w:rPr/>
            </w:pPr>
            <w:r>
              <w:rPr/>
              <w:t>100</w:t>
            </w:r>
          </w:p>
        </w:tc>
        <w:tc>
          <w:tcPr>
            <w:tcW w:w="304" w:type="dxa"/>
            <w:tcBorders/>
            <w:shd w:fill="auto" w:val="clear"/>
            <w:vAlign w:val="center"/>
          </w:tcPr>
          <w:p>
            <w:pPr>
              <w:pStyle w:val="TableContents"/>
              <w:spacing w:before="0" w:after="283"/>
              <w:jc w:val="left"/>
              <w:rPr/>
            </w:pPr>
            <w:r>
              <w:rPr/>
              <w:t>%</w:t>
            </w:r>
          </w:p>
        </w:tc>
      </w:tr>
      <w:tr>
        <w:trPr/>
        <w:tc>
          <w:tcPr>
            <w:tcW w:w="587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59,859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12,087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47,772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63" w:type="dxa"/>
            <w:tcBorders>
              <w:bottom w:val="double" w:sz="10" w:space="0" w:color="000000"/>
            </w:tcBorders>
            <w:shd w:fill="CCEEFF" w:val="clear"/>
            <w:tcMar>
              <w:bottom w:w="28" w:type="dxa"/>
            </w:tcMar>
            <w:vAlign w:val="center"/>
          </w:tcPr>
          <w:p>
            <w:pPr>
              <w:pStyle w:val="TableContents"/>
              <w:spacing w:before="0" w:after="283"/>
              <w:jc w:val="right"/>
              <w:rPr/>
            </w:pPr>
            <w:r>
              <w:rPr/>
              <w:t>395</w:t>
            </w:r>
          </w:p>
        </w:tc>
        <w:tc>
          <w:tcPr>
            <w:tcW w:w="304" w:type="dxa"/>
            <w:tcBorders/>
            <w:shd w:fill="CCEEFF" w:val="clear"/>
            <w:vAlign w:val="center"/>
          </w:tcPr>
          <w:p>
            <w:pPr>
              <w:pStyle w:val="TableContents"/>
              <w:spacing w:before="0" w:after="283"/>
              <w:jc w:val="left"/>
              <w:rPr/>
            </w:pPr>
            <w:r>
              <w:rPr/>
              <w:t>%</w:t>
            </w:r>
          </w:p>
        </w:tc>
      </w:tr>
    </w:tbl>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for the year ended December 31, 2021 and 2020 were $59.9 million and $12.1 million, respectively, representing a year over year increase of $47.8 million. The comparative increase in revenue was generated primarily from facility build-outs, driven in large part by the current year introduction of our TTK Solution, an increase in stand-alone VFU equipment sales and incremental revenue contribution associated with extraction-based equipment sales, resulting from our October 1, 2021 acquisition of Precision and Cascade. The Precision-Cascade Acquisition accounted for $12.3 million of our revenue increase in 2021.</w:t>
      </w:r>
    </w:p>
    <w:p>
      <w:pPr>
        <w:pStyle w:val="TextBody"/>
        <w:rPr>
          <w:caps w:val="false"/>
          <w:smallCaps w:val="false"/>
        </w:rPr>
      </w:pPr>
      <w:r>
        <w:rPr>
          <w:caps w:val="false"/>
          <w:smallCaps w:val="false"/>
        </w:rPr>
        <w:t> </w:t>
      </w:r>
    </w:p>
    <w:p>
      <w:pPr>
        <w:pStyle w:val="TextBody"/>
        <w:rPr>
          <w:rFonts w:ascii="Times New Roman;serif" w:hAnsi="Times New Roman;serif"/>
          <w:b/>
          <w:i/>
          <w:caps w:val="false"/>
          <w:smallCaps w:val="false"/>
          <w:sz w:val="20"/>
        </w:rPr>
      </w:pPr>
      <w:r>
        <w:rPr>
          <w:rFonts w:ascii="Times New Roman;serif" w:hAnsi="Times New Roman;serif"/>
          <w:b/>
          <w:i/>
          <w:caps w:val="false"/>
          <w:smallCaps w:val="false"/>
          <w:sz w:val="20"/>
        </w:rPr>
        <w:t>Cost of Goods Sold</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a breakdown of our cost of goods sold for the years ended December 31, 2021 and 2020:</w:t>
      </w:r>
    </w:p>
    <w:p>
      <w:pPr>
        <w:pStyle w:val="TextBody"/>
        <w:spacing w:before="0" w:after="0"/>
        <w:ind w:left="0" w:right="0" w:firstLine="360"/>
        <w:rPr>
          <w:caps w:val="false"/>
          <w:smallCaps w:val="false"/>
        </w:rPr>
      </w:pPr>
      <w:r>
        <w:rPr>
          <w:caps w:val="false"/>
          <w:smallCaps w:val="false"/>
        </w:rPr>
        <w:t> </w:t>
      </w:r>
    </w:p>
    <w:tbl>
      <w:tblPr>
        <w:tblW w:w="10170" w:type="dxa"/>
        <w:jc w:val="left"/>
        <w:tblInd w:w="0" w:type="dxa"/>
        <w:tblCellMar>
          <w:top w:w="0" w:type="dxa"/>
          <w:left w:w="0" w:type="dxa"/>
          <w:bottom w:w="0" w:type="dxa"/>
          <w:right w:w="0" w:type="dxa"/>
        </w:tblCellMar>
      </w:tblPr>
      <w:tblGrid>
        <w:gridCol w:w="5945"/>
        <w:gridCol w:w="60"/>
        <w:gridCol w:w="140"/>
        <w:gridCol w:w="680"/>
        <w:gridCol w:w="60"/>
        <w:gridCol w:w="60"/>
        <w:gridCol w:w="140"/>
        <w:gridCol w:w="680"/>
        <w:gridCol w:w="60"/>
        <w:gridCol w:w="60"/>
        <w:gridCol w:w="140"/>
        <w:gridCol w:w="680"/>
        <w:gridCol w:w="60"/>
        <w:gridCol w:w="60"/>
        <w:gridCol w:w="152"/>
        <w:gridCol w:w="963"/>
        <w:gridCol w:w="230"/>
      </w:tblGrid>
      <w:tr>
        <w:trPr/>
        <w:tc>
          <w:tcPr>
            <w:tcW w:w="5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5945"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Change</w:t>
            </w:r>
          </w:p>
        </w:tc>
        <w:tc>
          <w:tcPr>
            <w:tcW w:w="230" w:type="dxa"/>
            <w:tcBorders/>
            <w:shd w:fill="auto" w:val="clear"/>
            <w:vAlign w:val="center"/>
          </w:tcPr>
          <w:p>
            <w:pPr>
              <w:pStyle w:val="TableContents"/>
              <w:spacing w:before="0" w:after="283"/>
              <w:rPr/>
            </w:pPr>
            <w:r>
              <w:rPr/>
              <w:t> </w:t>
            </w:r>
          </w:p>
        </w:tc>
      </w:tr>
      <w:tr>
        <w:trPr/>
        <w:tc>
          <w:tcPr>
            <w:tcW w:w="5945" w:type="dxa"/>
            <w:tcBorders/>
            <w:shd w:fill="CCEEFF" w:val="clear"/>
            <w:vAlign w:val="center"/>
          </w:tcPr>
          <w:p>
            <w:pPr>
              <w:pStyle w:val="TableContents"/>
              <w:spacing w:before="0" w:after="283"/>
              <w:jc w:val="left"/>
              <w:rPr/>
            </w:pPr>
            <w:r>
              <w:rPr/>
              <w:t>Cultivation solutions, including ancillary products and services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10,855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4,562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6,293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963" w:type="dxa"/>
            <w:tcBorders/>
            <w:shd w:fill="CCEEFF" w:val="clear"/>
            <w:vAlign w:val="center"/>
          </w:tcPr>
          <w:p>
            <w:pPr>
              <w:pStyle w:val="TableContents"/>
              <w:spacing w:before="0" w:after="283"/>
              <w:jc w:val="right"/>
              <w:rPr/>
            </w:pPr>
            <w:r>
              <w:rPr/>
              <w:t>138</w:t>
            </w:r>
          </w:p>
        </w:tc>
        <w:tc>
          <w:tcPr>
            <w:tcW w:w="230" w:type="dxa"/>
            <w:tcBorders/>
            <w:shd w:fill="CCEEFF" w:val="clear"/>
            <w:vAlign w:val="center"/>
          </w:tcPr>
          <w:p>
            <w:pPr>
              <w:pStyle w:val="TableContents"/>
              <w:spacing w:before="0" w:after="283"/>
              <w:jc w:val="left"/>
              <w:rPr/>
            </w:pPr>
            <w:r>
              <w:rPr/>
              <w:t>%</w:t>
            </w:r>
          </w:p>
        </w:tc>
      </w:tr>
      <w:tr>
        <w:trPr/>
        <w:tc>
          <w:tcPr>
            <w:tcW w:w="5945" w:type="dxa"/>
            <w:tcBorders/>
            <w:shd w:fill="auto" w:val="clear"/>
            <w:vAlign w:val="center"/>
          </w:tcPr>
          <w:p>
            <w:pPr>
              <w:pStyle w:val="TableContents"/>
              <w:spacing w:before="0" w:after="283"/>
              <w:jc w:val="left"/>
              <w:rPr/>
            </w:pPr>
            <w:r>
              <w:rPr/>
              <w:t>Agrify Insights software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963"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jc w:val="left"/>
              <w:rPr/>
            </w:pPr>
            <w:r>
              <w:rPr/>
              <w:t>%</w:t>
            </w:r>
          </w:p>
        </w:tc>
      </w:tr>
      <w:tr>
        <w:trPr/>
        <w:tc>
          <w:tcPr>
            <w:tcW w:w="5945" w:type="dxa"/>
            <w:tcBorders/>
            <w:shd w:fill="CCEEFF" w:val="clear"/>
            <w:vAlign w:val="center"/>
          </w:tcPr>
          <w:p>
            <w:pPr>
              <w:pStyle w:val="TableContents"/>
              <w:spacing w:before="0" w:after="283"/>
              <w:jc w:val="left"/>
              <w:rPr/>
            </w:pPr>
            <w:r>
              <w:rPr/>
              <w:t>Facility build-outs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35,012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6,955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28,057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963" w:type="dxa"/>
            <w:tcBorders/>
            <w:shd w:fill="CCEEFF" w:val="clear"/>
            <w:vAlign w:val="center"/>
          </w:tcPr>
          <w:p>
            <w:pPr>
              <w:pStyle w:val="TableContents"/>
              <w:spacing w:before="0" w:after="283"/>
              <w:jc w:val="right"/>
              <w:rPr/>
            </w:pPr>
            <w:r>
              <w:rPr/>
              <w:t>403</w:t>
            </w:r>
          </w:p>
        </w:tc>
        <w:tc>
          <w:tcPr>
            <w:tcW w:w="230" w:type="dxa"/>
            <w:tcBorders/>
            <w:shd w:fill="CCEEFF" w:val="clear"/>
            <w:vAlign w:val="center"/>
          </w:tcPr>
          <w:p>
            <w:pPr>
              <w:pStyle w:val="TableContents"/>
              <w:spacing w:before="0" w:after="283"/>
              <w:jc w:val="left"/>
              <w:rPr/>
            </w:pPr>
            <w:r>
              <w:rPr/>
              <w:t>%</w:t>
            </w:r>
          </w:p>
        </w:tc>
      </w:tr>
      <w:tr>
        <w:trPr/>
        <w:tc>
          <w:tcPr>
            <w:tcW w:w="5945" w:type="dxa"/>
            <w:tcBorders/>
            <w:shd w:fill="auto" w:val="clear"/>
            <w:vAlign w:val="center"/>
          </w:tcPr>
          <w:p>
            <w:pPr>
              <w:pStyle w:val="TableContents"/>
              <w:spacing w:before="0" w:after="283"/>
              <w:jc w:val="left"/>
              <w:rPr/>
            </w:pPr>
            <w:r>
              <w:rPr/>
              <w:t>Extraction solutions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8,758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8,758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63" w:type="dxa"/>
            <w:tcBorders>
              <w:bottom w:val="single" w:sz="12" w:space="0" w:color="000000"/>
            </w:tcBorders>
            <w:shd w:fill="auto" w:val="clear"/>
            <w:tcMar>
              <w:bottom w:w="28" w:type="dxa"/>
            </w:tcMar>
            <w:vAlign w:val="center"/>
          </w:tcPr>
          <w:p>
            <w:pPr>
              <w:pStyle w:val="TableContents"/>
              <w:spacing w:before="0" w:after="283"/>
              <w:jc w:val="right"/>
              <w:rPr/>
            </w:pPr>
            <w:r>
              <w:rPr/>
              <w:t>100</w:t>
            </w:r>
          </w:p>
        </w:tc>
        <w:tc>
          <w:tcPr>
            <w:tcW w:w="230" w:type="dxa"/>
            <w:tcBorders/>
            <w:shd w:fill="auto" w:val="clear"/>
            <w:vAlign w:val="center"/>
          </w:tcPr>
          <w:p>
            <w:pPr>
              <w:pStyle w:val="TableContents"/>
              <w:spacing w:before="0" w:after="283"/>
              <w:jc w:val="left"/>
              <w:rPr/>
            </w:pPr>
            <w:r>
              <w:rPr/>
              <w:t>%</w:t>
            </w:r>
          </w:p>
        </w:tc>
      </w:tr>
      <w:tr>
        <w:trPr/>
        <w:tc>
          <w:tcPr>
            <w:tcW w:w="59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54,625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11,517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43,108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63" w:type="dxa"/>
            <w:tcBorders>
              <w:bottom w:val="double" w:sz="10" w:space="0" w:color="000000"/>
            </w:tcBorders>
            <w:shd w:fill="CCEEFF" w:val="clear"/>
            <w:tcMar>
              <w:bottom w:w="28" w:type="dxa"/>
            </w:tcMar>
            <w:vAlign w:val="center"/>
          </w:tcPr>
          <w:p>
            <w:pPr>
              <w:pStyle w:val="TableContents"/>
              <w:spacing w:before="0" w:after="283"/>
              <w:jc w:val="right"/>
              <w:rPr/>
            </w:pPr>
            <w:r>
              <w:rPr/>
              <w:t>374</w:t>
            </w:r>
          </w:p>
        </w:tc>
        <w:tc>
          <w:tcPr>
            <w:tcW w:w="230" w:type="dxa"/>
            <w:tcBorders/>
            <w:shd w:fill="CCEEFF" w:val="clear"/>
            <w:vAlign w:val="center"/>
          </w:tcPr>
          <w:p>
            <w:pPr>
              <w:pStyle w:val="TableContents"/>
              <w:spacing w:before="0" w:after="283"/>
              <w:jc w:val="left"/>
              <w:rPr/>
            </w:pPr>
            <w:r>
              <w:rPr/>
              <w: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year over year increase in cost of goods sold is primarily associated with an increase in subcontractor construction costs related to our facility buildouts in 2021, including construction costs associated with design and build projects under our TTK Solutions. Additionally, an increase in equipment revenue in 2021, largely attributable to the fourth quarter of 2021 addition of extraction equipment (which was associated with the Precision and Cascade acquisition) served to increase the amount of internal and outsourced labor and materials costs recognized by the Company in 2021.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pacing w:before="0" w:after="0"/>
        <w:ind w:left="0" w:right="0" w:firstLine="360"/>
        <w:rPr>
          <w:caps w:val="false"/>
          <w:smallCaps w:val="false"/>
        </w:rPr>
      </w:pPr>
      <w:r>
        <w:rPr>
          <w:caps w:val="false"/>
          <w:smallCaps w:val="false"/>
        </w:rPr>
        <w:t> </w:t>
      </w:r>
    </w:p>
    <w:tbl>
      <w:tblPr>
        <w:tblW w:w="5830" w:type="dxa"/>
        <w:jc w:val="left"/>
        <w:tblInd w:w="0" w:type="dxa"/>
        <w:tblCellMar>
          <w:top w:w="0" w:type="dxa"/>
          <w:left w:w="0" w:type="dxa"/>
          <w:bottom w:w="0" w:type="dxa"/>
          <w:right w:w="0" w:type="dxa"/>
        </w:tblCellMar>
      </w:tblPr>
      <w:tblGrid>
        <w:gridCol w:w="2570"/>
        <w:gridCol w:w="60"/>
        <w:gridCol w:w="125"/>
        <w:gridCol w:w="485"/>
        <w:gridCol w:w="60"/>
        <w:gridCol w:w="60"/>
        <w:gridCol w:w="125"/>
        <w:gridCol w:w="335"/>
        <w:gridCol w:w="60"/>
        <w:gridCol w:w="60"/>
        <w:gridCol w:w="136"/>
        <w:gridCol w:w="529"/>
        <w:gridCol w:w="60"/>
        <w:gridCol w:w="60"/>
        <w:gridCol w:w="137"/>
        <w:gridCol w:w="768"/>
        <w:gridCol w:w="200"/>
      </w:tblGrid>
      <w:tr>
        <w:trPr/>
        <w:tc>
          <w:tcPr>
            <w:tcW w:w="25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7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totaled $5.2 million, or 8.7% of total revenue during the year ended December 31, 2021 compared to gross profit of $570 thousand, or 4.7% of total revenue during the year ended December 31, 2020. The comparative $4.7 million year over year improvement in gross profit, as well as the comparative improvement in gross profit margin, are primarily attributable to two specific fourth quarter of 2021 items. First, the Company completed a sale of older VFU equipment models to a customer, which resulted in a gross margin well above the Company's historical gross margin performance range as it relates to stand-alone VFU equipment sales. Second, was the positive lift in gross profit (and gross profit margin) associated with our extraction equipment revenue, which is expected to generate gross margin of approximately 30%, which is also well above the company's historical gross margin performance.</w:t>
      </w:r>
    </w:p>
    <w:p>
      <w:pPr>
        <w:pStyle w:val="TextBody"/>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2022.</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Selling, General and Administrative </w:t>
      </w:r>
    </w:p>
    <w:p>
      <w:pPr>
        <w:pStyle w:val="TextBody"/>
        <w:spacing w:before="0" w:after="0"/>
        <w:ind w:left="0" w:right="0" w:hanging="0"/>
        <w:rPr>
          <w:caps w:val="false"/>
          <w:smallCaps w:val="false"/>
        </w:rPr>
      </w:pPr>
      <w:r>
        <w:rPr>
          <w:caps w:val="false"/>
          <w:smallCaps w:val="false"/>
        </w:rPr>
        <w:t> </w:t>
      </w:r>
    </w:p>
    <w:tbl>
      <w:tblPr>
        <w:tblW w:w="6435" w:type="dxa"/>
        <w:jc w:val="left"/>
        <w:tblInd w:w="0" w:type="dxa"/>
        <w:tblCellMar>
          <w:top w:w="0" w:type="dxa"/>
          <w:left w:w="0" w:type="dxa"/>
          <w:bottom w:w="0" w:type="dxa"/>
          <w:right w:w="0" w:type="dxa"/>
        </w:tblCellMar>
      </w:tblPr>
      <w:tblGrid>
        <w:gridCol w:w="2870"/>
        <w:gridCol w:w="60"/>
        <w:gridCol w:w="125"/>
        <w:gridCol w:w="590"/>
        <w:gridCol w:w="60"/>
        <w:gridCol w:w="60"/>
        <w:gridCol w:w="125"/>
        <w:gridCol w:w="485"/>
        <w:gridCol w:w="60"/>
        <w:gridCol w:w="60"/>
        <w:gridCol w:w="125"/>
        <w:gridCol w:w="590"/>
        <w:gridCol w:w="60"/>
        <w:gridCol w:w="60"/>
        <w:gridCol w:w="137"/>
        <w:gridCol w:w="768"/>
        <w:gridCol w:w="200"/>
      </w:tblGrid>
      <w:tr>
        <w:trPr/>
        <w:tc>
          <w:tcPr>
            <w:tcW w:w="287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44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715"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05"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87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amounts in thousands</w:t>
            </w: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00" w:type="dxa"/>
            <w:tcBorders/>
            <w:shd w:fill="auto" w:val="clear"/>
            <w:vAlign w:val="center"/>
          </w:tcPr>
          <w:p>
            <w:pPr>
              <w:pStyle w:val="TableContents"/>
              <w:spacing w:before="0" w:after="283"/>
              <w:ind w:left="0" w:right="0" w:hanging="200"/>
              <w:jc w:val="center"/>
              <w:rPr>
                <w:caps w:val="false"/>
                <w:smallCaps w:val="false"/>
              </w:rPr>
            </w:pPr>
            <w:r>
              <w:rPr>
                <w:caps w:val="false"/>
                <w:smallCaps w:val="false"/>
              </w:rPr>
              <w:t> </w:t>
            </w:r>
          </w:p>
        </w:tc>
      </w:tr>
      <w:tr>
        <w:trPr/>
        <w:tc>
          <w:tcPr>
            <w:tcW w:w="28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20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(“SG&amp;A Expenses”) consist principally of salaries and related costs for personnel, including stock-based compensation and travel expenses, associated with selling, marketing, executive and other administrative functions. Other general and administrative expenses include, but are not limited to, professional fees for legal, consulting, depreciation and amortization and accounting services, as well as facility related costs.</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 increased by $25.1 million, or 256%, for the year ended December 31, 2021, compared to the same period in 2020. The increase is attributable mainly to payroll and related expenses increases of $4.1 million, an increase in stock-based compensation of $3.6 million, an increase in investor relations and directors’ and officers’ insurance of $3.1 million, an increase in legal, accounting and other operating expenses of $2.3 million, an increase in account receivable reserve for bad debt of $1.2 million, an increase in depreciation and amortization of $903 thousand, which primarily reflects an increase in amortization associated with the identified intangible assets in the acquisition of Precision and Cascade. Additionally, the increase in SG&amp;A Expense also includes a one-time investment banker termination fee of $2.4 million, direct acquisition costs of $4.6 million and approximately $2.8 million related to incremental SG&amp;A Expense associated with our fourth quarter 2021 acquisition of Precision and Cascade, which amount excludes one-time expenses related to direct acquisition costs, depreciation and amortization.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spacing w:before="0" w:after="0"/>
        <w:ind w:left="0" w:right="0" w:firstLine="360"/>
        <w:rPr>
          <w:caps w:val="false"/>
          <w:smallCaps w:val="false"/>
        </w:rPr>
      </w:pPr>
      <w:r>
        <w:rPr>
          <w:caps w:val="false"/>
          <w:smallCaps w:val="false"/>
        </w:rPr>
        <w:t> </w:t>
      </w:r>
    </w:p>
    <w:tbl>
      <w:tblPr>
        <w:tblW w:w="6520" w:type="dxa"/>
        <w:jc w:val="left"/>
        <w:tblInd w:w="0" w:type="dxa"/>
        <w:tblCellMar>
          <w:top w:w="0" w:type="dxa"/>
          <w:left w:w="0" w:type="dxa"/>
          <w:bottom w:w="0" w:type="dxa"/>
          <w:right w:w="0" w:type="dxa"/>
        </w:tblCellMar>
      </w:tblPr>
      <w:tblGrid>
        <w:gridCol w:w="3110"/>
        <w:gridCol w:w="60"/>
        <w:gridCol w:w="125"/>
        <w:gridCol w:w="485"/>
        <w:gridCol w:w="60"/>
        <w:gridCol w:w="60"/>
        <w:gridCol w:w="125"/>
        <w:gridCol w:w="485"/>
        <w:gridCol w:w="60"/>
        <w:gridCol w:w="60"/>
        <w:gridCol w:w="180"/>
        <w:gridCol w:w="485"/>
        <w:gridCol w:w="60"/>
        <w:gridCol w:w="60"/>
        <w:gridCol w:w="187"/>
        <w:gridCol w:w="718"/>
        <w:gridCol w:w="200"/>
      </w:tblGrid>
      <w:tr>
        <w:trPr/>
        <w:tc>
          <w:tcPr>
            <w:tcW w:w="3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December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3110" w:type="dxa"/>
            <w:tcBorders>
              <w:bottom w:val="single" w:sz="12" w:space="0" w:color="000000"/>
            </w:tcBorders>
            <w:shd w:fill="auto" w:val="clear"/>
            <w:tcMar>
              <w:bottom w:w="28" w:type="dxa"/>
            </w:tcMar>
            <w:vAlign w:val="center"/>
          </w:tcPr>
          <w:p>
            <w:pPr>
              <w:pStyle w:val="TableContents"/>
              <w:spacing w:before="0" w:after="283"/>
              <w:jc w:val="left"/>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6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shd w:fill="auto" w:val="clear"/>
            <w:vAlign w:val="center"/>
          </w:tcPr>
          <w:p>
            <w:pPr>
              <w:pStyle w:val="TableContents"/>
              <w:spacing w:before="0" w:after="283"/>
              <w:ind w:left="0" w:right="0" w:hanging="200"/>
              <w:rPr/>
            </w:pPr>
            <w:r>
              <w:rPr/>
              <w:t> </w:t>
            </w:r>
          </w:p>
        </w:tc>
      </w:tr>
      <w:tr>
        <w:trPr/>
        <w:tc>
          <w:tcPr>
            <w:tcW w:w="311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571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7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w:t>
            </w:r>
          </w:p>
        </w:tc>
        <w:tc>
          <w:tcPr>
            <w:tcW w:w="20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consisted primarily of costs incurred for the development of our Agrify Insights software and next generation VFUs, which includes:</w:t>
      </w:r>
    </w:p>
    <w:p>
      <w:pPr>
        <w:pStyle w:val="TextBody"/>
        <w:spacing w:before="0" w:after="0"/>
        <w:ind w:left="960" w:right="0" w:hanging="480"/>
        <w:rPr>
          <w:caps w:val="false"/>
          <w:smallCaps w:val="false"/>
        </w:rPr>
      </w:pPr>
      <w:r>
        <w:rPr>
          <w:caps w:val="false"/>
          <w:smallCaps w:val="false"/>
        </w:rPr>
        <w:t> </w:t>
      </w:r>
    </w:p>
    <w:tbl>
      <w:tblPr>
        <w:tblW w:w="5695" w:type="dxa"/>
        <w:jc w:val="left"/>
        <w:tblInd w:w="0" w:type="dxa"/>
        <w:tblCellMar>
          <w:top w:w="0" w:type="dxa"/>
          <w:left w:w="0" w:type="dxa"/>
          <w:bottom w:w="0" w:type="dxa"/>
          <w:right w:w="0" w:type="dxa"/>
        </w:tblCellMar>
      </w:tblPr>
      <w:tblGrid>
        <w:gridCol w:w="75"/>
        <w:gridCol w:w="170"/>
        <w:gridCol w:w="54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45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employee-related expenses, including salaries, benefits, and travel;</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expenses incurred by subcontractor under agreements to provide engineering work related to the development of our next generation VFUs;</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expenses related to our facilities, depreciation, and other expenses, which include direct and allocated expenses for rent and maintenance of facilities, insurance and other supplies.</w:t>
            </w:r>
          </w:p>
        </w:tc>
      </w:tr>
    </w:tbl>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Research and development expense increased by $571 thousand, or 17%, for the year ended December 31, 2021 compared to the same period in 2020. The increase was due primarily attributable to payroll and other employee-related expenses of approximately $1.6 million and an increase in materials and other items of $74 thousand. These increases are partially offset by a decrease in consulting services of $1.1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invest in future developments of our VFUs, Agrify Insights software and our extraction products. As a percentage of net revenue, research and development expenses were 6.6% of total revenue for the year ended December 31, 2021, compared to 27.7% for the year ended December 31, 2020. Although we continue to increase our investment in research and development activities, we expect the expense to decrease as a percentage of revenue due to our revenue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contingent consideration</w:t>
      </w:r>
    </w:p>
    <w:p>
      <w:pPr>
        <w:pStyle w:val="TextBody"/>
        <w:spacing w:before="0" w:after="0"/>
        <w:ind w:left="0" w:right="0" w:firstLine="360"/>
        <w:rPr>
          <w:caps w:val="false"/>
          <w:smallCaps w:val="false"/>
        </w:rPr>
      </w:pPr>
      <w:r>
        <w:rPr>
          <w:caps w:val="false"/>
          <w:smallCaps w:val="false"/>
        </w:rPr>
        <w:t> </w:t>
      </w:r>
    </w:p>
    <w:tbl>
      <w:tblPr>
        <w:tblW w:w="6238" w:type="dxa"/>
        <w:jc w:val="left"/>
        <w:tblInd w:w="0" w:type="dxa"/>
        <w:tblCellMar>
          <w:top w:w="0" w:type="dxa"/>
          <w:left w:w="0" w:type="dxa"/>
          <w:bottom w:w="0" w:type="dxa"/>
          <w:right w:w="0" w:type="dxa"/>
        </w:tblCellMar>
      </w:tblPr>
      <w:tblGrid>
        <w:gridCol w:w="2960"/>
        <w:gridCol w:w="60"/>
        <w:gridCol w:w="131"/>
        <w:gridCol w:w="511"/>
        <w:gridCol w:w="63"/>
        <w:gridCol w:w="63"/>
        <w:gridCol w:w="142"/>
        <w:gridCol w:w="298"/>
        <w:gridCol w:w="60"/>
        <w:gridCol w:w="60"/>
        <w:gridCol w:w="136"/>
        <w:gridCol w:w="529"/>
        <w:gridCol w:w="60"/>
        <w:gridCol w:w="60"/>
        <w:gridCol w:w="137"/>
        <w:gridCol w:w="768"/>
        <w:gridCol w:w="200"/>
      </w:tblGrid>
      <w:tr>
        <w:trPr/>
        <w:tc>
          <w:tcPr>
            <w:tcW w:w="29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0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65"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05"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20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960"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4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3"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00" w:type="dxa"/>
            <w:tcBorders/>
            <w:shd w:fill="auto" w:val="clear"/>
            <w:vAlign w:val="center"/>
          </w:tcPr>
          <w:p>
            <w:pPr>
              <w:pStyle w:val="TableContents"/>
              <w:spacing w:before="0" w:after="283"/>
              <w:ind w:left="0" w:right="0" w:hanging="200"/>
              <w:jc w:val="center"/>
              <w:rPr>
                <w:caps w:val="false"/>
                <w:smallCaps w:val="false"/>
              </w:rPr>
            </w:pPr>
            <w:r>
              <w:rPr>
                <w:caps w:val="false"/>
                <w:smallCaps w:val="false"/>
              </w:rPr>
              <w:t> </w:t>
            </w:r>
          </w:p>
        </w:tc>
      </w:tr>
      <w:tr>
        <w:trPr/>
        <w:tc>
          <w:tcPr>
            <w:tcW w:w="29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contingent consideration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8"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contingent consideration increased by $1.4 million, or 100%, for the year ended December 31, 2021 compared to the same period in 2020. The change in contingent consideration expense, which was recognized by the Company during the fourth quarter of 2021, relates to a change in our originally estimated fair value of contingent consideration to be earned by the former members of Precision and Cascade.</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Accounting Standards Board (“FASB”) Accounting Standards Codification (“ASC”) Topic 805 (ASC 805), “Business Combinations” requires the Company to determine an initial estimate as to the amount of potential contingent consideration to be earned as part of an acquisition as of the date of the acquisition. In connection with our Acquisition of Precision and Cascade, the former members could have earned up to a capped amount of $15.0 million in additional consideration, based upon the achievement of certain revenue-based thresholds, ending December 31, 2021.</w:t>
      </w:r>
    </w:p>
    <w:p>
      <w:pPr>
        <w:pStyle w:val="TextBody"/>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fourth quarter of 2021 revenue performance, the former members of Precision and Cascade earned additional contingent consideration of approximately $5.4 million. This amount exceeded the Company's initial fair value estimates by approximately $1.4 million. As per the guidelines of ASC 805, the Company is required to record this increase as an operating expense in the period of change and not as an increase to goodwill. As of December 31, 2021, there is no additional contingent consideration that can be earned by the former members of Precision and Cascade.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Company's December 31, 2021, acquisition of PurePressure contains two consecutive twelve-month earnouts. The potential additional contingent consideration that can be earned under each of the two earnout periods is capped at $1.5 million per period. The Company has made an initial estimate with respect to the probability of achievement of the additional contingent consideration and recorded it as part of our initial purchase price accounting. We will continue to evaluate PurePressure's future performance against our initial assumptions and projections on a quarterly basis. Any identified changes to our original assumptions that result in a change in our overall expected earnout achievements will result in either an increase or reduction in our future periodic operating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spacing w:before="0" w:after="0"/>
        <w:ind w:left="0" w:right="0" w:hanging="0"/>
        <w:rPr>
          <w:caps w:val="false"/>
          <w:smallCaps w:val="false"/>
        </w:rPr>
      </w:pPr>
      <w:r>
        <w:rPr>
          <w:caps w:val="false"/>
          <w:smallCaps w:val="false"/>
        </w:rPr>
        <w:t> </w:t>
      </w:r>
    </w:p>
    <w:tbl>
      <w:tblPr>
        <w:tblW w:w="9742" w:type="dxa"/>
        <w:jc w:val="left"/>
        <w:tblInd w:w="0" w:type="dxa"/>
        <w:tblCellMar>
          <w:top w:w="0" w:type="dxa"/>
          <w:left w:w="0" w:type="dxa"/>
          <w:bottom w:w="0" w:type="dxa"/>
          <w:right w:w="0" w:type="dxa"/>
        </w:tblCellMar>
      </w:tblPr>
      <w:tblGrid>
        <w:gridCol w:w="4475"/>
        <w:gridCol w:w="60"/>
        <w:gridCol w:w="228"/>
        <w:gridCol w:w="913"/>
        <w:gridCol w:w="155"/>
        <w:gridCol w:w="97"/>
        <w:gridCol w:w="228"/>
        <w:gridCol w:w="1036"/>
        <w:gridCol w:w="95"/>
        <w:gridCol w:w="60"/>
        <w:gridCol w:w="140"/>
        <w:gridCol w:w="680"/>
        <w:gridCol w:w="95"/>
        <w:gridCol w:w="60"/>
        <w:gridCol w:w="129"/>
        <w:gridCol w:w="986"/>
        <w:gridCol w:w="305"/>
      </w:tblGrid>
      <w:tr>
        <w:trPr/>
        <w:tc>
          <w:tcPr>
            <w:tcW w:w="44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657"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pPr>
            <w:r>
              <w:rPr/>
              <w:t> </w:t>
            </w:r>
          </w:p>
        </w:tc>
        <w:tc>
          <w:tcPr>
            <w:tcW w:w="305" w:type="dxa"/>
            <w:tcBorders/>
            <w:shd w:fill="auto" w:val="clear"/>
            <w:vAlign w:val="center"/>
          </w:tcPr>
          <w:p>
            <w:pPr>
              <w:pStyle w:val="TableContents"/>
              <w:spacing w:before="0" w:after="283"/>
              <w:rPr/>
            </w:pPr>
            <w:r>
              <w:rPr/>
              <w:t> </w:t>
            </w:r>
          </w:p>
        </w:tc>
      </w:tr>
      <w:tr>
        <w:trPr/>
        <w:tc>
          <w:tcPr>
            <w:tcW w:w="4475"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Change</w:t>
            </w:r>
          </w:p>
        </w:tc>
        <w:tc>
          <w:tcPr>
            <w:tcW w:w="305" w:type="dxa"/>
            <w:tcBorders/>
            <w:shd w:fill="auto" w:val="clear"/>
            <w:vAlign w:val="center"/>
          </w:tcPr>
          <w:p>
            <w:pPr>
              <w:pStyle w:val="TableContents"/>
              <w:spacing w:before="0" w:after="283"/>
              <w:rPr/>
            </w:pPr>
            <w:r>
              <w:rPr/>
              <w:t> </w:t>
            </w:r>
          </w:p>
        </w:tc>
      </w:tr>
      <w:tr>
        <w:trPr/>
        <w:tc>
          <w:tcPr>
            <w:tcW w:w="4475" w:type="dxa"/>
            <w:tcBorders/>
            <w:shd w:fill="CCEEFF" w:val="clear"/>
            <w:vAlign w:val="center"/>
          </w:tcPr>
          <w:p>
            <w:pPr>
              <w:pStyle w:val="TableContents"/>
              <w:spacing w:before="0" w:after="283"/>
              <w:jc w:val="left"/>
              <w:rPr/>
            </w:pPr>
            <w:r>
              <w:rPr/>
              <w:t>Interest income (expense), net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jc w:val="left"/>
              <w:rPr/>
            </w:pPr>
            <w:r>
              <w:rPr/>
              <w:t>$</w:t>
            </w:r>
          </w:p>
        </w:tc>
        <w:tc>
          <w:tcPr>
            <w:tcW w:w="913" w:type="dxa"/>
            <w:tcBorders/>
            <w:shd w:fill="CCEEFF" w:val="clear"/>
            <w:vAlign w:val="center"/>
          </w:tcPr>
          <w:p>
            <w:pPr>
              <w:pStyle w:val="TableContents"/>
              <w:spacing w:before="0" w:after="283"/>
              <w:jc w:val="right"/>
              <w:rPr/>
            </w:pPr>
            <w:r>
              <w:rPr/>
              <w:t>74</w:t>
            </w:r>
          </w:p>
        </w:tc>
        <w:tc>
          <w:tcPr>
            <w:tcW w:w="155"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jc w:val="left"/>
              <w:rPr/>
            </w:pPr>
            <w:r>
              <w:rPr/>
              <w:t>$</w:t>
            </w:r>
          </w:p>
        </w:tc>
        <w:tc>
          <w:tcPr>
            <w:tcW w:w="1036" w:type="dxa"/>
            <w:tcBorders/>
            <w:shd w:fill="CCEEFF" w:val="clear"/>
            <w:vAlign w:val="center"/>
          </w:tcPr>
          <w:p>
            <w:pPr>
              <w:pStyle w:val="TableContents"/>
              <w:spacing w:before="0" w:after="283"/>
              <w:jc w:val="right"/>
              <w:rPr/>
            </w:pPr>
            <w:r>
              <w:rPr/>
              <w:t>(481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555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jc w:val="left"/>
              <w:rPr/>
            </w:pPr>
            <w:r>
              <w:rPr/>
              <w:t> </w:t>
            </w:r>
          </w:p>
        </w:tc>
        <w:tc>
          <w:tcPr>
            <w:tcW w:w="986" w:type="dxa"/>
            <w:tcBorders/>
            <w:shd w:fill="CCEEFF" w:val="clear"/>
            <w:vAlign w:val="center"/>
          </w:tcPr>
          <w:p>
            <w:pPr>
              <w:pStyle w:val="TableContents"/>
              <w:spacing w:before="0" w:after="283"/>
              <w:jc w:val="right"/>
              <w:rPr/>
            </w:pPr>
            <w:r>
              <w:rPr/>
              <w:t>115</w:t>
            </w:r>
          </w:p>
        </w:tc>
        <w:tc>
          <w:tcPr>
            <w:tcW w:w="305" w:type="dxa"/>
            <w:tcBorders/>
            <w:shd w:fill="CCEEFF" w:val="clear"/>
            <w:vAlign w:val="center"/>
          </w:tcPr>
          <w:p>
            <w:pPr>
              <w:pStyle w:val="TableContents"/>
              <w:spacing w:before="0" w:after="283"/>
              <w:jc w:val="left"/>
              <w:rPr/>
            </w:pPr>
            <w:r>
              <w:rPr/>
              <w:t>%</w:t>
            </w:r>
          </w:p>
        </w:tc>
      </w:tr>
      <w:tr>
        <w:trPr/>
        <w:tc>
          <w:tcPr>
            <w:tcW w:w="4475" w:type="dxa"/>
            <w:tcBorders/>
            <w:shd w:fill="auto" w:val="clear"/>
            <w:vAlign w:val="center"/>
          </w:tcPr>
          <w:p>
            <w:pPr>
              <w:pStyle w:val="TableContents"/>
              <w:spacing w:before="0" w:after="283"/>
              <w:jc w:val="left"/>
              <w:rPr/>
            </w:pPr>
            <w:r>
              <w:rPr/>
              <w:t>Other expenses</w:t>
            </w:r>
          </w:p>
        </w:tc>
        <w:tc>
          <w:tcPr>
            <w:tcW w:w="6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jc w:val="left"/>
              <w:rPr/>
            </w:pPr>
            <w:r>
              <w:rPr/>
              <w:t> </w:t>
            </w:r>
          </w:p>
        </w:tc>
        <w:tc>
          <w:tcPr>
            <w:tcW w:w="913" w:type="dxa"/>
            <w:tcBorders/>
            <w:shd w:fill="auto" w:val="clear"/>
            <w:vAlign w:val="center"/>
          </w:tcPr>
          <w:p>
            <w:pPr>
              <w:pStyle w:val="TableContents"/>
              <w:spacing w:before="0" w:after="283"/>
              <w:jc w:val="right"/>
              <w:rPr/>
            </w:pPr>
            <w:r>
              <w:rPr/>
              <w:t>(31</w:t>
            </w:r>
          </w:p>
        </w:tc>
        <w:tc>
          <w:tcPr>
            <w:tcW w:w="155" w:type="dxa"/>
            <w:tcBorders/>
            <w:shd w:fill="auto" w:val="clear"/>
            <w:vAlign w:val="center"/>
          </w:tcPr>
          <w:p>
            <w:pPr>
              <w:pStyle w:val="TableContents"/>
              <w:spacing w:before="0" w:after="283"/>
              <w:jc w:val="left"/>
              <w:rPr/>
            </w:pPr>
            <w:r>
              <w:rPr/>
              <w:t>)</w:t>
            </w:r>
          </w:p>
        </w:tc>
        <w:tc>
          <w:tcPr>
            <w:tcW w:w="97"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jc w:val="left"/>
              <w:rPr/>
            </w:pPr>
            <w:r>
              <w:rPr/>
              <w:t> </w:t>
            </w:r>
          </w:p>
        </w:tc>
        <w:tc>
          <w:tcPr>
            <w:tcW w:w="1036"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(31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jc w:val="left"/>
              <w:rPr/>
            </w:pPr>
            <w:r>
              <w:rPr/>
              <w:t> </w:t>
            </w:r>
          </w:p>
        </w:tc>
        <w:tc>
          <w:tcPr>
            <w:tcW w:w="986" w:type="dxa"/>
            <w:tcBorders/>
            <w:shd w:fill="auto" w:val="clear"/>
            <w:vAlign w:val="center"/>
          </w:tcPr>
          <w:p>
            <w:pPr>
              <w:pStyle w:val="TableContents"/>
              <w:spacing w:before="0" w:after="283"/>
              <w:jc w:val="right"/>
              <w:rPr/>
            </w:pPr>
            <w:r>
              <w:rPr/>
              <w:t>(100</w:t>
            </w:r>
          </w:p>
        </w:tc>
        <w:tc>
          <w:tcPr>
            <w:tcW w:w="305" w:type="dxa"/>
            <w:tcBorders/>
            <w:shd w:fill="auto" w:val="clear"/>
            <w:vAlign w:val="center"/>
          </w:tcPr>
          <w:p>
            <w:pPr>
              <w:pStyle w:val="TableContents"/>
              <w:spacing w:before="0" w:after="283"/>
              <w:jc w:val="left"/>
              <w:rPr/>
            </w:pPr>
            <w:r>
              <w:rPr/>
              <w:t>)%</w:t>
            </w:r>
          </w:p>
        </w:tc>
      </w:tr>
      <w:tr>
        <w:trPr/>
        <w:tc>
          <w:tcPr>
            <w:tcW w:w="4475" w:type="dxa"/>
            <w:tcBorders/>
            <w:shd w:fill="CCEEFF" w:val="clear"/>
            <w:vAlign w:val="center"/>
          </w:tcPr>
          <w:p>
            <w:pPr>
              <w:pStyle w:val="TableContents"/>
              <w:spacing w:before="0" w:after="283"/>
              <w:jc w:val="left"/>
              <w:rPr/>
            </w:pPr>
            <w:r>
              <w:rPr/>
              <w:t>Gain (loss) on extinguishment of notes payable</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jc w:val="left"/>
              <w:rPr/>
            </w:pPr>
            <w:r>
              <w:rPr/>
              <w:t> </w:t>
            </w:r>
          </w:p>
        </w:tc>
        <w:tc>
          <w:tcPr>
            <w:tcW w:w="913" w:type="dxa"/>
            <w:tcBorders/>
            <w:shd w:fill="CCEEFF" w:val="clear"/>
            <w:vAlign w:val="center"/>
          </w:tcPr>
          <w:p>
            <w:pPr>
              <w:pStyle w:val="TableContents"/>
              <w:spacing w:before="0" w:after="283"/>
              <w:jc w:val="right"/>
              <w:rPr/>
            </w:pPr>
            <w:r>
              <w:rPr/>
              <w:t>2,685</w:t>
            </w:r>
          </w:p>
        </w:tc>
        <w:tc>
          <w:tcPr>
            <w:tcW w:w="155"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jc w:val="left"/>
              <w:rPr/>
            </w:pPr>
            <w:r>
              <w:rPr/>
              <w:t> </w:t>
            </w:r>
          </w:p>
        </w:tc>
        <w:tc>
          <w:tcPr>
            <w:tcW w:w="1036" w:type="dxa"/>
            <w:tcBorders/>
            <w:shd w:fill="CCEEFF" w:val="clear"/>
            <w:vAlign w:val="center"/>
          </w:tcPr>
          <w:p>
            <w:pPr>
              <w:pStyle w:val="TableContents"/>
              <w:spacing w:before="0" w:after="283"/>
              <w:jc w:val="right"/>
              <w:rPr/>
            </w:pPr>
            <w:r>
              <w:rPr/>
              <w:t>(5,618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8,303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jc w:val="left"/>
              <w:rPr/>
            </w:pPr>
            <w:r>
              <w:rPr/>
              <w:t> </w:t>
            </w:r>
          </w:p>
        </w:tc>
        <w:tc>
          <w:tcPr>
            <w:tcW w:w="986" w:type="dxa"/>
            <w:tcBorders/>
            <w:shd w:fill="CCEEFF" w:val="clear"/>
            <w:vAlign w:val="center"/>
          </w:tcPr>
          <w:p>
            <w:pPr>
              <w:pStyle w:val="TableContents"/>
              <w:spacing w:before="0" w:after="283"/>
              <w:jc w:val="right"/>
              <w:rPr/>
            </w:pPr>
            <w:r>
              <w:rPr/>
              <w:t>148</w:t>
            </w:r>
          </w:p>
        </w:tc>
        <w:tc>
          <w:tcPr>
            <w:tcW w:w="305" w:type="dxa"/>
            <w:tcBorders/>
            <w:shd w:fill="CCEEFF" w:val="clear"/>
            <w:vAlign w:val="center"/>
          </w:tcPr>
          <w:p>
            <w:pPr>
              <w:pStyle w:val="TableContents"/>
              <w:spacing w:before="0" w:after="283"/>
              <w:jc w:val="left"/>
              <w:rPr/>
            </w:pPr>
            <w:r>
              <w:rPr/>
              <w:t>%</w:t>
            </w:r>
          </w:p>
        </w:tc>
      </w:tr>
      <w:tr>
        <w:trPr/>
        <w:tc>
          <w:tcPr>
            <w:tcW w:w="4475" w:type="dxa"/>
            <w:tcBorders/>
            <w:shd w:fill="auto" w:val="clear"/>
            <w:vAlign w:val="center"/>
          </w:tcPr>
          <w:p>
            <w:pPr>
              <w:pStyle w:val="TableContents"/>
              <w:spacing w:before="0" w:after="283"/>
              <w:jc w:val="left"/>
              <w:rPr/>
            </w:pPr>
            <w:r>
              <w:rPr/>
              <w:t>Gain on forgiveness of PPP loan</w:t>
            </w:r>
          </w:p>
        </w:tc>
        <w:tc>
          <w:tcPr>
            <w:tcW w:w="6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jc w:val="left"/>
              <w:rPr/>
            </w:pPr>
            <w:r>
              <w:rPr/>
              <w:t> </w:t>
            </w:r>
          </w:p>
        </w:tc>
        <w:tc>
          <w:tcPr>
            <w:tcW w:w="913" w:type="dxa"/>
            <w:tcBorders/>
            <w:shd w:fill="auto" w:val="clear"/>
            <w:vAlign w:val="center"/>
          </w:tcPr>
          <w:p>
            <w:pPr>
              <w:pStyle w:val="TableContents"/>
              <w:spacing w:before="0" w:after="283"/>
              <w:jc w:val="right"/>
              <w:rPr/>
            </w:pPr>
            <w:r>
              <w:rPr/>
              <w:t>45</w:t>
            </w:r>
          </w:p>
        </w:tc>
        <w:tc>
          <w:tcPr>
            <w:tcW w:w="155"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jc w:val="left"/>
              <w:rPr/>
            </w:pPr>
            <w:r>
              <w:rPr/>
              <w:t> </w:t>
            </w:r>
          </w:p>
        </w:tc>
        <w:tc>
          <w:tcPr>
            <w:tcW w:w="1036"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45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jc w:val="left"/>
              <w:rPr/>
            </w:pPr>
            <w:r>
              <w:rPr/>
              <w:t> </w:t>
            </w:r>
          </w:p>
        </w:tc>
        <w:tc>
          <w:tcPr>
            <w:tcW w:w="986" w:type="dxa"/>
            <w:tcBorders/>
            <w:shd w:fill="auto" w:val="clear"/>
            <w:vAlign w:val="center"/>
          </w:tcPr>
          <w:p>
            <w:pPr>
              <w:pStyle w:val="TableContents"/>
              <w:spacing w:before="0" w:after="283"/>
              <w:jc w:val="right"/>
              <w:rPr/>
            </w:pPr>
            <w:r>
              <w:rPr/>
              <w:t>100</w:t>
            </w:r>
          </w:p>
        </w:tc>
        <w:tc>
          <w:tcPr>
            <w:tcW w:w="305" w:type="dxa"/>
            <w:tcBorders/>
            <w:shd w:fill="auto" w:val="clear"/>
            <w:vAlign w:val="center"/>
          </w:tcPr>
          <w:p>
            <w:pPr>
              <w:pStyle w:val="TableContents"/>
              <w:spacing w:before="0" w:after="283"/>
              <w:jc w:val="left"/>
              <w:rPr/>
            </w:pPr>
            <w:r>
              <w:rPr/>
              <w:t>%</w:t>
            </w:r>
          </w:p>
        </w:tc>
      </w:tr>
      <w:tr>
        <w:trPr/>
        <w:tc>
          <w:tcPr>
            <w:tcW w:w="4475" w:type="dxa"/>
            <w:tcBorders/>
            <w:shd w:fill="CCEEFF" w:val="clear"/>
            <w:vAlign w:val="center"/>
          </w:tcPr>
          <w:p>
            <w:pPr>
              <w:pStyle w:val="TableContents"/>
              <w:spacing w:before="0" w:after="283"/>
              <w:jc w:val="left"/>
              <w:rPr/>
            </w:pPr>
            <w:r>
              <w:rPr/>
              <w:t>Change in fair value of derivative liabilities</w:t>
            </w:r>
          </w:p>
        </w:tc>
        <w:tc>
          <w:tcPr>
            <w:tcW w:w="60" w:type="dxa"/>
            <w:tcBorders/>
            <w:shd w:fill="CCEEFF" w:val="clear"/>
            <w:vAlign w:val="center"/>
          </w:tcPr>
          <w:p>
            <w:pPr>
              <w:pStyle w:val="TableContents"/>
              <w:spacing w:before="0" w:after="283"/>
              <w:rPr/>
            </w:pPr>
            <w:r>
              <w:rPr/>
              <w:t> </w:t>
            </w:r>
          </w:p>
        </w:tc>
        <w:tc>
          <w:tcPr>
            <w:tcW w:w="22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spacing w:before="0" w:after="283"/>
              <w:jc w:val="right"/>
              <w:rPr/>
            </w:pPr>
            <w:r>
              <w:rPr/>
              <w:t>(2,924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2,924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spacing w:before="0" w:after="283"/>
              <w:jc w:val="right"/>
              <w:rPr/>
            </w:pPr>
            <w:r>
              <w:rPr/>
              <w:t>100</w:t>
            </w:r>
          </w:p>
        </w:tc>
        <w:tc>
          <w:tcPr>
            <w:tcW w:w="305" w:type="dxa"/>
            <w:tcBorders/>
            <w:shd w:fill="CCEEFF" w:val="clear"/>
            <w:vAlign w:val="center"/>
          </w:tcPr>
          <w:p>
            <w:pPr>
              <w:pStyle w:val="TableContents"/>
              <w:spacing w:before="0" w:after="283"/>
              <w:jc w:val="left"/>
              <w:rPr/>
            </w:pPr>
            <w:r>
              <w:rPr/>
              <w:t>%</w:t>
            </w:r>
          </w:p>
        </w:tc>
      </w:tr>
      <w:tr>
        <w:trPr/>
        <w:tc>
          <w:tcPr>
            <w:tcW w:w="4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13" w:type="dxa"/>
            <w:tcBorders>
              <w:bottom w:val="double" w:sz="10" w:space="0" w:color="000000"/>
            </w:tcBorders>
            <w:shd w:fill="auto" w:val="clear"/>
            <w:tcMar>
              <w:bottom w:w="28" w:type="dxa"/>
            </w:tcMar>
            <w:vAlign w:val="center"/>
          </w:tcPr>
          <w:p>
            <w:pPr>
              <w:pStyle w:val="TableContents"/>
              <w:spacing w:before="0" w:after="283"/>
              <w:jc w:val="right"/>
              <w:rPr/>
            </w:pPr>
            <w:r>
              <w:rPr/>
              <w:t>2,773</w:t>
            </w:r>
          </w:p>
        </w:tc>
        <w:tc>
          <w:tcPr>
            <w:tcW w:w="155"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36" w:type="dxa"/>
            <w:tcBorders>
              <w:bottom w:val="double" w:sz="10" w:space="0" w:color="000000"/>
            </w:tcBorders>
            <w:shd w:fill="auto" w:val="clear"/>
            <w:tcMar>
              <w:bottom w:w="28" w:type="dxa"/>
            </w:tcMar>
            <w:vAlign w:val="center"/>
          </w:tcPr>
          <w:p>
            <w:pPr>
              <w:pStyle w:val="TableContents"/>
              <w:spacing w:before="0" w:after="283"/>
              <w:jc w:val="right"/>
              <w:rPr/>
            </w:pPr>
            <w:r>
              <w:rPr/>
              <w:t>(9,023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auto" w:val="clear"/>
            <w:tcMar>
              <w:bottom w:w="28" w:type="dxa"/>
            </w:tcMar>
            <w:vAlign w:val="center"/>
          </w:tcPr>
          <w:p>
            <w:pPr>
              <w:pStyle w:val="TableContents"/>
              <w:spacing w:before="0" w:after="283"/>
              <w:jc w:val="right"/>
              <w:rPr/>
            </w:pPr>
            <w:r>
              <w:rPr/>
              <w:t>11,796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jc w:val="left"/>
              <w:rPr/>
            </w:pPr>
            <w:r>
              <w:rPr/>
              <w:t> </w:t>
            </w:r>
          </w:p>
        </w:tc>
        <w:tc>
          <w:tcPr>
            <w:tcW w:w="986" w:type="dxa"/>
            <w:tcBorders>
              <w:bottom w:val="double" w:sz="10" w:space="0" w:color="000000"/>
            </w:tcBorders>
            <w:shd w:fill="auto" w:val="clear"/>
            <w:tcMar>
              <w:bottom w:w="28" w:type="dxa"/>
            </w:tcMar>
            <w:vAlign w:val="center"/>
          </w:tcPr>
          <w:p>
            <w:pPr>
              <w:pStyle w:val="TableContents"/>
              <w:spacing w:before="0" w:after="283"/>
              <w:jc w:val="right"/>
              <w:rPr/>
            </w:pPr>
            <w:r>
              <w:rPr/>
              <w:t>131</w:t>
            </w:r>
          </w:p>
        </w:tc>
        <w:tc>
          <w:tcPr>
            <w:tcW w:w="305" w:type="dxa"/>
            <w:tcBorders/>
            <w:shd w:fill="auto"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increased by $555 thousand, or 115%, for the year ended December 31, 2021 compared to the same period in 2020. The increase was due to the amortization of debt discount related to the issuance of convertible promissory notes of $419 thousand for the year ended December 31, 2020, while no amortization of debt discount occurred for the year ended December 31, 2021.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decreased by $31 thousand, or 100%, for the year ended December 31, 2021 compared to the same period in 2020.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extinguishment of notes payable increased by $8.3 million, or 148%, for the year ended December 31, 2021 compared to the same period in 2020. See Note 15 - Convertible Promissory Notes included elsewhere in the notes to the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forgiveness of PPP loan increased by $45 thousand, or 100%, for the year ended December 31, 2021 compared to the same period in 2020. In September 2021, the loan for $44 thousand was 100% forgiven by the SBA. As a result, we recorded a gain of $45 thousand on the forgiveness on the loan and the associated accrued interest.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increased by $2.9 million, or 100%, for the year ended December 31, 2021 compared to the same period in 2020. The fair value of the variable-share settlement features was computed to be $7.1 million, which resulted with a loss of $2.9 million for the year ended December 31, 2020. For the year ended December 31, 2021, no derivatives were outstanding.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 Provision </w:t>
      </w:r>
    </w:p>
    <w:p>
      <w:pPr>
        <w:pStyle w:val="TextBody"/>
        <w:spacing w:before="0" w:after="0"/>
        <w:ind w:left="0" w:right="0" w:firstLine="360"/>
        <w:rPr>
          <w:caps w:val="false"/>
          <w:smallCaps w:val="false"/>
        </w:rPr>
      </w:pPr>
      <w:r>
        <w:rPr>
          <w:caps w:val="false"/>
          <w:smallCaps w:val="false"/>
        </w:rPr>
        <w:t> </w:t>
      </w:r>
    </w:p>
    <w:tbl>
      <w:tblPr>
        <w:tblW w:w="5946" w:type="dxa"/>
        <w:jc w:val="left"/>
        <w:tblInd w:w="0" w:type="dxa"/>
        <w:tblCellMar>
          <w:top w:w="0" w:type="dxa"/>
          <w:left w:w="0" w:type="dxa"/>
          <w:bottom w:w="0" w:type="dxa"/>
          <w:right w:w="0" w:type="dxa"/>
        </w:tblCellMar>
      </w:tblPr>
      <w:tblGrid>
        <w:gridCol w:w="2705"/>
        <w:gridCol w:w="60"/>
        <w:gridCol w:w="170"/>
        <w:gridCol w:w="314"/>
        <w:gridCol w:w="81"/>
        <w:gridCol w:w="81"/>
        <w:gridCol w:w="170"/>
        <w:gridCol w:w="355"/>
        <w:gridCol w:w="60"/>
        <w:gridCol w:w="60"/>
        <w:gridCol w:w="234"/>
        <w:gridCol w:w="431"/>
        <w:gridCol w:w="60"/>
        <w:gridCol w:w="60"/>
        <w:gridCol w:w="137"/>
        <w:gridCol w:w="768"/>
        <w:gridCol w:w="200"/>
      </w:tblGrid>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1171"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December 31,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6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05" w:type="dxa"/>
            <w:gridSpan w:val="2"/>
            <w:tcBorders/>
            <w:shd w:fill="auto" w:val="clear"/>
            <w:vAlign w:val="center"/>
          </w:tcPr>
          <w:p>
            <w:pPr>
              <w:pStyle w:val="TableContents"/>
              <w:spacing w:before="0" w:after="283"/>
              <w:jc w:val="center"/>
              <w:rPr/>
            </w:pPr>
            <w:r>
              <w:rPr/>
              <w:t> </w:t>
            </w:r>
          </w:p>
        </w:tc>
        <w:tc>
          <w:tcPr>
            <w:tcW w:w="200" w:type="dxa"/>
            <w:tcBorders/>
            <w:shd w:fill="auto" w:val="clear"/>
            <w:vAlign w:val="center"/>
          </w:tcPr>
          <w:p>
            <w:pPr>
              <w:pStyle w:val="TableContents"/>
              <w:spacing w:before="0" w:after="283"/>
              <w:jc w:val="center"/>
              <w:rPr/>
            </w:pPr>
            <w:r>
              <w:rPr/>
              <w:t> </w:t>
            </w:r>
          </w:p>
        </w:tc>
      </w:tr>
      <w:tr>
        <w:trPr/>
        <w:tc>
          <w:tcPr>
            <w:tcW w:w="270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b/>
                <w:sz w:val="20"/>
              </w:rPr>
              <w:t>(Dollar amounts in thousands) </w:t>
            </w:r>
            <w:r>
              <w:rPr>
                <w:rFonts w:ascii="Times New Roman;Times;Serif" w:hAnsi="Times New Roman;Times;Serif"/>
                <w:sz w:val="20"/>
              </w:rPr>
              <w:t>  </w:t>
            </w:r>
          </w:p>
        </w:tc>
        <w:tc>
          <w:tcPr>
            <w:tcW w:w="60" w:type="dxa"/>
            <w:tcBorders/>
            <w:shd w:fill="auto" w:val="clear"/>
            <w:vAlign w:val="center"/>
          </w:tcPr>
          <w:p>
            <w:pPr>
              <w:pStyle w:val="TableContents"/>
              <w:spacing w:before="0" w:after="283"/>
              <w:jc w:val="center"/>
              <w:rPr/>
            </w:pPr>
            <w:r>
              <w:rPr/>
              <w:t> </w:t>
            </w:r>
          </w:p>
        </w:tc>
        <w:tc>
          <w:tcPr>
            <w:tcW w:w="4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81" w:type="dxa"/>
            <w:tcBorders/>
            <w:shd w:fill="auto" w:val="clear"/>
            <w:vAlign w:val="center"/>
          </w:tcPr>
          <w:p>
            <w:pPr>
              <w:pStyle w:val="TableContents"/>
              <w:spacing w:before="0" w:after="283"/>
              <w:jc w:val="center"/>
              <w:rPr/>
            </w:pPr>
            <w:r>
              <w:rPr/>
              <w:t> </w:t>
            </w:r>
          </w:p>
        </w:tc>
        <w:tc>
          <w:tcPr>
            <w:tcW w:w="81" w:type="dxa"/>
            <w:tcBorders/>
            <w:shd w:fill="auto" w:val="clear"/>
            <w:vAlign w:val="center"/>
          </w:tcPr>
          <w:p>
            <w:pPr>
              <w:pStyle w:val="TableContents"/>
              <w:spacing w:before="0" w:after="283"/>
              <w:jc w:val="center"/>
              <w:rPr/>
            </w:pPr>
            <w:r>
              <w:rPr/>
              <w:t> </w:t>
            </w:r>
          </w:p>
        </w:tc>
        <w:tc>
          <w:tcPr>
            <w:tcW w:w="52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shd w:fill="auto" w:val="clear"/>
            <w:vAlign w:val="center"/>
          </w:tcPr>
          <w:p>
            <w:pPr>
              <w:pStyle w:val="TableContents"/>
              <w:spacing w:before="0" w:after="283"/>
              <w:ind w:left="0" w:right="0" w:hanging="200"/>
              <w:jc w:val="center"/>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 tax provision</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1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w:t>
            </w:r>
          </w:p>
        </w:tc>
        <w:tc>
          <w:tcPr>
            <w:tcW w:w="81"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76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provision of $25 thousand in the year ended December 31, 2021 compared to no provision or benefit for income taxes in the year ago period. The Company has historically generated losses from operations and is currently in a cumulative loss position. Accordingly, the Company has established a full valuation allowance against the carrying value of its deferred tax assets.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Attributable to Non-Controlling Interest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consolidate the results of operations of two less than wholly 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our principal sources of liquidity were cash and cash equivalents and marketable securities totaling $56.5 million. We believe such amount, together with the proceeds from the Private Placement that closed on January 28, 2022 and the senior secured debt facility that closed on March 14, 2022, will be sufficient to support our planned operations for at least the next 12 months. Our current working capital needs are to support accounts receivable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 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two Loan Agreements and Promissory Notes (collectively the “PPP Loan”) with Bank of America pursuant to the Paycheck Protection Program (the “PPP”) under the Coronavirus Aid, Relief, and Economic Security Act (“CARES Act”) administered by the U.S. Small Business Administration. We received total proceeds of approximately $823 thousand from the unsecured PPP Loans which are scheduled to mature during 2022 and 2025. Subject to certain conditions, the PPP Loan may be forgiven in whole or in part by applying for forgiveness pursuant to the CARES Act and the PPP. In September 2021, the loan for $44 thousand was 100% forgiven by the SBA. As a result, we recorded a gain of $45 thousand on the forgiveness on the loan and the associated accrued interest. If the remaining principal amount is not forgiven in full, we would be obligated to repay any principal amount not forgiven and interest accrued thereon.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2022, we entered into a Securities Purchase Agreement with an institutional investor. The Purchase Agreement provides for of the issuance of a senior secured note (the “Note”) in the aggregate amount of $65 million and a warrant exercisable 6,881,108 shares of the Company’s common stock, with the potential for two potential subsequent closings for notes with an original principal amount of $35 million each. The initial closing pursuant to this debt facility occurred on March 14, 2022. The Note is a senior secured obligation and ranks senior to all other indebtedness. We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will have a stated interest rate of 6.75% per annum, and we will be required to pay interest on March 1, June 1, September 1 and December 1 of each calendar year through and including the Maturity Date. Following the one-year anniversary of the Note’s issuance, we may, in lieu of paying interest in cash, pay such interest in kind, in which case interest on the Note will be calculated at the rate of 8.75% per annum and will be added to the principal amount of the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one-year anniversary of the Note’s issuance, we may prepay all (but not less than all) of the Note by redemption at a price equal to 106.75% of the then-outstanding principal amount under the Note plus accrued but unpaid interest. The noteholder will also have the option of requiring us to redeem the Note if we undergo a fundamental change at a price equal to 107% of the then-outstanding principal amount under the Note plus any accrued interest thereon.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from and used in operating, investing and financing activities for the years ended December 31, 2021, and 2020:</w:t>
      </w:r>
    </w:p>
    <w:p>
      <w:pPr>
        <w:pStyle w:val="TextBody"/>
        <w:spacing w:before="0" w:after="0"/>
        <w:ind w:left="0" w:right="0" w:hanging="0"/>
        <w:rPr>
          <w:caps w:val="false"/>
          <w:smallCaps w:val="false"/>
        </w:rPr>
      </w:pPr>
      <w:r>
        <w:rPr>
          <w:caps w:val="false"/>
          <w:smallCaps w:val="false"/>
        </w:rPr>
        <w:t> </w:t>
      </w:r>
    </w:p>
    <w:tbl>
      <w:tblPr>
        <w:tblW w:w="6669" w:type="dxa"/>
        <w:jc w:val="left"/>
        <w:tblInd w:w="0" w:type="dxa"/>
        <w:tblCellMar>
          <w:top w:w="0" w:type="dxa"/>
          <w:left w:w="0" w:type="dxa"/>
          <w:bottom w:w="28" w:type="dxa"/>
          <w:right w:w="0" w:type="dxa"/>
        </w:tblCellMar>
      </w:tblPr>
      <w:tblGrid>
        <w:gridCol w:w="3455"/>
        <w:gridCol w:w="60"/>
        <w:gridCol w:w="203"/>
        <w:gridCol w:w="1271"/>
        <w:gridCol w:w="95"/>
        <w:gridCol w:w="60"/>
        <w:gridCol w:w="221"/>
        <w:gridCol w:w="1194"/>
        <w:gridCol w:w="110"/>
      </w:tblGrid>
      <w:tr>
        <w:trPr/>
        <w:tc>
          <w:tcPr>
            <w:tcW w:w="345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110" w:type="dxa"/>
            <w:tcBorders/>
            <w:shd w:fill="auto" w:val="clear"/>
            <w:tcMar>
              <w:bottom w:w="0" w:type="dxa"/>
            </w:tcMar>
            <w:vAlign w:val="center"/>
          </w:tcPr>
          <w:p>
            <w:pPr>
              <w:pStyle w:val="TableContents"/>
              <w:spacing w:before="0" w:after="283"/>
              <w:rPr/>
            </w:pPr>
            <w:r>
              <w:rPr/>
              <w:t> </w:t>
            </w:r>
          </w:p>
        </w:tc>
      </w:tr>
      <w:tr>
        <w:trPr/>
        <w:tc>
          <w:tcPr>
            <w:tcW w:w="3455" w:type="dxa"/>
            <w:tcBorders/>
            <w:shd w:fill="auto" w:val="clear"/>
            <w:tcMar>
              <w:bottom w:w="0" w:type="dxa"/>
            </w:tcMar>
            <w:vAlign w:val="center"/>
          </w:tcPr>
          <w:p>
            <w:pPr>
              <w:pStyle w:val="TableContents"/>
              <w:spacing w:before="0" w:after="283"/>
              <w:rPr/>
            </w:pPr>
            <w:r>
              <w:rPr/>
              <w:t>Net cash (used in) provided by:</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shd w:fill="auto" w:val="clear"/>
            <w:tcMar>
              <w:bottom w:w="0" w:type="dxa"/>
            </w:tcMar>
            <w:vAlign w:val="center"/>
          </w:tcPr>
          <w:p>
            <w:pPr>
              <w:pStyle w:val="TableContents"/>
              <w:spacing w:before="0" w:after="283"/>
              <w:rPr/>
            </w:pPr>
            <w:r>
              <w:rPr/>
              <w:t> </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rPr/>
            </w:pPr>
            <w:r>
              <w:rPr/>
              <w:t> </w:t>
            </w:r>
          </w:p>
        </w:tc>
      </w:tr>
      <w:tr>
        <w:trPr/>
        <w:tc>
          <w:tcPr>
            <w:tcW w:w="3455" w:type="dxa"/>
            <w:tcBorders/>
            <w:shd w:fill="CCEEFF" w:val="clear"/>
            <w:tcMar>
              <w:bottom w:w="0" w:type="dxa"/>
            </w:tcMar>
            <w:vAlign w:val="center"/>
          </w:tcPr>
          <w:p>
            <w:pPr>
              <w:pStyle w:val="TableContents"/>
              <w:spacing w:before="0" w:after="283"/>
              <w:jc w:val="left"/>
              <w:rPr/>
            </w:pPr>
            <w:r>
              <w:rPr/>
              <w:t>Operating activities</w:t>
            </w:r>
          </w:p>
        </w:tc>
        <w:tc>
          <w:tcPr>
            <w:tcW w:w="60" w:type="dxa"/>
            <w:tcBorders/>
            <w:shd w:fill="CCEEFF" w:val="clear"/>
            <w:tcMar>
              <w:bottom w:w="0" w:type="dxa"/>
            </w:tcMar>
            <w:vAlign w:val="center"/>
          </w:tcPr>
          <w:p>
            <w:pPr>
              <w:pStyle w:val="TableContents"/>
              <w:spacing w:before="0" w:after="283"/>
              <w:rPr/>
            </w:pPr>
            <w:r>
              <w:rPr/>
              <w:t> </w:t>
            </w:r>
          </w:p>
        </w:tc>
        <w:tc>
          <w:tcPr>
            <w:tcW w:w="203" w:type="dxa"/>
            <w:tcBorders/>
            <w:shd w:fill="CCEEFF" w:val="clear"/>
            <w:tcMar>
              <w:bottom w:w="0" w:type="dxa"/>
            </w:tcMar>
            <w:vAlign w:val="center"/>
          </w:tcPr>
          <w:p>
            <w:pPr>
              <w:pStyle w:val="TableContents"/>
              <w:spacing w:before="0" w:after="283"/>
              <w:jc w:val="left"/>
              <w:rPr/>
            </w:pPr>
            <w:r>
              <w:rPr/>
              <w:t>$</w:t>
            </w:r>
          </w:p>
        </w:tc>
        <w:tc>
          <w:tcPr>
            <w:tcW w:w="1271" w:type="dxa"/>
            <w:tcBorders/>
            <w:shd w:fill="CCEEFF" w:val="clear"/>
            <w:tcMar>
              <w:bottom w:w="0" w:type="dxa"/>
            </w:tcMar>
            <w:vAlign w:val="center"/>
          </w:tcPr>
          <w:p>
            <w:pPr>
              <w:pStyle w:val="TableContents"/>
              <w:spacing w:before="0" w:after="283"/>
              <w:jc w:val="right"/>
              <w:rPr/>
            </w:pPr>
            <w:r>
              <w:rPr/>
              <w:t>(30,149</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21" w:type="dxa"/>
            <w:tcBorders/>
            <w:shd w:fill="CCEEFF" w:val="clear"/>
            <w:tcMar>
              <w:bottom w:w="0" w:type="dxa"/>
            </w:tcMar>
            <w:vAlign w:val="center"/>
          </w:tcPr>
          <w:p>
            <w:pPr>
              <w:pStyle w:val="TableContents"/>
              <w:spacing w:before="0" w:after="283"/>
              <w:jc w:val="left"/>
              <w:rPr/>
            </w:pPr>
            <w:r>
              <w:rPr/>
              <w:t>$</w:t>
            </w:r>
          </w:p>
        </w:tc>
        <w:tc>
          <w:tcPr>
            <w:tcW w:w="1194" w:type="dxa"/>
            <w:tcBorders/>
            <w:shd w:fill="CCEEFF" w:val="clear"/>
            <w:tcMar>
              <w:bottom w:w="0" w:type="dxa"/>
            </w:tcMar>
            <w:vAlign w:val="center"/>
          </w:tcPr>
          <w:p>
            <w:pPr>
              <w:pStyle w:val="TableContents"/>
              <w:spacing w:before="0" w:after="283"/>
              <w:jc w:val="right"/>
              <w:rPr/>
            </w:pPr>
            <w:r>
              <w:rPr/>
              <w:t>(14,782</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3455" w:type="dxa"/>
            <w:tcBorders/>
            <w:shd w:fill="auto" w:val="clear"/>
            <w:tcMar>
              <w:bottom w:w="0" w:type="dxa"/>
            </w:tcMar>
            <w:vAlign w:val="center"/>
          </w:tcPr>
          <w:p>
            <w:pPr>
              <w:pStyle w:val="TableContents"/>
              <w:spacing w:before="0" w:after="283"/>
              <w:jc w:val="left"/>
              <w:rPr/>
            </w:pPr>
            <w:r>
              <w:rPr/>
              <w:t>Investing activities</w:t>
            </w:r>
          </w:p>
        </w:tc>
        <w:tc>
          <w:tcPr>
            <w:tcW w:w="60" w:type="dxa"/>
            <w:tcBorders/>
            <w:shd w:fill="auto" w:val="clear"/>
            <w:tcMar>
              <w:bottom w:w="0" w:type="dxa"/>
            </w:tcMar>
            <w:vAlign w:val="center"/>
          </w:tcPr>
          <w:p>
            <w:pPr>
              <w:pStyle w:val="TableContents"/>
              <w:spacing w:before="0" w:after="283"/>
              <w:rPr/>
            </w:pPr>
            <w:r>
              <w:rPr/>
              <w:t> </w:t>
            </w:r>
          </w:p>
        </w:tc>
        <w:tc>
          <w:tcPr>
            <w:tcW w:w="203" w:type="dxa"/>
            <w:tcBorders/>
            <w:shd w:fill="auto" w:val="clear"/>
            <w:tcMar>
              <w:bottom w:w="0" w:type="dxa"/>
            </w:tcMar>
            <w:vAlign w:val="center"/>
          </w:tcPr>
          <w:p>
            <w:pPr>
              <w:pStyle w:val="TableContents"/>
              <w:spacing w:before="0" w:after="283"/>
              <w:jc w:val="left"/>
              <w:rPr/>
            </w:pPr>
            <w:r>
              <w:rPr/>
              <w:t> </w:t>
            </w:r>
          </w:p>
        </w:tc>
        <w:tc>
          <w:tcPr>
            <w:tcW w:w="1271" w:type="dxa"/>
            <w:tcBorders/>
            <w:shd w:fill="auto" w:val="clear"/>
            <w:tcMar>
              <w:bottom w:w="0" w:type="dxa"/>
            </w:tcMar>
            <w:vAlign w:val="center"/>
          </w:tcPr>
          <w:p>
            <w:pPr>
              <w:pStyle w:val="TableContents"/>
              <w:spacing w:before="0" w:after="283"/>
              <w:jc w:val="right"/>
              <w:rPr/>
            </w:pPr>
            <w:r>
              <w:rPr/>
              <w:t>(104,740</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221" w:type="dxa"/>
            <w:tcBorders/>
            <w:shd w:fill="auto" w:val="clear"/>
            <w:tcMar>
              <w:bottom w:w="0" w:type="dxa"/>
            </w:tcMar>
            <w:vAlign w:val="center"/>
          </w:tcPr>
          <w:p>
            <w:pPr>
              <w:pStyle w:val="TableContents"/>
              <w:spacing w:before="0" w:after="283"/>
              <w:jc w:val="left"/>
              <w:rPr/>
            </w:pPr>
            <w:r>
              <w:rPr/>
              <w:t> </w:t>
            </w:r>
          </w:p>
        </w:tc>
        <w:tc>
          <w:tcPr>
            <w:tcW w:w="1194" w:type="dxa"/>
            <w:tcBorders/>
            <w:shd w:fill="auto" w:val="clear"/>
            <w:tcMar>
              <w:bottom w:w="0" w:type="dxa"/>
            </w:tcMar>
            <w:vAlign w:val="center"/>
          </w:tcPr>
          <w:p>
            <w:pPr>
              <w:pStyle w:val="TableContents"/>
              <w:spacing w:before="0" w:after="283"/>
              <w:jc w:val="right"/>
              <w:rPr/>
            </w:pPr>
            <w:r>
              <w:rPr/>
              <w:t>(1,228</w:t>
            </w:r>
          </w:p>
        </w:tc>
        <w:tc>
          <w:tcPr>
            <w:tcW w:w="110" w:type="dxa"/>
            <w:tcBorders/>
            <w:shd w:fill="auto" w:val="clear"/>
            <w:tcMar>
              <w:bottom w:w="0" w:type="dxa"/>
            </w:tcMar>
            <w:vAlign w:val="center"/>
          </w:tcPr>
          <w:p>
            <w:pPr>
              <w:pStyle w:val="TableContents"/>
              <w:spacing w:before="0" w:after="283"/>
              <w:jc w:val="left"/>
              <w:rPr/>
            </w:pPr>
            <w:r>
              <w:rPr/>
              <w:t>)</w:t>
            </w:r>
          </w:p>
        </w:tc>
      </w:tr>
      <w:tr>
        <w:trPr/>
        <w:tc>
          <w:tcPr>
            <w:tcW w:w="3455" w:type="dxa"/>
            <w:tcBorders/>
            <w:shd w:fill="CCEEFF" w:val="clear"/>
            <w:tcMar>
              <w:bottom w:w="0" w:type="dxa"/>
            </w:tcMar>
            <w:vAlign w:val="center"/>
          </w:tcPr>
          <w:p>
            <w:pPr>
              <w:pStyle w:val="TableContents"/>
              <w:spacing w:before="0" w:after="283"/>
              <w:jc w:val="left"/>
              <w:rPr/>
            </w:pPr>
            <w:r>
              <w:rPr/>
              <w:t>Financing activities</w:t>
            </w:r>
          </w:p>
        </w:tc>
        <w:tc>
          <w:tcPr>
            <w:tcW w:w="60" w:type="dxa"/>
            <w:tcBorders/>
            <w:shd w:fill="CCEEFF" w:val="clear"/>
            <w:tcMar>
              <w:bottom w:w="0" w:type="dxa"/>
            </w:tcMar>
            <w:vAlign w:val="center"/>
          </w:tcPr>
          <w:p>
            <w:pPr>
              <w:pStyle w:val="TableContents"/>
              <w:spacing w:before="0" w:after="283"/>
              <w:rPr/>
            </w:pPr>
            <w:r>
              <w:rPr/>
              <w:t> </w:t>
            </w:r>
          </w:p>
        </w:tc>
        <w:tc>
          <w:tcPr>
            <w:tcW w:w="203" w:type="dxa"/>
            <w:tcBorders>
              <w:bottom w:val="single" w:sz="12" w:space="0" w:color="000000"/>
            </w:tcBorders>
            <w:shd w:fill="CCEEFF" w:val="clear"/>
            <w:vAlign w:val="center"/>
          </w:tcPr>
          <w:p>
            <w:pPr>
              <w:pStyle w:val="TableContents"/>
              <w:spacing w:before="0" w:after="283"/>
              <w:rPr>
                <w:sz w:val="4"/>
                <w:szCs w:val="4"/>
              </w:rPr>
            </w:pPr>
            <w:r>
              <w:rPr>
                <w:sz w:val="4"/>
                <w:szCs w:val="4"/>
              </w:rPr>
            </w:r>
          </w:p>
        </w:tc>
        <w:tc>
          <w:tcPr>
            <w:tcW w:w="1271" w:type="dxa"/>
            <w:tcBorders>
              <w:bottom w:val="single" w:sz="12" w:space="0" w:color="000000"/>
            </w:tcBorders>
            <w:shd w:fill="CCEEFF" w:val="clear"/>
            <w:vAlign w:val="center"/>
          </w:tcPr>
          <w:p>
            <w:pPr>
              <w:pStyle w:val="TableContents"/>
              <w:spacing w:before="0" w:after="283"/>
              <w:jc w:val="right"/>
              <w:rPr/>
            </w:pPr>
            <w:r>
              <w:rPr/>
              <w:t>138,792</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21" w:type="dxa"/>
            <w:tcBorders>
              <w:bottom w:val="single" w:sz="12" w:space="0" w:color="000000"/>
            </w:tcBorders>
            <w:shd w:fill="CCEEFF" w:val="clear"/>
            <w:vAlign w:val="center"/>
          </w:tcPr>
          <w:p>
            <w:pPr>
              <w:pStyle w:val="TableContents"/>
              <w:spacing w:before="0" w:after="283"/>
              <w:rPr>
                <w:sz w:val="4"/>
                <w:szCs w:val="4"/>
              </w:rPr>
            </w:pPr>
            <w:r>
              <w:rPr>
                <w:sz w:val="4"/>
                <w:szCs w:val="4"/>
              </w:rPr>
            </w:r>
          </w:p>
        </w:tc>
        <w:tc>
          <w:tcPr>
            <w:tcW w:w="1194" w:type="dxa"/>
            <w:tcBorders>
              <w:bottom w:val="single" w:sz="12" w:space="0" w:color="000000"/>
            </w:tcBorders>
            <w:shd w:fill="CCEEFF" w:val="clear"/>
            <w:vAlign w:val="center"/>
          </w:tcPr>
          <w:p>
            <w:pPr>
              <w:pStyle w:val="TableContents"/>
              <w:spacing w:before="0" w:after="283"/>
              <w:jc w:val="right"/>
              <w:rPr/>
            </w:pPr>
            <w:r>
              <w:rPr/>
              <w:t>23,915</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3455" w:type="dxa"/>
            <w:tcBorders/>
            <w:shd w:fill="auto" w:val="clear"/>
            <w:tcMar>
              <w:bottom w:w="0" w:type="dxa"/>
            </w:tcMar>
            <w:vAlign w:val="center"/>
          </w:tcPr>
          <w:p>
            <w:pPr>
              <w:pStyle w:val="TableContents"/>
              <w:spacing w:before="0" w:after="0"/>
              <w:ind w:left="0" w:right="0" w:hanging="0"/>
              <w:jc w:val="left"/>
              <w:rPr/>
            </w:pPr>
            <w:r>
              <w:rPr/>
              <w:t xml:space="preserve">Net </w:t>
            </w:r>
            <w:r>
              <w:rPr>
                <w:rFonts w:ascii="Times New Roman;Times;Serif" w:hAnsi="Times New Roman;Times;Serif"/>
                <w:sz w:val="20"/>
              </w:rPr>
              <w:t>increase in cash and cash equivalents</w:t>
            </w:r>
          </w:p>
        </w:tc>
        <w:tc>
          <w:tcPr>
            <w:tcW w:w="60" w:type="dxa"/>
            <w:tcBorders/>
            <w:shd w:fill="auto" w:val="clear"/>
            <w:tcMar>
              <w:bottom w:w="0" w:type="dxa"/>
            </w:tcMar>
            <w:vAlign w:val="center"/>
          </w:tcPr>
          <w:p>
            <w:pPr>
              <w:pStyle w:val="TableContents"/>
              <w:spacing w:before="0" w:after="283"/>
              <w:rPr/>
            </w:pPr>
            <w:r>
              <w:rPr/>
              <w:t> </w:t>
            </w:r>
          </w:p>
        </w:tc>
        <w:tc>
          <w:tcPr>
            <w:tcW w:w="203" w:type="dxa"/>
            <w:tcBorders>
              <w:bottom w:val="double" w:sz="10" w:space="0" w:color="000000"/>
            </w:tcBorders>
            <w:shd w:fill="auto" w:val="clear"/>
            <w:vAlign w:val="center"/>
          </w:tcPr>
          <w:p>
            <w:pPr>
              <w:pStyle w:val="TableContents"/>
              <w:spacing w:before="0" w:after="283"/>
              <w:jc w:val="left"/>
              <w:rPr/>
            </w:pPr>
            <w:r>
              <w:rPr/>
              <w:t>$</w:t>
            </w:r>
          </w:p>
        </w:tc>
        <w:tc>
          <w:tcPr>
            <w:tcW w:w="1271" w:type="dxa"/>
            <w:tcBorders>
              <w:bottom w:val="double" w:sz="10" w:space="0" w:color="000000"/>
            </w:tcBorders>
            <w:shd w:fill="auto" w:val="clear"/>
            <w:vAlign w:val="center"/>
          </w:tcPr>
          <w:p>
            <w:pPr>
              <w:pStyle w:val="TableContents"/>
              <w:spacing w:before="0" w:after="283"/>
              <w:jc w:val="right"/>
              <w:rPr/>
            </w:pPr>
            <w:r>
              <w:rPr/>
              <w:t>3,903</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21" w:type="dxa"/>
            <w:tcBorders>
              <w:bottom w:val="double" w:sz="10" w:space="0" w:color="000000"/>
            </w:tcBorders>
            <w:shd w:fill="auto" w:val="clear"/>
            <w:vAlign w:val="center"/>
          </w:tcPr>
          <w:p>
            <w:pPr>
              <w:pStyle w:val="TableContents"/>
              <w:spacing w:before="0" w:after="283"/>
              <w:jc w:val="left"/>
              <w:rPr/>
            </w:pPr>
            <w:r>
              <w:rPr/>
              <w:t>$</w:t>
            </w:r>
          </w:p>
        </w:tc>
        <w:tc>
          <w:tcPr>
            <w:tcW w:w="1194" w:type="dxa"/>
            <w:tcBorders>
              <w:bottom w:val="double" w:sz="10" w:space="0" w:color="000000"/>
            </w:tcBorders>
            <w:shd w:fill="auto" w:val="clear"/>
            <w:vAlign w:val="center"/>
          </w:tcPr>
          <w:p>
            <w:pPr>
              <w:pStyle w:val="TableContents"/>
              <w:spacing w:before="0" w:after="283"/>
              <w:jc w:val="right"/>
              <w:rPr/>
            </w:pPr>
            <w:r>
              <w:rPr/>
              <w:t>7,905</w:t>
            </w:r>
          </w:p>
        </w:tc>
        <w:tc>
          <w:tcPr>
            <w:tcW w:w="110"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Operating Activities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2021, we incurred a net loss of $32.5 million, which included non-cash expenses of $1.3 million related to depreciation and amortization, $5.6 million in connection with the issuance and acceleration of stock options, stock-based payment of $176 thousand related to the HMH acquisition, provision of $1.2 million for doubtful accounts, provision of inventory obsolescence of $942 thousand and $1.4 million resulting from the change in fair value of contingent consideration associated with the acquisition of Precision and Cascade.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were partially offset by a gain attributed to non-controlling interest in the amount of $140 thousand, a gain on forgiveness of PPP loan of $45 thousand and a gain of $2.7 million related to extinguishment of notes payable. Net cash was reduced by a $3.4 million increase in accounts receivable, a $6.6 million increase in prepaid inventory due to demand forecast, a $3.3 million increase in deferred revenue, a $1.7 million increase in prepaid expenses and other receivables, partially offset by an $8.3 million increase in accrued expenses and a $1.1 million increase in accounts payable.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we incurred a net loss of $21.6 million, which includes non-cash expenses of $5.6 million related to extinguishment of notes payable, $2.9 million due to change in fair value of derivative liabilities, $407 thousand related to depreciation and amortization, $1.9 million in connection with the issuance of stock options, non-cash interest expenses of $447 thousand related to the issuance of notes payable, a provision of $54 thousand for doubtful accounts and $120 thousand from the disposal of fixed assets, partially offset by loss attributed to non-controlling interest in the amount of $22 thousand. Net cash was reduced by a $3.7 million increase in accounts receivable, a $2.9 million increase in prepaid inventory due to demand forecast, a $2.2 million decrease in deferred revenue, partially offset by a $4.8 million increase in accrued expenses, a $12 thousand decrease in prepaid expenses, and a $527 thousand decrease in accounts payable.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Investing Activities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primarily relates net purchases of held to maturity marketable securities, cash paid associated with the Company’s 2021 acquisitions, the issuance of loans receivable in connection with the Company’s financing of construction and equipment under its TTK Solutions offering, and for purchases of property and equipment, expenditures and purchase of held to maturity marketable securities. The capital expenditures support growth and investment in property and equipment, to expand research, development, and testing capabilities and, to a lesser extent, the replacement of existing equipment.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2021, net cash used in investing activities was $104.7 million, which included cash outflows of $44.5 million in net purchases of held to maturity marketable securities, $35.9 million paid in connection with our 2021 acquisitions of Precision and Cascade and PurePressure, $22.1 million related to the issuance of TTK-related loans receivable, and $2.2 million of expenditures of property and equipment.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net cash used in investing activities was $1.2 million, which includes $1.1 million paid in connection with the acquisition of TriGrow and $136 thousand of purchases of property and equipment.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Financing Activities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2021, net cash provided by financing activities was $138.8 million. Net cash provided by financing activities was primarily driven by the Company’s February 2021 public offering and a follow-on secondary public offering. The Company received $57.0 million in net proceeds from our initial public offering and $79.8 million in net proceeds from our secondary public offering. Additionally, the Company received $2.1 million in proceeds from the exercise of stock options and warrants. Each of the above inflows of cash were offset by $148 thousand in payments of financing leases.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net cash provided by financing activities was $23.9 million. Sources of cash provided by financing activities were attributable to $13.1 million in proceeds from the issuance of notes payable, $10.0 million in proceeds from the issuance of Series A Preferred Stock, and the receipt of $823 thousand in PPP Loans under the CARES 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3" w:name="agri_012"/>
      <w:bookmarkEnd w:id="13"/>
      <w:r>
        <w:rPr>
          <w:rFonts w:ascii="Times New Roman;Times;Serif" w:hAnsi="Times New Roman;Times;Serif"/>
          <w:b/>
          <w:i w:val="false"/>
          <w:caps w:val="false"/>
          <w:smallCaps w:val="false"/>
          <w:sz w:val="20"/>
        </w:rPr>
        <w:t>Item 7A.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the Company is not required to provide information required by this Item.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4" w:name="agri_013"/>
      <w:bookmarkEnd w:id="14"/>
      <w:r>
        <w:rPr>
          <w:rFonts w:ascii="Times New Roman;Times;Serif" w:hAnsi="Times New Roman;Times;Serif"/>
          <w:b/>
          <w:i w:val="false"/>
          <w:caps w:val="false"/>
          <w:smallCaps w:val="false"/>
          <w:sz w:val="20"/>
        </w:rPr>
        <w:t>Item 8. 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required to be filed pursuant to this Item 8 are appended to this Annual Report on Form 10-K, which financial statements are incorporated by reference in response to this Item 8. An index of those financial statements is found in “Item 15. Exhibits and Financial Statement Schedules” of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5" w:name="agri_014"/>
      <w:bookmarkEnd w:id="15"/>
      <w:r>
        <w:rPr>
          <w:rFonts w:ascii="Times New Roman;Times;Serif" w:hAnsi="Times New Roman;Times;Serif"/>
          <w:b/>
          <w:i w:val="false"/>
          <w:caps w:val="false"/>
          <w:smallCaps w:val="false"/>
          <w:sz w:val="20"/>
        </w:rPr>
        <w:t>Item 9. Changes in and Disagreements with Accountants on Accounting and Financial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6" w:name="agri_015"/>
      <w:bookmarkEnd w:id="16"/>
      <w:r>
        <w:rPr>
          <w:rFonts w:ascii="Times New Roman;Times;Serif" w:hAnsi="Times New Roman;Times;Serif"/>
          <w:b/>
          <w:i w:val="false"/>
          <w:caps w:val="false"/>
          <w:smallCaps w:val="false"/>
          <w:sz w:val="20"/>
        </w:rPr>
        <w:t>Item 9A.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with the participation of our Chief Executive Officer and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Executive Officer and Chief Financial Officer concluded that our disclosure controls and procedures were not effective at the reasonable assurance level as of December 31, 2021.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the Company’s internal control over financial reporting was not effective at the reasonable assurance level as of December 31, 2021.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management identified material weaknesses related to inadequate design of the controls over the preparation of the consolidated financial statements due to the lack of a timeline and process in place to timely close the Company’s annual books and records.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of Material Weakness in Internal Control over Financial Reporting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the financial statements that were included in certain filings with the SEC during the years ended December 31, 2021 and 2020, we identified material weaknesses in internal control over financial reporting. These material weaknesses related to inadequate design of the controls over the preparation of the consolidated financial statements due to the lack of a timeline and process in place to timely close the Company’s annual books and records, which was identified during the fiscal year ended December 31, 2021, and insufficient technical accounting resources and lack of segregation of duties, which were identified during the fiscal year ended December 31, 2020. 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could be material and may not be prevented or detected on a timely basis.</w:t>
      </w:r>
    </w:p>
    <w:p>
      <w:pPr>
        <w:pStyle w:val="TextBody"/>
        <w:spacing w:before="0" w:after="0"/>
        <w:ind w:left="0" w:right="0" w:firstLine="324"/>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were in varying stages of remediating the current and previously reported material weaknesses in our internal control over financial reporting. During the fiscal year ended December 31, 2021, we have increased the number of accounting resources employed by the Company. We have added technically qualified personnel and are in the process of improving the Company’s technical accounting resources and capabilities. Additionally, the expansion in accounting department resources has enabled the Company to create necessary and proper segregation of duties between transactional, reconciliation and review and approval functions.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2021, we took steps to address our material weakness related to control over the timeliness of our financial statement close process. While these actions, which include adding public company-experienced resources to our accounting department staff, have already served to introduce improved financial statement close-related policies and procedures, we will need to continue to devote specific attention to this aspect of our internal control environment to ensure that this material weakness is fully remediated in the fiscal year ending December 31, 2022.</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related to the timeliness of our financial control process will not be considered fully remediated until these additional controls and procedures have operated effectively for a sufficient period of time and management has concluded, through testing, that these controls are effective. Our management will monitor the effectiveness of our remediation plans and will make changes management determines to be appropriate. If not remediated, this material weakness could result in material misstatements to our annual or interim financial statements that may not be prevented or detected on a timely basis or result in a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the Nasdaq Capital Market, the SEC or other regulatory authorities, which could require additional financial and management resources.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changes to remediate the material weakness noted above, there was no change in our internal control over financial reporting (as defined in Rules 13a-15(f) and 15d-15(f) under the Exchange Act) during the fiscal quarter ended December 31, 2021 that has materially affected, or is reasonably likely to materially affect, our internal control over financial reporting.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7" w:name="agri_016"/>
      <w:bookmarkEnd w:id="17"/>
      <w:r>
        <w:rPr>
          <w:rFonts w:ascii="Times New Roman;Times;Serif" w:hAnsi="Times New Roman;Times;Serif"/>
          <w:b/>
          <w:i w:val="false"/>
          <w:caps w:val="false"/>
          <w:smallCaps w:val="false"/>
          <w:sz w:val="20"/>
        </w:rPr>
        <w:t>Item 9B.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8" w:name="item9c"/>
      <w:bookmarkEnd w:id="18"/>
      <w:r>
        <w:rPr>
          <w:rFonts w:ascii="Times New Roman;Times;Serif" w:hAnsi="Times New Roman;Times;Serif"/>
          <w:b/>
          <w:i w:val="false"/>
          <w:caps w:val="false"/>
          <w:smallCaps w:val="false"/>
          <w:sz w:val="20"/>
        </w:rPr>
        <w:t>Item 9C. Disclosure Regarding Foreign Jurisdictions that Prevent Inspections.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9" w:name="agri_017"/>
      <w:bookmarkEnd w:id="19"/>
      <w:r>
        <w:rPr>
          <w:rFonts w:ascii="Times New Roman;Times;Serif" w:hAnsi="Times New Roman;Times;Serif"/>
          <w:b/>
          <w:i w:val="false"/>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0" w:name="agri_018"/>
      <w:bookmarkEnd w:id="20"/>
      <w:r>
        <w:rPr>
          <w:rFonts w:ascii="Times New Roman;Times;Serif" w:hAnsi="Times New Roman;Times;Serif"/>
          <w:b/>
          <w:i w:val="false"/>
          <w:caps w:val="false"/>
          <w:smallCaps w:val="false"/>
          <w:sz w:val="20"/>
        </w:rPr>
        <w:t>Item 10. 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10 will be included in our Definitive Proxy Statement to be filed with the SEC with respect to our 2022 Annual Meeting of Stockholders and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1" w:name="agri_019"/>
      <w:bookmarkEnd w:id="21"/>
      <w:r>
        <w:rPr>
          <w:rFonts w:ascii="Times New Roman;Times;Serif" w:hAnsi="Times New Roman;Times;Serif"/>
          <w:b/>
          <w:i w:val="false"/>
          <w:caps w:val="false"/>
          <w:smallCaps w:val="false"/>
          <w:sz w:val="20"/>
        </w:rPr>
        <w:t>Item 11.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10 will be included in our Definitive Proxy Statement to be filed with the SEC with respect to our 2022 Annual Meeting of Stockholders and is incorporated herein by reference.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2" w:name="agri_020"/>
      <w:bookmarkEnd w:id="22"/>
      <w:r>
        <w:rPr>
          <w:rFonts w:ascii="Times New Roman;Times;Serif" w:hAnsi="Times New Roman;Times;Serif"/>
          <w:b/>
          <w:i w:val="false"/>
          <w:caps w:val="false"/>
          <w:smallCaps w:val="false"/>
          <w:sz w:val="20"/>
        </w:rPr>
        <w:t>Item 12. Security Ownership of Certain Beneficial Owners, Management and Related Stockholder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10 will be included in our Definitive Proxy Statement to be filed with the SEC with respect to our 2022 Annual Meeting of Stockholders and is incorporated herein by reference.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3" w:name="agri_021"/>
      <w:bookmarkEnd w:id="23"/>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10 will be included in our Definitive Proxy Statement to be filed with the SEC with respect to our 2022 Annual Meeting of Stockholders and is incorporated herein by reference.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24" w:name="agri_022"/>
      <w:bookmarkEnd w:id="24"/>
      <w:r>
        <w:rPr>
          <w:rFonts w:ascii="Times New Roman;Times;Serif" w:hAnsi="Times New Roman;Times;Serif"/>
          <w:b/>
          <w:i w:val="false"/>
          <w:caps w:val="false"/>
          <w:smallCaps w:val="false"/>
          <w:sz w:val="20"/>
        </w:rPr>
        <w:t>Item 14. Principal Accountant Fees and Services.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10 will be included in our Definitive Proxy Statement to be filed with the SEC with respect to our 2022 Annual Meeting of Stockholders and is incorporated herein by reference.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5" w:name="agri_023"/>
      <w:bookmarkEnd w:id="25"/>
      <w:r>
        <w:rPr>
          <w:rFonts w:ascii="Times New Roman;Times;Serif" w:hAnsi="Times New Roman;Times;Serif"/>
          <w:b/>
          <w:i w:val="false"/>
          <w:caps w:val="false"/>
          <w:smallCaps w:val="false"/>
          <w:sz w:val="20"/>
        </w:rPr>
        <w:t>PART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6" w:name="agri_024"/>
      <w:bookmarkEnd w:id="26"/>
      <w:r>
        <w:rPr>
          <w:rFonts w:ascii="Times New Roman;Times;Serif" w:hAnsi="Times New Roman;Times;Serif"/>
          <w:b/>
          <w:i w:val="false"/>
          <w:caps w:val="false"/>
          <w:smallCaps w:val="false"/>
          <w:sz w:val="20"/>
        </w:rPr>
        <w:t>Item 15. Exhibits, Financial Statements and Schedules.</w:t>
      </w:r>
    </w:p>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75"/>
        <w:gridCol w:w="230"/>
        <w:gridCol w:w="179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79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Financial Statements:</w:t>
            </w:r>
          </w:p>
        </w:tc>
      </w:tr>
    </w:tbl>
    <w:p>
      <w:pPr>
        <w:pStyle w:val="TextBody"/>
        <w:spacing w:before="0" w:after="0"/>
        <w:ind w:left="0" w:right="0" w:hanging="360"/>
        <w:jc w:val="left"/>
        <w:rPr>
          <w:caps w:val="false"/>
          <w:smallCaps w:val="false"/>
        </w:rPr>
      </w:pPr>
      <w:r>
        <w:rPr>
          <w:caps w:val="false"/>
          <w:smallCaps w:val="false"/>
        </w:rPr>
        <w:t> </w:t>
      </w:r>
    </w:p>
    <w:p>
      <w:pPr>
        <w:pStyle w:val="TextBody"/>
        <w:spacing w:before="0" w:after="0"/>
        <w:ind w:left="72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financial statements required to be included in this report appear after the signature page to this report as a separate section beginning on page F-1.</w:t>
      </w:r>
    </w:p>
    <w:p>
      <w:pPr>
        <w:pStyle w:val="TextBody"/>
        <w:spacing w:before="0" w:after="0"/>
        <w:ind w:left="0" w:right="0" w:hanging="360"/>
        <w:rPr>
          <w:caps w:val="false"/>
          <w:smallCaps w:val="false"/>
        </w:rPr>
      </w:pPr>
      <w:r>
        <w:rPr>
          <w:caps w:val="false"/>
          <w:smallCaps w:val="false"/>
        </w:rPr>
        <w:t> </w:t>
      </w:r>
    </w:p>
    <w:p>
      <w:pPr>
        <w:pStyle w:val="TextBody"/>
        <w:spacing w:before="0" w:after="0"/>
        <w:ind w:left="72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supplemental schedules have been omitted since the information is either included in the financial statements or the notes thereto or they are not required or are not applicable.</w:t>
      </w:r>
    </w:p>
    <w:p>
      <w:pPr>
        <w:pStyle w:val="TextBody"/>
        <w:spacing w:before="0" w:after="0"/>
        <w:ind w:left="0" w:right="0" w:hanging="360"/>
        <w:jc w:val="left"/>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Exhibit Index of this report appears below.</w:t>
      </w:r>
    </w:p>
    <w:p>
      <w:pPr>
        <w:pStyle w:val="TextBody"/>
        <w:spacing w:before="0" w:after="0"/>
        <w:ind w:left="0" w:right="0" w:hanging="360"/>
        <w:jc w:val="left"/>
        <w:rPr>
          <w:caps w:val="false"/>
          <w:smallCaps w:val="false"/>
        </w:rPr>
      </w:pPr>
      <w:r>
        <w:rPr>
          <w:caps w:val="false"/>
          <w:smallCaps w:val="false"/>
        </w:rPr>
        <w:t> </w:t>
      </w:r>
    </w:p>
    <w:tbl>
      <w:tblPr>
        <w:tblW w:w="1105" w:type="dxa"/>
        <w:jc w:val="left"/>
        <w:tblInd w:w="0" w:type="dxa"/>
        <w:tblCellMar>
          <w:top w:w="0" w:type="dxa"/>
          <w:left w:w="0" w:type="dxa"/>
          <w:bottom w:w="0" w:type="dxa"/>
          <w:right w:w="0" w:type="dxa"/>
        </w:tblCellMar>
      </w:tblPr>
      <w:tblGrid>
        <w:gridCol w:w="75"/>
        <w:gridCol w:w="245"/>
        <w:gridCol w:w="7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78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48"/>
        <w:gridCol w:w="60"/>
        <w:gridCol w:w="9397"/>
      </w:tblGrid>
      <w:tr>
        <w:trPr/>
        <w:tc>
          <w:tcPr>
            <w:tcW w:w="748"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39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4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jc w:val="center"/>
              <w:rPr/>
            </w:pPr>
            <w:r>
              <w:rPr/>
              <w:t> </w:t>
            </w:r>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2">
              <w:r>
                <w:rPr>
                  <w:rStyle w:val="InternetLink"/>
                  <w:rFonts w:ascii="Times New Roman;Times;Serif" w:hAnsi="Times New Roman;Times;Serif"/>
                  <w:sz w:val="20"/>
                </w:rPr>
                <w:t>Agreement and Plan of Merger dated January 22, 2020 between the Registrant and TriGrow Systems, Inc. (incorporated by reference to Exhibit 2.1 to the Registrant’s Registration Statement on Form S-1 filed with the Securities and Exchange Commission on December 22, 2020)</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2.2±</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3">
              <w:r>
                <w:rPr>
                  <w:rStyle w:val="InternetLink"/>
                  <w:rFonts w:ascii="Times New Roman;Times;Serif" w:hAnsi="Times New Roman;Times;Serif"/>
                  <w:sz w:val="20"/>
                </w:rPr>
                <w:t>Plan of Merger and Equity Purchase Agreement, dated as of September 29, 2021, among the Registrant, Sinclair Scientific, LLC, Mass2Media, LLC dba PX2 Holdings, LLC, and each of the equity holders of Sinclair Scientific, LLC named therein (incorporated by reference to Exhibit 2.1 to the Registrant’s Current Report on Form 8-K filed with the Securities and Exchange Commission on October 5, 2021</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4">
              <w:r>
                <w:rPr>
                  <w:rStyle w:val="InternetLink"/>
                  <w:rFonts w:ascii="Times New Roman;Times;Serif" w:hAnsi="Times New Roman;Times;Serif"/>
                  <w:sz w:val="20"/>
                </w:rPr>
                <w:t>Amendment to Plan of Merger and Equity Purchase Agreement, dated as of October 1, 2021, between the Registrant and Sinclair Scientific, LLC (incorporated by reference to Exhibit 2.2 to the Registrant’s Current Report on Form 8-K filed with the Securities and Exchange Commission on October 4, 2021)</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2.4±</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5">
              <w:r>
                <w:rPr>
                  <w:rStyle w:val="InternetLink"/>
                  <w:rFonts w:ascii="Times New Roman;Times;Serif" w:hAnsi="Times New Roman;Times;Serif"/>
                  <w:sz w:val="20"/>
                </w:rPr>
                <w:t>Membership Interest Purchase Agreement, dated as of December 31, 2021, among the Registrant, PurePressure, LLC, Benjamin Britton as Member Representative, and each of the equity holders of PurePressure, LLC named therein (incorporated by reference to Exhibit 2.1 to the Registrant’s Current Report on Form 8-K filed with the Securities and Exchange Commission on January 5, 2022)</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6">
              <w:r>
                <w:rPr>
                  <w:rStyle w:val="InternetLink"/>
                  <w:rFonts w:ascii="Times New Roman;Times;Serif" w:hAnsi="Times New Roman;Times;Serif"/>
                  <w:sz w:val="20"/>
                </w:rPr>
                <w:t>Merger Agreement, dated as of February 1, 2022, among the Registrant, LS Holdings Corp., Lab Society NewCo, LLC, Michael S. Maibach Jr. as Owner Representative, and each of the Owners named therein (incorporated by reference to Exhibit 2.1 to the Registrant’s Current Report on Form 8-K filed with the Securities and Exchange Commission on February 2, 2022).</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7">
              <w:r>
                <w:rPr>
                  <w:rStyle w:val="InternetLink"/>
                  <w:rFonts w:ascii="Times New Roman;Times;Serif" w:hAnsi="Times New Roman;Times;Serif"/>
                  <w:sz w:val="20"/>
                </w:rPr>
                <w:t>Articles of Incorporation of the Registrant, as amended (incorporated by reference to Exhibit 3.1 to the Registrant’s Amendment No. 1 to Registration Statement on Form S-1 filed with the Securities and Exchange Commission on January 13, 2021)</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8">
              <w:r>
                <w:rPr>
                  <w:rStyle w:val="InternetLink"/>
                  <w:rFonts w:ascii="Times New Roman;Times;Serif" w:hAnsi="Times New Roman;Times;Serif"/>
                  <w:sz w:val="20"/>
                </w:rPr>
                <w:t>Third Amended and Restated Certificate of Designations of the Series A Convertible Preferred Stock of the Registrant (incorporated by reference to Exhibit 3.2 to the Registrant’s Amendment No. 1 to Registration Statement on Form S-1 filed with the Securities and Exchange Commission on January 13, 2021)</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3.3</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9">
              <w:r>
                <w:rPr>
                  <w:rStyle w:val="InternetLink"/>
                  <w:rFonts w:ascii="Times New Roman;Times;Serif" w:hAnsi="Times New Roman;Times;Serif"/>
                  <w:sz w:val="20"/>
                </w:rPr>
                <w:t>Amended and Restated Bylaws of the Registrant (incorporated by reference to Exhibit 3.3 to the Registrant’s Amendment No. 2 to Registration Statement on Form S-1 filed with the Securities and Exchange Commission on January 26, 2021)</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10">
              <w:r>
                <w:rPr>
                  <w:rStyle w:val="InternetLink"/>
                  <w:rFonts w:ascii="Times New Roman;Times;Serif" w:hAnsi="Times New Roman;Times;Serif"/>
                  <w:sz w:val="20"/>
                </w:rPr>
                <w:t>Form of Common Stock Certificate (incorporated by reference to Exhibit 4.1 to the Registrant’s Amendment No. 2 to Registration Statement on Form S-1 filed with the Securities and Exchange Commission on January 26, 2021)</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4.2</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11">
              <w:r>
                <w:rPr>
                  <w:rStyle w:val="InternetLink"/>
                  <w:rFonts w:ascii="Times New Roman;Times;Serif" w:hAnsi="Times New Roman;Times;Serif"/>
                  <w:sz w:val="20"/>
                </w:rPr>
                <w:t>Form of Representative’s Warrant dated February 19, 2021 (incorporated by reference to Exhibit 4.2 to the Registrant’s Registration Statement on Form S-1 filed with the Securities and Exchange Commission on February 11, 2021)</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12">
              <w:r>
                <w:rPr>
                  <w:rStyle w:val="InternetLink"/>
                  <w:rFonts w:ascii="Times New Roman;Times;Serif" w:hAnsi="Times New Roman;Times;Serif"/>
                  <w:sz w:val="20"/>
                </w:rPr>
                <w:t>Form of Representative’s Warrant dated January 27, 2021 (incorporated by reference to Exhibit 4.2 to the Registrant’s Amendment No. 2 to Registration Statement on Form S-1 filed with the Securities and Exchange Commission on January 26, 2021)</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4.4</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13">
              <w:r>
                <w:rPr>
                  <w:rStyle w:val="InternetLink"/>
                  <w:rFonts w:ascii="Times New Roman;Times;Serif" w:hAnsi="Times New Roman;Times;Serif"/>
                  <w:sz w:val="20"/>
                </w:rPr>
                <w:t>Form of Warrant issued to Noteholders (incorporated by reference to Exhibit 4.3 to the Registrant’s Registration Statement on Form S-1 filed with the Securities and Exchange Commission on December 22, 2020)</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14">
              <w:r>
                <w:rPr>
                  <w:rStyle w:val="InternetLink"/>
                  <w:rFonts w:ascii="Times New Roman;Times;Serif" w:hAnsi="Times New Roman;Times;Serif"/>
                  <w:sz w:val="20"/>
                </w:rPr>
                <w:t>Description of Registrant’s Securities (incorporated by reference to Exhibit 4.5 to the Registrant’s Annual Report on Form 10-K filed with the Securities and Exchange Commission on April 2, 2021).</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4.6</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15">
              <w:r>
                <w:rPr>
                  <w:rStyle w:val="InternetLink"/>
                  <w:rFonts w:ascii="Times New Roman;Times;Serif" w:hAnsi="Times New Roman;Times;Serif"/>
                  <w:sz w:val="20"/>
                </w:rPr>
                <w:t>Form of Pre-Funded Warrant dated January 28, 2022 (incorporated by reference to Exhibit 4.1 to the Registrant’s Current Report on Form 8-K filed with the Securities and Exchange Commission on January 26, 2022).</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16">
              <w:r>
                <w:rPr>
                  <w:rStyle w:val="InternetLink"/>
                  <w:rFonts w:ascii="Times New Roman;Times;Serif" w:hAnsi="Times New Roman;Times;Serif"/>
                  <w:sz w:val="20"/>
                </w:rPr>
                <w:t>Form of Common Stock Purchase Warrant dated January 28, 2022 (incorporated by reference to Exhibit 4.1 to the Registrant’s Current Report on Form 8-K filed with the Securities and Exchange Commission on January 26, 2022).</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4.8</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17">
              <w:r>
                <w:rPr>
                  <w:rStyle w:val="InternetLink"/>
                  <w:rFonts w:ascii="Times New Roman;Times;Serif" w:hAnsi="Times New Roman;Times;Serif"/>
                  <w:sz w:val="20"/>
                </w:rPr>
                <w:t>Form of Common Stock Purchase Warrant (incorporated by reference to Exhibit 4.1 to the Registrant’s Current Report on Form 8-K filed with the Securities and Exchange Commission on March 18, 2022)</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18">
              <w:r>
                <w:rPr>
                  <w:rStyle w:val="InternetLink"/>
                  <w:rFonts w:ascii="Times New Roman;Times;Serif" w:hAnsi="Times New Roman;Times;Serif"/>
                  <w:sz w:val="20"/>
                </w:rPr>
                <w:t>Form of Senior Secured Note (incorporated by reference to Exhibit 4.2 to the Registrant’s Current Report on Form 8-K filed with the Securities and Exchange Commission on March 18, 2022)</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19">
              <w:r>
                <w:rPr>
                  <w:rStyle w:val="InternetLink"/>
                  <w:rFonts w:ascii="Times New Roman;Times;Serif" w:hAnsi="Times New Roman;Times;Serif"/>
                  <w:sz w:val="20"/>
                </w:rPr>
                <w:t>Operating Agreement of Agrify-Valiant, LLC dated December 8, 2019 (incorporated by reference to Exhibit 10.1 to the Registrant’s Registration Statement on Form S-1 filed with the Securities and Exchange Commission on December 22, 2020)</w:t>
              </w:r>
            </w:hyperlink>
          </w:p>
        </w:tc>
      </w:tr>
      <w:tr>
        <w:trPr/>
        <w:tc>
          <w:tcPr>
            <w:tcW w:w="748"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spacing w:before="0" w:after="283"/>
              <w:rPr/>
            </w:pPr>
            <w:r>
              <w:rPr/>
              <w:t> </w:t>
            </w:r>
          </w:p>
        </w:tc>
        <w:tc>
          <w:tcPr>
            <w:tcW w:w="9397" w:type="dxa"/>
            <w:tcBorders/>
            <w:shd w:fill="CCEEFF" w:val="clear"/>
            <w:tcMar>
              <w:bottom w:w="0" w:type="dxa"/>
            </w:tcMar>
            <w:vAlign w:val="center"/>
          </w:tcPr>
          <w:p>
            <w:pPr>
              <w:pStyle w:val="TableContents"/>
              <w:spacing w:before="0" w:after="283"/>
              <w:rPr/>
            </w:pPr>
            <w:hyperlink r:id="rId20">
              <w:r>
                <w:rPr>
                  <w:rStyle w:val="InternetLink"/>
                  <w:rFonts w:ascii="Times New Roman;Times;Serif" w:hAnsi="Times New Roman;Times;Serif"/>
                  <w:sz w:val="20"/>
                </w:rPr>
                <w:t>Distribution Agreement dated June 7, 2019 between the Registrant and Bluezone Products, Inc.± (incorporated by reference to Exhibit 10.2 to the Registrant’s Registration Statement on Form S-1 filed with the Securities and Exchange Commission on December 22, 2020)</w:t>
              </w:r>
            </w:hyperlink>
          </w:p>
        </w:tc>
      </w:tr>
      <w:tr>
        <w:trPr/>
        <w:tc>
          <w:tcPr>
            <w:tcW w:w="74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10.3</w:t>
            </w:r>
          </w:p>
        </w:tc>
        <w:tc>
          <w:tcPr>
            <w:tcW w:w="60" w:type="dxa"/>
            <w:tcBorders/>
            <w:shd w:fill="auto" w:val="clear"/>
            <w:tcMar>
              <w:bottom w:w="0" w:type="dxa"/>
            </w:tcMar>
            <w:vAlign w:val="center"/>
          </w:tcPr>
          <w:p>
            <w:pPr>
              <w:pStyle w:val="TableContents"/>
              <w:spacing w:before="0" w:after="283"/>
              <w:rPr/>
            </w:pPr>
            <w:r>
              <w:rPr/>
              <w:t> </w:t>
            </w:r>
          </w:p>
        </w:tc>
        <w:tc>
          <w:tcPr>
            <w:tcW w:w="9397" w:type="dxa"/>
            <w:tcBorders/>
            <w:shd w:fill="auto" w:val="clear"/>
            <w:tcMar>
              <w:bottom w:w="0" w:type="dxa"/>
            </w:tcMar>
            <w:vAlign w:val="center"/>
          </w:tcPr>
          <w:p>
            <w:pPr>
              <w:pStyle w:val="TableContents"/>
              <w:spacing w:before="0" w:after="283"/>
              <w:rPr/>
            </w:pPr>
            <w:hyperlink r:id="rId21">
              <w:r>
                <w:rPr>
                  <w:rStyle w:val="InternetLink"/>
                  <w:rFonts w:ascii="Times New Roman;Times;Serif" w:hAnsi="Times New Roman;Times;Serif"/>
                  <w:sz w:val="20"/>
                </w:rPr>
                <w:t>Distribution Agreement dated March 9, 2020 between the Registrant and Enozo Technologies Inc.± (incorporated by reference to Exhibit 10.3 to the Registrant’s Registration Statement on Form S-1 filed with the Securities and Exchange Commission on December 22, 2020)</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87"/>
        <w:gridCol w:w="60"/>
        <w:gridCol w:w="9558"/>
      </w:tblGrid>
      <w:tr>
        <w:trPr/>
        <w:tc>
          <w:tcPr>
            <w:tcW w:w="587" w:type="dxa"/>
            <w:tcBorders/>
            <w:shd w:fill="CCEEFF" w:val="clear"/>
            <w:vAlign w:val="center"/>
          </w:tcPr>
          <w:p>
            <w:pPr>
              <w:pStyle w:val="TableContents"/>
              <w:spacing w:before="0" w:after="283"/>
              <w:rPr>
                <w:sz w:val="20"/>
              </w:rPr>
            </w:pPr>
            <w:r>
              <w:rPr>
                <w:sz w:val="20"/>
              </w:rPr>
              <w:t>10.4</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22">
              <w:r>
                <w:rPr>
                  <w:rStyle w:val="InternetLink"/>
                  <w:sz w:val="20"/>
                </w:rPr>
                <w:t>Purchase Agreement dated as of July 10, 2020 between the Registrant and 4D Bios Inc.± (incorporated by reference to Exhibit 10.4 to the Registrant’s Registration Statement on Form S-1 filed with the Securities and Exchange Commission on December 22, 2020)</w:t>
              </w:r>
            </w:hyperlink>
          </w:p>
        </w:tc>
      </w:tr>
      <w:tr>
        <w:trPr/>
        <w:tc>
          <w:tcPr>
            <w:tcW w:w="587" w:type="dxa"/>
            <w:tcBorders/>
            <w:shd w:fill="auto" w:val="clear"/>
            <w:vAlign w:val="center"/>
          </w:tcPr>
          <w:p>
            <w:pPr>
              <w:pStyle w:val="TableContents"/>
              <w:spacing w:before="0" w:after="283"/>
              <w:rPr>
                <w:sz w:val="20"/>
              </w:rPr>
            </w:pPr>
            <w:r>
              <w:rPr>
                <w:sz w:val="20"/>
              </w:rPr>
              <w:t>10.5</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23">
              <w:r>
                <w:rPr>
                  <w:rStyle w:val="InternetLink"/>
                  <w:sz w:val="20"/>
                </w:rPr>
                <w:t>Employment Agreement dated as of January 4, 2021 between the Registrant and Raymond Chang † (incorporated by reference to Exhibit 10.5 to the Registrant’s Annual Report on Form 10-K filed with the Securities and Exchange Commission on April 2, 2021) </w:t>
              </w:r>
            </w:hyperlink>
          </w:p>
        </w:tc>
      </w:tr>
      <w:tr>
        <w:trPr/>
        <w:tc>
          <w:tcPr>
            <w:tcW w:w="587" w:type="dxa"/>
            <w:tcBorders/>
            <w:shd w:fill="CCEEFF" w:val="clear"/>
            <w:vAlign w:val="center"/>
          </w:tcPr>
          <w:p>
            <w:pPr>
              <w:pStyle w:val="TableContents"/>
              <w:spacing w:before="0" w:after="283"/>
              <w:rPr>
                <w:sz w:val="20"/>
              </w:rPr>
            </w:pPr>
            <w:r>
              <w:rPr>
                <w:sz w:val="20"/>
              </w:rPr>
              <w:t>10.9</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24">
              <w:r>
                <w:rPr>
                  <w:rStyle w:val="InternetLink"/>
                  <w:sz w:val="20"/>
                </w:rPr>
                <w:t>2020 Omnibus Equity Incentive Plan † (incorporated by reference to Exhibit 10.13 to the Registrant’s Registration Statement on Form S-1 filed with the Securities and Exchange Commission on December 22, 2020)</w:t>
              </w:r>
            </w:hyperlink>
          </w:p>
        </w:tc>
      </w:tr>
      <w:tr>
        <w:trPr/>
        <w:tc>
          <w:tcPr>
            <w:tcW w:w="587" w:type="dxa"/>
            <w:tcBorders/>
            <w:shd w:fill="auto" w:val="clear"/>
            <w:vAlign w:val="center"/>
          </w:tcPr>
          <w:p>
            <w:pPr>
              <w:pStyle w:val="TableContents"/>
              <w:spacing w:before="0" w:after="283"/>
              <w:rPr>
                <w:sz w:val="20"/>
              </w:rPr>
            </w:pPr>
            <w:r>
              <w:rPr>
                <w:sz w:val="20"/>
              </w:rPr>
              <w:t>10.10</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25">
              <w:r>
                <w:rPr>
                  <w:rStyle w:val="InternetLink"/>
                  <w:sz w:val="20"/>
                </w:rPr>
                <w:t>Form of Note and Warrant Purchase Agreement (incorporated by reference to Exhibit 10.14 to the Registrant’s Registration Statement on Form S-1 filed with the Securities and Exchange Commission on December 22, 2020)</w:t>
              </w:r>
            </w:hyperlink>
          </w:p>
        </w:tc>
      </w:tr>
      <w:tr>
        <w:trPr/>
        <w:tc>
          <w:tcPr>
            <w:tcW w:w="587" w:type="dxa"/>
            <w:tcBorders/>
            <w:shd w:fill="CCEEFF" w:val="clear"/>
            <w:vAlign w:val="center"/>
          </w:tcPr>
          <w:p>
            <w:pPr>
              <w:pStyle w:val="TableContents"/>
              <w:spacing w:before="0" w:after="283"/>
              <w:rPr>
                <w:sz w:val="20"/>
              </w:rPr>
            </w:pPr>
            <w:r>
              <w:rPr>
                <w:sz w:val="20"/>
              </w:rPr>
              <w:t>10.11</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26">
              <w:r>
                <w:rPr>
                  <w:rStyle w:val="InternetLink"/>
                  <w:sz w:val="20"/>
                </w:rPr>
                <w:t>Form of Convertible Promissory Note (incorporated by reference to Exhibit 10.13 to the Registrant’s Amendment No. 1 to Registration Statement on Form S-1 filed with the Securities and Exchange Commission on January 13, 2021)</w:t>
              </w:r>
            </w:hyperlink>
          </w:p>
        </w:tc>
      </w:tr>
      <w:tr>
        <w:trPr/>
        <w:tc>
          <w:tcPr>
            <w:tcW w:w="587" w:type="dxa"/>
            <w:tcBorders/>
            <w:shd w:fill="auto" w:val="clear"/>
            <w:vAlign w:val="center"/>
          </w:tcPr>
          <w:p>
            <w:pPr>
              <w:pStyle w:val="TableContents"/>
              <w:spacing w:before="0" w:after="283"/>
              <w:rPr>
                <w:sz w:val="20"/>
              </w:rPr>
            </w:pPr>
            <w:r>
              <w:rPr>
                <w:sz w:val="20"/>
              </w:rPr>
              <w:t>10.12</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27">
              <w:r>
                <w:rPr>
                  <w:rStyle w:val="InternetLink"/>
                  <w:sz w:val="20"/>
                </w:rPr>
                <w:t>Intellectual Property Assignment and Transfer Agreement by and among the Registrant, Agrify Brands, LLC and The Holden Company effective as of January 1, 2020 (incorporated by reference to Exhibit 10.16 to the Registrant’s Registration Statement on Form S-1 filed with the Securities and Exchange Commission on December 22, 2020)</w:t>
              </w:r>
            </w:hyperlink>
          </w:p>
        </w:tc>
      </w:tr>
      <w:tr>
        <w:trPr/>
        <w:tc>
          <w:tcPr>
            <w:tcW w:w="587" w:type="dxa"/>
            <w:tcBorders/>
            <w:shd w:fill="CCEEFF" w:val="clear"/>
            <w:vAlign w:val="center"/>
          </w:tcPr>
          <w:p>
            <w:pPr>
              <w:pStyle w:val="TableContents"/>
              <w:spacing w:before="0" w:after="283"/>
              <w:rPr>
                <w:sz w:val="20"/>
              </w:rPr>
            </w:pPr>
            <w:r>
              <w:rPr>
                <w:sz w:val="20"/>
              </w:rPr>
              <w:t>10.13</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28">
              <w:r>
                <w:rPr>
                  <w:rStyle w:val="InternetLink"/>
                  <w:sz w:val="20"/>
                </w:rPr>
                <w:t>Supply Agreement by and among the Registrant and Mack Molding Co. dated December 7, 2020 ± (incorporated by reference to Exhibit 10.15 to the Registrant’s Amendment No. 1 to Registration Statement on Form S-1 filed with the Securities and Exchange Commission on January 13, 2021)</w:t>
              </w:r>
            </w:hyperlink>
          </w:p>
        </w:tc>
      </w:tr>
      <w:tr>
        <w:trPr/>
        <w:tc>
          <w:tcPr>
            <w:tcW w:w="587" w:type="dxa"/>
            <w:tcBorders/>
            <w:shd w:fill="auto" w:val="clear"/>
            <w:vAlign w:val="center"/>
          </w:tcPr>
          <w:p>
            <w:pPr>
              <w:pStyle w:val="TableContents"/>
              <w:spacing w:before="0" w:after="283"/>
              <w:rPr>
                <w:sz w:val="20"/>
              </w:rPr>
            </w:pPr>
            <w:r>
              <w:rPr>
                <w:sz w:val="20"/>
              </w:rPr>
              <w:t>10.14</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29">
              <w:r>
                <w:rPr>
                  <w:rStyle w:val="InternetLink"/>
                  <w:sz w:val="20"/>
                </w:rPr>
                <w:t>Amended and Restated Operating Agreement of Agrify Brands, LLC effective as of August 12, 2020 (incorporated by reference to Exhibit 10.18 to the Registrant’s Registration Statement on Form S-1 filed with the Securities and Exchange Commission on December 22, 2020)</w:t>
              </w:r>
            </w:hyperlink>
          </w:p>
        </w:tc>
      </w:tr>
      <w:tr>
        <w:trPr/>
        <w:tc>
          <w:tcPr>
            <w:tcW w:w="587" w:type="dxa"/>
            <w:tcBorders/>
            <w:shd w:fill="CCEEFF" w:val="clear"/>
            <w:vAlign w:val="center"/>
          </w:tcPr>
          <w:p>
            <w:pPr>
              <w:pStyle w:val="TableContents"/>
              <w:spacing w:before="0" w:after="283"/>
              <w:rPr>
                <w:sz w:val="20"/>
              </w:rPr>
            </w:pPr>
            <w:r>
              <w:rPr>
                <w:sz w:val="20"/>
              </w:rPr>
              <w:t>10.15*</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0"/>
              <w:ind w:left="0" w:right="0" w:hanging="0"/>
              <w:rPr/>
            </w:pPr>
            <w:hyperlink w:anchor="f10k2021ex10-15_agrifycorp.htm">
              <w:r>
                <w:rPr>
                  <w:rStyle w:val="InternetLink"/>
                  <w:rFonts w:ascii="Times New Roman;Times;Serif" w:hAnsi="Times New Roman;Times;Serif"/>
                  <w:b w:val="false"/>
                  <w:i w:val="false"/>
                  <w:caps w:val="false"/>
                  <w:smallCaps w:val="false"/>
                  <w:sz w:val="20"/>
                </w:rPr>
                <w:t>Separation Agreement of Niv Krikov, dated November 3, 2021</w:t>
              </w:r>
            </w:hyperlink>
          </w:p>
        </w:tc>
      </w:tr>
      <w:tr>
        <w:trPr/>
        <w:tc>
          <w:tcPr>
            <w:tcW w:w="587" w:type="dxa"/>
            <w:tcBorders/>
            <w:shd w:fill="auto" w:val="clear"/>
            <w:vAlign w:val="center"/>
          </w:tcPr>
          <w:p>
            <w:pPr>
              <w:pStyle w:val="TableContents"/>
              <w:spacing w:before="0" w:after="283"/>
              <w:rPr>
                <w:sz w:val="20"/>
              </w:rPr>
            </w:pPr>
            <w:r>
              <w:rPr>
                <w:sz w:val="20"/>
              </w:rPr>
              <w:t>10.16</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30">
              <w:r>
                <w:rPr>
                  <w:rStyle w:val="InternetLink"/>
                  <w:sz w:val="20"/>
                </w:rPr>
                <w:t>Form of Indemnification Agreement with directors and executive officers (incorporated by reference to Exhibit 10.18 to the Registrant’s Registration Statement on Form S-1 filed with the Securities and Exchange Commission on February 11, 2021)</w:t>
              </w:r>
            </w:hyperlink>
          </w:p>
        </w:tc>
      </w:tr>
      <w:tr>
        <w:trPr/>
        <w:tc>
          <w:tcPr>
            <w:tcW w:w="587" w:type="dxa"/>
            <w:tcBorders/>
            <w:shd w:fill="CCEEFF" w:val="clear"/>
            <w:vAlign w:val="center"/>
          </w:tcPr>
          <w:p>
            <w:pPr>
              <w:pStyle w:val="TableContents"/>
              <w:spacing w:before="0" w:after="283"/>
              <w:rPr>
                <w:sz w:val="20"/>
              </w:rPr>
            </w:pPr>
            <w:r>
              <w:rPr>
                <w:sz w:val="20"/>
              </w:rPr>
              <w:t>10.17</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31">
              <w:r>
                <w:rPr>
                  <w:rStyle w:val="InternetLink"/>
                  <w:sz w:val="20"/>
                </w:rPr>
                <w:t>Employment Agreement, dated as of November 10, 2021, between the Registrant and Thomas Massie † (incorporated by reference to Exhibit 10.19 to the Registrant’s Current Report on Form 8-K filed with the Securities and Exchange Commission on November 8, 2021)</w:t>
              </w:r>
            </w:hyperlink>
          </w:p>
        </w:tc>
      </w:tr>
      <w:tr>
        <w:trPr/>
        <w:tc>
          <w:tcPr>
            <w:tcW w:w="587" w:type="dxa"/>
            <w:tcBorders/>
            <w:shd w:fill="auto" w:val="clear"/>
            <w:vAlign w:val="center"/>
          </w:tcPr>
          <w:p>
            <w:pPr>
              <w:pStyle w:val="TableContents"/>
              <w:spacing w:before="0" w:after="283"/>
              <w:rPr>
                <w:sz w:val="20"/>
              </w:rPr>
            </w:pPr>
            <w:r>
              <w:rPr>
                <w:sz w:val="20"/>
              </w:rPr>
              <w:t>10.18</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32">
              <w:r>
                <w:rPr>
                  <w:rStyle w:val="InternetLink"/>
                  <w:sz w:val="20"/>
                </w:rPr>
                <w:t>Employment Agreement, dated as of November 10, 2021, between the Registrant and Timothy Oakes † (incorporated by reference to Exhibit 10.20 to the Registrant’s Current Report on Form 8-K filed with the Securities and Exchange Commission on November 8, 2021)</w:t>
              </w:r>
            </w:hyperlink>
            <w:r>
              <w:rPr>
                <w:sz w:val="20"/>
              </w:rPr>
              <w:t> </w:t>
            </w:r>
          </w:p>
        </w:tc>
      </w:tr>
      <w:tr>
        <w:trPr/>
        <w:tc>
          <w:tcPr>
            <w:tcW w:w="587" w:type="dxa"/>
            <w:tcBorders/>
            <w:shd w:fill="CCEEFF" w:val="clear"/>
            <w:vAlign w:val="center"/>
          </w:tcPr>
          <w:p>
            <w:pPr>
              <w:pStyle w:val="TableContents"/>
              <w:spacing w:before="0" w:after="283"/>
              <w:rPr>
                <w:sz w:val="20"/>
              </w:rPr>
            </w:pPr>
            <w:r>
              <w:rPr>
                <w:sz w:val="20"/>
              </w:rPr>
              <w:t>10.19±</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33">
              <w:r>
                <w:rPr>
                  <w:rStyle w:val="InternetLink"/>
                  <w:sz w:val="20"/>
                </w:rPr>
                <w:t>Form of Securities Purchase Agreement, dated as of January 25, 2022, between the Registrant and the Purchasers party thereto (incorporated by reference to Exhibit 10.1 to the Registrant’s Current Report on Form 8-K filed with the Securities and Exchange Commission on January 26, 2022.</w:t>
              </w:r>
            </w:hyperlink>
          </w:p>
        </w:tc>
      </w:tr>
      <w:tr>
        <w:trPr/>
        <w:tc>
          <w:tcPr>
            <w:tcW w:w="587" w:type="dxa"/>
            <w:tcBorders/>
            <w:shd w:fill="auto" w:val="clear"/>
            <w:vAlign w:val="center"/>
          </w:tcPr>
          <w:p>
            <w:pPr>
              <w:pStyle w:val="TableContents"/>
              <w:spacing w:before="0" w:after="283"/>
              <w:rPr>
                <w:sz w:val="20"/>
              </w:rPr>
            </w:pPr>
            <w:r>
              <w:rPr>
                <w:sz w:val="20"/>
              </w:rPr>
              <w:t>10.20</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34">
              <w:r>
                <w:rPr>
                  <w:rStyle w:val="InternetLink"/>
                  <w:sz w:val="20"/>
                </w:rPr>
                <w:t>Form of Registration Rights Agreement, dated as of January 25, 2022, between the Registrant and the Purchasers party thereto (incorporated by reference to Exhibit 10.2 to the Registrant’s Current Report on Form 8-K filed with the Securities and Exchange Commission on January 26, 2022.</w:t>
              </w:r>
            </w:hyperlink>
          </w:p>
        </w:tc>
      </w:tr>
      <w:tr>
        <w:trPr/>
        <w:tc>
          <w:tcPr>
            <w:tcW w:w="587" w:type="dxa"/>
            <w:tcBorders/>
            <w:shd w:fill="CCEEFF" w:val="clear"/>
            <w:vAlign w:val="center"/>
          </w:tcPr>
          <w:p>
            <w:pPr>
              <w:pStyle w:val="TableContents"/>
              <w:spacing w:before="0" w:after="283"/>
              <w:rPr>
                <w:sz w:val="20"/>
              </w:rPr>
            </w:pPr>
            <w:r>
              <w:rPr>
                <w:sz w:val="20"/>
              </w:rPr>
              <w:t>10.21±</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r:id="rId35">
              <w:r>
                <w:rPr>
                  <w:rStyle w:val="InternetLink"/>
                  <w:sz w:val="20"/>
                </w:rPr>
                <w:t>Form of Securities Purchase Agreement, dated as of March 14, 2022, between the Registrant and High Trail Special Situations LLC (incorporated by reference to Exhibit 10.1 to the Registrant’s Current Report on Form 8-K filed with the Securities and Exchange Commission on March 18, 2022)</w:t>
              </w:r>
            </w:hyperlink>
          </w:p>
        </w:tc>
      </w:tr>
      <w:tr>
        <w:trPr/>
        <w:tc>
          <w:tcPr>
            <w:tcW w:w="587" w:type="dxa"/>
            <w:tcBorders/>
            <w:shd w:fill="auto" w:val="clear"/>
            <w:vAlign w:val="center"/>
          </w:tcPr>
          <w:p>
            <w:pPr>
              <w:pStyle w:val="TableContents"/>
              <w:spacing w:before="0" w:after="283"/>
              <w:rPr>
                <w:sz w:val="20"/>
              </w:rPr>
            </w:pPr>
            <w:r>
              <w:rPr>
                <w:sz w:val="20"/>
              </w:rPr>
              <w:t>14.1</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pPr>
            <w:hyperlink r:id="rId36">
              <w:r>
                <w:rPr>
                  <w:rStyle w:val="InternetLink"/>
                  <w:sz w:val="20"/>
                </w:rPr>
                <w:t>Code of Ethics of Agrify Corporation Applicable To Directors, Officers And Employees (incorporated by reference to Exhibit 14.1 to the Registrant’s Registration Statement on Form S-1 filed with the Securities and Exchange Commission on December 22, 2020)</w:t>
              </w:r>
            </w:hyperlink>
          </w:p>
        </w:tc>
      </w:tr>
      <w:tr>
        <w:trPr/>
        <w:tc>
          <w:tcPr>
            <w:tcW w:w="587" w:type="dxa"/>
            <w:tcBorders/>
            <w:shd w:fill="CCEEFF" w:val="clear"/>
            <w:vAlign w:val="center"/>
          </w:tcPr>
          <w:p>
            <w:pPr>
              <w:pStyle w:val="TableContents"/>
              <w:spacing w:before="0" w:after="283"/>
              <w:rPr>
                <w:sz w:val="20"/>
              </w:rPr>
            </w:pPr>
            <w:r>
              <w:rPr>
                <w:sz w:val="20"/>
              </w:rPr>
              <w:t>21.1*</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w:anchor="f10k2021ex21-1_agrifycorp.htm">
              <w:r>
                <w:rPr>
                  <w:rStyle w:val="InternetLink"/>
                  <w:sz w:val="20"/>
                </w:rPr>
                <w:t>Subsidiaries of the Registrant</w:t>
              </w:r>
            </w:hyperlink>
          </w:p>
        </w:tc>
      </w:tr>
      <w:tr>
        <w:trPr/>
        <w:tc>
          <w:tcPr>
            <w:tcW w:w="587" w:type="dxa"/>
            <w:tcBorders/>
            <w:shd w:fill="auto" w:val="clear"/>
            <w:vAlign w:val="center"/>
          </w:tcPr>
          <w:p>
            <w:pPr>
              <w:pStyle w:val="TableContents"/>
              <w:spacing w:before="0" w:after="283"/>
              <w:rPr/>
            </w:pPr>
            <w:r>
              <w:rPr/>
              <w:t>23.1*</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0"/>
              <w:ind w:left="0" w:right="0" w:hanging="0"/>
              <w:rPr/>
            </w:pPr>
            <w:hyperlink w:anchor="f10k2021ex23-1_agrifycorp.htm">
              <w:r>
                <w:rPr>
                  <w:rStyle w:val="InternetLink"/>
                </w:rPr>
                <w:t>Consent of Independent Registered Public Accounting Firm</w:t>
              </w:r>
            </w:hyperlink>
            <w:r>
              <w:rPr/>
              <w:t> </w:t>
            </w:r>
          </w:p>
        </w:tc>
      </w:tr>
      <w:tr>
        <w:trPr/>
        <w:tc>
          <w:tcPr>
            <w:tcW w:w="587" w:type="dxa"/>
            <w:tcBorders/>
            <w:shd w:fill="CCEEFF" w:val="clear"/>
            <w:vAlign w:val="center"/>
          </w:tcPr>
          <w:p>
            <w:pPr>
              <w:pStyle w:val="TableContents"/>
              <w:spacing w:before="0" w:after="283"/>
              <w:rPr>
                <w:sz w:val="20"/>
              </w:rPr>
            </w:pPr>
            <w:r>
              <w:rPr>
                <w:sz w:val="20"/>
              </w:rPr>
              <w:t>31.1*</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pPr>
            <w:hyperlink w:anchor="f10k2021ex31-1_agrifycorp.htm">
              <w:r>
                <w:rPr>
                  <w:rStyle w:val="InternetLink"/>
                </w:rPr>
                <w:t>Certification of Principal Executive Officer Pursuant to Securities Exchange Act Rules 13a-14(a) and 15(d)-14(a), as adopted Pursuant to Section 302 of the Sarbanes-Oxley Act of 2002</w:t>
              </w:r>
            </w:hyperlink>
          </w:p>
        </w:tc>
      </w:tr>
      <w:tr>
        <w:trPr/>
        <w:tc>
          <w:tcPr>
            <w:tcW w:w="587" w:type="dxa"/>
            <w:tcBorders/>
            <w:shd w:fill="auto" w:val="clear"/>
            <w:vAlign w:val="center"/>
          </w:tcPr>
          <w:p>
            <w:pPr>
              <w:pStyle w:val="TableContents"/>
              <w:spacing w:before="0" w:after="283"/>
              <w:rPr>
                <w:sz w:val="20"/>
              </w:rPr>
            </w:pPr>
            <w:r>
              <w:rPr>
                <w:sz w:val="20"/>
              </w:rPr>
              <w:t>31.2*</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0"/>
              <w:ind w:left="0" w:right="0" w:hanging="0"/>
              <w:rPr/>
            </w:pPr>
            <w:hyperlink w:anchor="f10k2021ex31-2_agrifycorp.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587" w:type="dxa"/>
            <w:tcBorders/>
            <w:shd w:fill="CCEEFF" w:val="clear"/>
            <w:vAlign w:val="center"/>
          </w:tcPr>
          <w:p>
            <w:pPr>
              <w:pStyle w:val="TableContents"/>
              <w:spacing w:before="0" w:after="283"/>
              <w:rPr>
                <w:sz w:val="20"/>
              </w:rPr>
            </w:pPr>
            <w:r>
              <w:rPr>
                <w:sz w:val="20"/>
              </w:rPr>
              <w:t>32.1**</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0"/>
              <w:ind w:left="0" w:right="0" w:hanging="0"/>
              <w:rPr/>
            </w:pPr>
            <w:hyperlink w:anchor="f10k2021ex32-1_agrifycorp.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587" w:type="dxa"/>
            <w:tcBorders/>
            <w:shd w:fill="auto" w:val="clear"/>
            <w:vAlign w:val="center"/>
          </w:tcPr>
          <w:p>
            <w:pPr>
              <w:pStyle w:val="TableContents"/>
              <w:spacing w:before="0" w:after="283"/>
              <w:rPr>
                <w:sz w:val="20"/>
              </w:rPr>
            </w:pPr>
            <w:r>
              <w:rPr>
                <w:sz w:val="20"/>
              </w:rPr>
              <w:t>32.2**</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0"/>
              <w:ind w:left="0" w:right="0" w:hanging="0"/>
              <w:rPr/>
            </w:pPr>
            <w:hyperlink w:anchor="f10k2021ex32-2_agrifycorp.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587" w:type="dxa"/>
            <w:tcBorders/>
            <w:shd w:fill="CCEEFF" w:val="clear"/>
            <w:vAlign w:val="center"/>
          </w:tcPr>
          <w:p>
            <w:pPr>
              <w:pStyle w:val="TableContents"/>
              <w:spacing w:before="0" w:after="283"/>
              <w:rPr>
                <w:sz w:val="20"/>
              </w:rPr>
            </w:pPr>
            <w:r>
              <w:rPr>
                <w:sz w:val="20"/>
              </w:rPr>
              <w:t>101.INS</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sz w:val="20"/>
              </w:rPr>
            </w:pPr>
            <w:r>
              <w:rPr>
                <w:sz w:val="20"/>
              </w:rPr>
              <w:t>Inline XBRL Instance Document  </w:t>
            </w:r>
          </w:p>
        </w:tc>
      </w:tr>
      <w:tr>
        <w:trPr/>
        <w:tc>
          <w:tcPr>
            <w:tcW w:w="587" w:type="dxa"/>
            <w:tcBorders/>
            <w:shd w:fill="auto" w:val="clear"/>
            <w:vAlign w:val="center"/>
          </w:tcPr>
          <w:p>
            <w:pPr>
              <w:pStyle w:val="TableContents"/>
              <w:spacing w:before="0" w:after="283"/>
              <w:rPr>
                <w:sz w:val="20"/>
              </w:rPr>
            </w:pPr>
            <w:r>
              <w:rPr>
                <w:sz w:val="20"/>
              </w:rPr>
              <w:t>101.SCH</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sz w:val="20"/>
              </w:rPr>
            </w:pPr>
            <w:r>
              <w:rPr>
                <w:sz w:val="20"/>
              </w:rPr>
              <w:t>Inline XBRL Taxonomy Extension Schema Document.</w:t>
            </w:r>
          </w:p>
        </w:tc>
      </w:tr>
      <w:tr>
        <w:trPr/>
        <w:tc>
          <w:tcPr>
            <w:tcW w:w="587" w:type="dxa"/>
            <w:tcBorders/>
            <w:shd w:fill="CCEEFF" w:val="clear"/>
            <w:vAlign w:val="center"/>
          </w:tcPr>
          <w:p>
            <w:pPr>
              <w:pStyle w:val="TableContents"/>
              <w:spacing w:before="0" w:after="283"/>
              <w:rPr>
                <w:sz w:val="20"/>
              </w:rPr>
            </w:pPr>
            <w:r>
              <w:rPr>
                <w:sz w:val="20"/>
              </w:rPr>
              <w:t>101.CAL</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sz w:val="20"/>
              </w:rPr>
            </w:pPr>
            <w:r>
              <w:rPr>
                <w:sz w:val="20"/>
              </w:rPr>
              <w:t>Inline XBRL Taxonomy Extension Calculation Linkbase Document.</w:t>
            </w:r>
          </w:p>
        </w:tc>
      </w:tr>
      <w:tr>
        <w:trPr/>
        <w:tc>
          <w:tcPr>
            <w:tcW w:w="587" w:type="dxa"/>
            <w:tcBorders/>
            <w:shd w:fill="auto" w:val="clear"/>
            <w:vAlign w:val="center"/>
          </w:tcPr>
          <w:p>
            <w:pPr>
              <w:pStyle w:val="TableContents"/>
              <w:spacing w:before="0" w:after="283"/>
              <w:rPr>
                <w:sz w:val="20"/>
              </w:rPr>
            </w:pPr>
            <w:r>
              <w:rPr>
                <w:sz w:val="20"/>
              </w:rPr>
              <w:t>101.DEF</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sz w:val="20"/>
              </w:rPr>
            </w:pPr>
            <w:r>
              <w:rPr>
                <w:sz w:val="20"/>
              </w:rPr>
              <w:t>Inline XBRL Taxonomy Extension Definition Linkbase Document.</w:t>
            </w:r>
          </w:p>
        </w:tc>
      </w:tr>
      <w:tr>
        <w:trPr/>
        <w:tc>
          <w:tcPr>
            <w:tcW w:w="587" w:type="dxa"/>
            <w:tcBorders/>
            <w:shd w:fill="CCEEFF" w:val="clear"/>
            <w:vAlign w:val="center"/>
          </w:tcPr>
          <w:p>
            <w:pPr>
              <w:pStyle w:val="TableContents"/>
              <w:spacing w:before="0" w:after="283"/>
              <w:rPr>
                <w:sz w:val="20"/>
              </w:rPr>
            </w:pPr>
            <w:r>
              <w:rPr>
                <w:sz w:val="20"/>
              </w:rPr>
              <w:t>101.LAB</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sz w:val="20"/>
              </w:rPr>
            </w:pPr>
            <w:r>
              <w:rPr>
                <w:sz w:val="20"/>
              </w:rPr>
              <w:t>Inline XBRL Taxonomy Extension Label Linkbase Document.</w:t>
            </w:r>
          </w:p>
        </w:tc>
      </w:tr>
      <w:tr>
        <w:trPr/>
        <w:tc>
          <w:tcPr>
            <w:tcW w:w="587" w:type="dxa"/>
            <w:tcBorders/>
            <w:shd w:fill="auto" w:val="clear"/>
            <w:vAlign w:val="center"/>
          </w:tcPr>
          <w:p>
            <w:pPr>
              <w:pStyle w:val="TableContents"/>
              <w:spacing w:before="0" w:after="283"/>
              <w:rPr>
                <w:sz w:val="20"/>
              </w:rPr>
            </w:pPr>
            <w:r>
              <w:rPr>
                <w:sz w:val="20"/>
              </w:rPr>
              <w:t>101.PRE</w:t>
            </w:r>
          </w:p>
        </w:tc>
        <w:tc>
          <w:tcPr>
            <w:tcW w:w="60" w:type="dxa"/>
            <w:tcBorders/>
            <w:shd w:fill="auto" w:val="clear"/>
            <w:vAlign w:val="center"/>
          </w:tcPr>
          <w:p>
            <w:pPr>
              <w:pStyle w:val="TableContents"/>
              <w:spacing w:before="0" w:after="283"/>
              <w:rPr/>
            </w:pPr>
            <w:r>
              <w:rPr/>
              <w:t> </w:t>
            </w:r>
          </w:p>
        </w:tc>
        <w:tc>
          <w:tcPr>
            <w:tcW w:w="9558" w:type="dxa"/>
            <w:tcBorders/>
            <w:shd w:fill="auto" w:val="clear"/>
            <w:vAlign w:val="center"/>
          </w:tcPr>
          <w:p>
            <w:pPr>
              <w:pStyle w:val="TableContents"/>
              <w:spacing w:before="0" w:after="283"/>
              <w:rPr>
                <w:sz w:val="20"/>
              </w:rPr>
            </w:pPr>
            <w:r>
              <w:rPr>
                <w:sz w:val="20"/>
              </w:rPr>
              <w:t>Inline XBRL Taxonomy Extension Presentation Linkbase Document.</w:t>
            </w:r>
          </w:p>
        </w:tc>
      </w:tr>
      <w:tr>
        <w:trPr/>
        <w:tc>
          <w:tcPr>
            <w:tcW w:w="587" w:type="dxa"/>
            <w:tcBorders/>
            <w:shd w:fill="CCEEFF" w:val="clear"/>
            <w:vAlign w:val="center"/>
          </w:tcPr>
          <w:p>
            <w:pPr>
              <w:pStyle w:val="TableContents"/>
              <w:spacing w:before="0" w:after="283"/>
              <w:rPr>
                <w:sz w:val="20"/>
              </w:rPr>
            </w:pPr>
            <w:r>
              <w:rPr>
                <w:sz w:val="20"/>
              </w:rPr>
              <w:t>104</w:t>
            </w:r>
          </w:p>
        </w:tc>
        <w:tc>
          <w:tcPr>
            <w:tcW w:w="60" w:type="dxa"/>
            <w:tcBorders/>
            <w:shd w:fill="CCEEFF" w:val="clear"/>
            <w:vAlign w:val="center"/>
          </w:tcPr>
          <w:p>
            <w:pPr>
              <w:pStyle w:val="TableContents"/>
              <w:spacing w:before="0" w:after="283"/>
              <w:rPr/>
            </w:pPr>
            <w:r>
              <w:rPr/>
              <w:t> </w:t>
            </w:r>
          </w:p>
        </w:tc>
        <w:tc>
          <w:tcPr>
            <w:tcW w:w="9558" w:type="dxa"/>
            <w:tcBorders/>
            <w:shd w:fill="CCEEFF" w:val="clear"/>
            <w:vAlign w:val="center"/>
          </w:tcPr>
          <w:p>
            <w:pPr>
              <w:pStyle w:val="TableContents"/>
              <w:spacing w:before="0" w:after="283"/>
              <w:rPr>
                <w:sz w:val="20"/>
              </w:rPr>
            </w:pPr>
            <w:r>
              <w:rPr>
                <w:sz w:val="20"/>
              </w:rPr>
              <w:t>Cover Page Interactive Data File (formatted as Inline XBRL and contained in Exhibit 101).</w:t>
            </w:r>
          </w:p>
        </w:tc>
      </w:tr>
    </w:tbl>
    <w:p>
      <w:pPr>
        <w:pStyle w:val="TextBody"/>
        <w:rPr>
          <w:caps w:val="false"/>
          <w:smallCaps w:val="false"/>
        </w:rPr>
      </w:pPr>
      <w:r>
        <w:rPr>
          <w:caps w:val="false"/>
          <w:smallCaps w:val="false"/>
        </w:rPr>
        <w:t>  </w:t>
      </w:r>
    </w:p>
    <w:tbl>
      <w:tblPr>
        <w:tblW w:w="8785" w:type="dxa"/>
        <w:jc w:val="left"/>
        <w:tblInd w:w="0" w:type="dxa"/>
        <w:tblCellMar>
          <w:top w:w="0" w:type="dxa"/>
          <w:left w:w="0" w:type="dxa"/>
          <w:bottom w:w="0" w:type="dxa"/>
          <w:right w:w="0" w:type="dxa"/>
        </w:tblCellMar>
      </w:tblPr>
      <w:tblGrid>
        <w:gridCol w:w="75"/>
        <w:gridCol w:w="125"/>
        <w:gridCol w:w="858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sz w:val="20"/>
              </w:rPr>
            </w:pPr>
            <w:r>
              <w:rPr>
                <w:sz w:val="20"/>
              </w:rPr>
              <w:t>±</w:t>
            </w:r>
          </w:p>
        </w:tc>
        <w:tc>
          <w:tcPr>
            <w:tcW w:w="8585" w:type="dxa"/>
            <w:tcBorders/>
            <w:shd w:fill="auto" w:val="clear"/>
            <w:vAlign w:val="center"/>
          </w:tcPr>
          <w:p>
            <w:pPr>
              <w:pStyle w:val="TableContents"/>
              <w:spacing w:before="0" w:after="283"/>
              <w:rPr>
                <w:sz w:val="20"/>
              </w:rPr>
            </w:pPr>
            <w:r>
              <w:rPr>
                <w:sz w:val="20"/>
              </w:rPr>
              <w:t>Certain information has been omitted from this exhibit in reliance upon Item 601(a)(5) of Regulation S-K.</w:t>
            </w:r>
          </w:p>
        </w:tc>
      </w:tr>
    </w:tbl>
    <w:p>
      <w:pPr>
        <w:pStyle w:val="TextBody"/>
        <w:spacing w:before="0" w:after="0"/>
        <w:ind w:left="0" w:right="0" w:hanging="0"/>
        <w:rPr>
          <w:caps w:val="false"/>
          <w:smallCaps w:val="false"/>
        </w:rPr>
      </w:pPr>
      <w:r>
        <w:rPr>
          <w:caps w:val="false"/>
          <w:smallCaps w:val="false"/>
        </w:rPr>
        <w:t> </w:t>
      </w:r>
    </w:p>
    <w:tbl>
      <w:tblPr>
        <w:tblW w:w="6723" w:type="dxa"/>
        <w:jc w:val="left"/>
        <w:tblInd w:w="0" w:type="dxa"/>
        <w:tblCellMar>
          <w:top w:w="0" w:type="dxa"/>
          <w:left w:w="0" w:type="dxa"/>
          <w:bottom w:w="0" w:type="dxa"/>
          <w:right w:w="0" w:type="dxa"/>
        </w:tblCellMar>
      </w:tblPr>
      <w:tblGrid>
        <w:gridCol w:w="38"/>
        <w:gridCol w:w="140"/>
        <w:gridCol w:w="654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w:t>
            </w:r>
          </w:p>
        </w:tc>
        <w:tc>
          <w:tcPr>
            <w:tcW w:w="65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Indicates a management contract or compensatory plan, contract or arrangement.</w:t>
            </w:r>
          </w:p>
        </w:tc>
      </w:tr>
    </w:tbl>
    <w:p>
      <w:pPr>
        <w:pStyle w:val="TextBody"/>
        <w:spacing w:before="0" w:after="0"/>
        <w:ind w:left="0" w:right="0" w:hanging="0"/>
        <w:rPr>
          <w:caps w:val="false"/>
          <w:smallCaps w:val="false"/>
        </w:rPr>
      </w:pPr>
      <w:r>
        <w:rPr>
          <w:caps w:val="false"/>
          <w:smallCaps w:val="false"/>
        </w:rPr>
        <w:t> </w:t>
      </w:r>
    </w:p>
    <w:tbl>
      <w:tblPr>
        <w:tblW w:w="1413" w:type="dxa"/>
        <w:jc w:val="left"/>
        <w:tblInd w:w="0" w:type="dxa"/>
        <w:tblCellMar>
          <w:top w:w="0" w:type="dxa"/>
          <w:left w:w="0" w:type="dxa"/>
          <w:bottom w:w="0" w:type="dxa"/>
          <w:right w:w="0" w:type="dxa"/>
        </w:tblCellMar>
      </w:tblPr>
      <w:tblGrid>
        <w:gridCol w:w="38"/>
        <w:gridCol w:w="125"/>
        <w:gridCol w:w="125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spacing w:before="0" w:after="0"/>
        <w:ind w:left="0" w:right="0" w:hanging="0"/>
        <w:rPr>
          <w:caps w:val="false"/>
          <w:smallCaps w:val="false"/>
        </w:rPr>
      </w:pPr>
      <w:r>
        <w:rPr>
          <w:caps w:val="false"/>
          <w:smallCaps w:val="false"/>
        </w:rPr>
        <w:t> </w:t>
      </w:r>
    </w:p>
    <w:tbl>
      <w:tblPr>
        <w:tblW w:w="1908" w:type="dxa"/>
        <w:jc w:val="left"/>
        <w:tblInd w:w="0" w:type="dxa"/>
        <w:tblCellMar>
          <w:top w:w="0" w:type="dxa"/>
          <w:left w:w="0" w:type="dxa"/>
          <w:bottom w:w="0" w:type="dxa"/>
          <w:right w:w="0" w:type="dxa"/>
        </w:tblCellMar>
      </w:tblPr>
      <w:tblGrid>
        <w:gridCol w:w="38"/>
        <w:gridCol w:w="230"/>
        <w:gridCol w:w="164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7" w:name="item16"/>
      <w:bookmarkEnd w:id="27"/>
      <w:r>
        <w:rPr>
          <w:rFonts w:ascii="Times New Roman;Times;Serif" w:hAnsi="Times New Roman;Times;Serif"/>
          <w:b/>
          <w:i w:val="false"/>
          <w:caps w:val="false"/>
          <w:smallCaps w:val="false"/>
          <w:sz w:val="20"/>
        </w:rPr>
        <w:t>Item 16. Form 10-K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8" w:name="agri_025"/>
      <w:bookmarkEnd w:id="28"/>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firstLine="720"/>
        <w:rPr>
          <w:caps w:val="false"/>
          <w:smallCaps w:val="false"/>
        </w:rPr>
      </w:pPr>
      <w:r>
        <w:rPr>
          <w:caps w:val="false"/>
          <w:smallCaps w:val="false"/>
        </w:rPr>
        <w:t> </w:t>
      </w:r>
    </w:p>
    <w:tbl>
      <w:tblPr>
        <w:tblW w:w="4620" w:type="dxa"/>
        <w:jc w:val="left"/>
        <w:tblInd w:w="0" w:type="dxa"/>
        <w:tblCellMar>
          <w:top w:w="0" w:type="dxa"/>
          <w:left w:w="0" w:type="dxa"/>
          <w:bottom w:w="0" w:type="dxa"/>
          <w:right w:w="0" w:type="dxa"/>
        </w:tblCellMar>
      </w:tblPr>
      <w:tblGrid>
        <w:gridCol w:w="1805"/>
        <w:gridCol w:w="320"/>
        <w:gridCol w:w="2495"/>
      </w:tblGrid>
      <w:tr>
        <w:trPr/>
        <w:tc>
          <w:tcPr>
            <w:tcW w:w="1805" w:type="dxa"/>
            <w:tcBorders/>
            <w:shd w:fill="auto" w:val="clear"/>
            <w:vAlign w:val="center"/>
          </w:tcPr>
          <w:p>
            <w:pPr>
              <w:pStyle w:val="TableContents"/>
              <w:spacing w:before="0" w:after="283"/>
              <w:rPr/>
            </w:pPr>
            <w:r>
              <w:rPr/>
              <w:t> </w:t>
            </w:r>
          </w:p>
        </w:tc>
        <w:tc>
          <w:tcPr>
            <w:tcW w:w="2815"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AGRIFY CORPORATION</w:t>
            </w:r>
          </w:p>
        </w:tc>
      </w:tr>
      <w:tr>
        <w:trPr/>
        <w:tc>
          <w:tcPr>
            <w:tcW w:w="1805" w:type="dxa"/>
            <w:tcBorders/>
            <w:shd w:fill="auto" w:val="clear"/>
            <w:vAlign w:val="center"/>
          </w:tcPr>
          <w:p>
            <w:pPr>
              <w:pStyle w:val="TableContents"/>
              <w:spacing w:before="0" w:after="283"/>
              <w:rPr/>
            </w:pPr>
            <w:r>
              <w:rPr/>
              <w:t> </w:t>
            </w:r>
          </w:p>
        </w:tc>
        <w:tc>
          <w:tcPr>
            <w:tcW w:w="2815" w:type="dxa"/>
            <w:gridSpan w:val="2"/>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31, 2022</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4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Raymond Chang</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Raymond Chang</w:t>
            </w:r>
          </w:p>
        </w:tc>
      </w:tr>
      <w:tr>
        <w:trPr/>
        <w:tc>
          <w:tcPr>
            <w:tcW w:w="180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Chief Executive Officer </w:t>
              <w:b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 on behalf of the Registrant and in the capacities and on the dates indicated.</w:t>
      </w:r>
    </w:p>
    <w:p>
      <w:pPr>
        <w:pStyle w:val="TextBody"/>
        <w:spacing w:before="0" w:after="0"/>
        <w:ind w:left="0" w:right="0" w:firstLine="360"/>
        <w:rPr>
          <w:caps w:val="false"/>
          <w:smallCaps w:val="false"/>
        </w:rPr>
      </w:pPr>
      <w:r>
        <w:rPr>
          <w:caps w:val="false"/>
          <w:smallCaps w:val="false"/>
        </w:rPr>
        <w:t> </w:t>
      </w:r>
    </w:p>
    <w:tbl>
      <w:tblPr>
        <w:tblW w:w="6885" w:type="dxa"/>
        <w:jc w:val="left"/>
        <w:tblInd w:w="0" w:type="dxa"/>
        <w:tblCellMar>
          <w:top w:w="0" w:type="dxa"/>
          <w:left w:w="0" w:type="dxa"/>
          <w:bottom w:w="28" w:type="dxa"/>
          <w:right w:w="0" w:type="dxa"/>
        </w:tblCellMar>
      </w:tblPr>
      <w:tblGrid>
        <w:gridCol w:w="1805"/>
        <w:gridCol w:w="60"/>
        <w:gridCol w:w="3635"/>
        <w:gridCol w:w="60"/>
        <w:gridCol w:w="1325"/>
      </w:tblGrid>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rPr/>
            </w:pPr>
            <w:r>
              <w:rPr/>
              <w:t> </w:t>
            </w:r>
          </w:p>
        </w:tc>
        <w:tc>
          <w:tcPr>
            <w:tcW w:w="36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rPr/>
            </w:pPr>
            <w:r>
              <w:rPr/>
              <w:t> </w:t>
            </w:r>
          </w:p>
        </w:tc>
        <w:tc>
          <w:tcPr>
            <w:tcW w:w="13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Raymond Chang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Raymond Chang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Timothy Oakes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Timothy Oakes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Thomas Massie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Operating Officer and 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Thomas Massie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Guichao Hua</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Guichao Hua</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Krishnan Varier</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Krishnan Varier</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Timothy Mahoney</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Timothy Mahoney</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Stuart Wilcox</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Stuart Wilcox</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80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Leonard Sokolow</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2022</w:t>
            </w:r>
          </w:p>
        </w:tc>
      </w:tr>
      <w:tr>
        <w:trPr/>
        <w:tc>
          <w:tcPr>
            <w:tcW w:w="18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Leonard Sokolow</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br/>
        <w:t>Index to Consolidated Financial Statements</w:t>
      </w:r>
    </w:p>
    <w:p>
      <w:pPr>
        <w:pStyle w:val="TextBody"/>
        <w:spacing w:before="0" w:after="0"/>
        <w:ind w:left="0" w:right="0" w:hanging="0"/>
        <w:jc w:val="center"/>
        <w:rPr>
          <w:caps w:val="false"/>
          <w:smallCaps w:val="false"/>
        </w:rPr>
      </w:pPr>
      <w:r>
        <w:rPr>
          <w:caps w:val="false"/>
          <w:smallCaps w:val="false"/>
        </w:rPr>
        <w:t> </w:t>
      </w:r>
    </w:p>
    <w:tbl>
      <w:tblPr>
        <w:tblW w:w="5695" w:type="dxa"/>
        <w:jc w:val="left"/>
        <w:tblInd w:w="0" w:type="dxa"/>
        <w:tblCellMar>
          <w:top w:w="0" w:type="dxa"/>
          <w:left w:w="0" w:type="dxa"/>
          <w:bottom w:w="0" w:type="dxa"/>
          <w:right w:w="0" w:type="dxa"/>
        </w:tblCellMar>
      </w:tblPr>
      <w:tblGrid>
        <w:gridCol w:w="4760"/>
        <w:gridCol w:w="60"/>
        <w:gridCol w:w="875"/>
      </w:tblGrid>
      <w:tr>
        <w:trPr/>
        <w:tc>
          <w:tcPr>
            <w:tcW w:w="4760" w:type="dxa"/>
            <w:tcBorders/>
            <w:shd w:fill="auto" w:val="clear"/>
            <w:vAlign w:val="center"/>
          </w:tcPr>
          <w:p>
            <w:pPr>
              <w:pStyle w:val="TableContents"/>
              <w:spacing w:before="0" w:after="283"/>
              <w:ind w:left="0" w:right="0" w:hanging="200"/>
              <w:rPr>
                <w:rFonts w:ascii="Times New Roman;Times;Serif" w:hAnsi="Times New Roman;Times;Serif"/>
                <w:i/>
                <w:sz w:val="20"/>
              </w:rPr>
            </w:pPr>
            <w:r>
              <w:rPr>
                <w:rFonts w:ascii="Times New Roman;Times;Serif" w:hAnsi="Times New Roman;Times;Serif"/>
                <w:i/>
                <w:sz w:val="20"/>
              </w:rPr>
              <w:t>Fiscal Years Ended December 31, 2021 and 2020:</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r>
      <w:tr>
        <w:trPr/>
        <w:tc>
          <w:tcPr>
            <w:tcW w:w="47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ind w:left="0" w:right="0" w:hanging="200"/>
              <w:rPr/>
            </w:pPr>
            <w:r>
              <w:rPr/>
              <w:t> </w:t>
            </w:r>
          </w:p>
        </w:tc>
      </w:tr>
      <w:tr>
        <w:trPr/>
        <w:tc>
          <w:tcPr>
            <w:tcW w:w="4760" w:type="dxa"/>
            <w:tcBorders/>
            <w:shd w:fill="CCEEFF" w:val="clear"/>
            <w:vAlign w:val="center"/>
          </w:tcPr>
          <w:p>
            <w:pPr>
              <w:pStyle w:val="TableContents"/>
              <w:spacing w:before="0" w:after="283"/>
              <w:rPr/>
            </w:pPr>
            <w:hyperlink w:anchor="agri_026">
              <w:r>
                <w:rPr>
                  <w:rStyle w:val="InternetLink"/>
                  <w:rFonts w:ascii="Times New Roman;Times;Serif" w:hAnsi="Times New Roman;Times;Serif"/>
                  <w:sz w:val="20"/>
                </w:rPr>
                <w:t>Independent Auditors’ Report (PCAOB ID # 688)</w:t>
              </w:r>
            </w:hyperlink>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ind w:left="0" w:right="0" w:hanging="200"/>
              <w:jc w:val="center"/>
              <w:rPr>
                <w:rFonts w:ascii="Times New Roman;Times;Serif" w:hAnsi="Times New Roman;Times;Serif"/>
                <w:sz w:val="20"/>
              </w:rPr>
            </w:pPr>
            <w:r>
              <w:rPr>
                <w:rFonts w:ascii="Times New Roman;Times;Serif" w:hAnsi="Times New Roman;Times;Serif"/>
                <w:sz w:val="20"/>
              </w:rPr>
              <w:t>F-2</w:t>
            </w:r>
          </w:p>
        </w:tc>
      </w:tr>
      <w:tr>
        <w:trPr/>
        <w:tc>
          <w:tcPr>
            <w:tcW w:w="4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Consolidated Financial Statements</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ind w:left="0" w:right="0" w:hanging="200"/>
              <w:rPr/>
            </w:pPr>
            <w:r>
              <w:rPr/>
              <w:t> </w:t>
            </w:r>
          </w:p>
        </w:tc>
      </w:tr>
      <w:tr>
        <w:trPr/>
        <w:tc>
          <w:tcPr>
            <w:tcW w:w="4760" w:type="dxa"/>
            <w:tcBorders/>
            <w:shd w:fill="CCEEFF" w:val="clear"/>
            <w:vAlign w:val="center"/>
          </w:tcPr>
          <w:p>
            <w:pPr>
              <w:pStyle w:val="TableContents"/>
              <w:spacing w:before="0" w:after="283"/>
              <w:rPr/>
            </w:pPr>
            <w:hyperlink w:anchor="agri_027">
              <w:r>
                <w:rPr>
                  <w:rStyle w:val="InternetLink"/>
                  <w:rFonts w:ascii="Times New Roman;Times;Serif" w:hAnsi="Times New Roman;Times;Serif"/>
                  <w:sz w:val="20"/>
                </w:rPr>
                <w:t>Consolidated Balance Sheets</w:t>
              </w:r>
            </w:hyperlink>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ind w:left="0" w:right="0" w:hanging="200"/>
              <w:jc w:val="center"/>
              <w:rPr>
                <w:rFonts w:ascii="Times New Roman;Times;Serif" w:hAnsi="Times New Roman;Times;Serif"/>
                <w:sz w:val="20"/>
              </w:rPr>
            </w:pPr>
            <w:r>
              <w:rPr>
                <w:rFonts w:ascii="Times New Roman;Times;Serif" w:hAnsi="Times New Roman;Times;Serif"/>
                <w:sz w:val="20"/>
              </w:rPr>
              <w:t>F-3</w:t>
            </w:r>
          </w:p>
        </w:tc>
      </w:tr>
      <w:tr>
        <w:trPr/>
        <w:tc>
          <w:tcPr>
            <w:tcW w:w="4760" w:type="dxa"/>
            <w:tcBorders/>
            <w:shd w:fill="auto" w:val="clear"/>
            <w:vAlign w:val="center"/>
          </w:tcPr>
          <w:p>
            <w:pPr>
              <w:pStyle w:val="TableContents"/>
              <w:spacing w:before="0" w:after="283"/>
              <w:rPr/>
            </w:pPr>
            <w:hyperlink w:anchor="agri_028">
              <w:r>
                <w:rPr>
                  <w:rStyle w:val="InternetLink"/>
                  <w:rFonts w:ascii="Times New Roman;Times;Serif" w:hAnsi="Times New Roman;Times;Serif"/>
                  <w:sz w:val="20"/>
                </w:rPr>
                <w:t>Consolidated Statements of Operations</w:t>
              </w:r>
            </w:hyperlink>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ind w:left="0" w:right="0" w:hanging="200"/>
              <w:jc w:val="center"/>
              <w:rPr>
                <w:rFonts w:ascii="Times New Roman;Times;Serif" w:hAnsi="Times New Roman;Times;Serif"/>
                <w:sz w:val="20"/>
              </w:rPr>
            </w:pPr>
            <w:r>
              <w:rPr>
                <w:rFonts w:ascii="Times New Roman;Times;Serif" w:hAnsi="Times New Roman;Times;Serif"/>
                <w:sz w:val="20"/>
              </w:rPr>
              <w:t>F-4</w:t>
            </w:r>
          </w:p>
        </w:tc>
      </w:tr>
      <w:tr>
        <w:trPr/>
        <w:tc>
          <w:tcPr>
            <w:tcW w:w="4760" w:type="dxa"/>
            <w:tcBorders/>
            <w:shd w:fill="CCEEFF" w:val="clear"/>
            <w:vAlign w:val="center"/>
          </w:tcPr>
          <w:p>
            <w:pPr>
              <w:pStyle w:val="TableContents"/>
              <w:spacing w:before="0" w:after="283"/>
              <w:rPr/>
            </w:pPr>
            <w:hyperlink w:anchor="agri_029">
              <w:r>
                <w:rPr>
                  <w:rStyle w:val="InternetLink"/>
                  <w:rFonts w:ascii="Times New Roman;Times;Serif" w:hAnsi="Times New Roman;Times;Serif"/>
                  <w:sz w:val="20"/>
                </w:rPr>
                <w:t>Consolidated Statements of Stockholders’ Equity (Deficit)</w:t>
              </w:r>
            </w:hyperlink>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ind w:left="0" w:right="0" w:hanging="200"/>
              <w:jc w:val="center"/>
              <w:rPr>
                <w:rFonts w:ascii="Times New Roman;Times;Serif" w:hAnsi="Times New Roman;Times;Serif"/>
                <w:sz w:val="20"/>
              </w:rPr>
            </w:pPr>
            <w:r>
              <w:rPr>
                <w:rFonts w:ascii="Times New Roman;Times;Serif" w:hAnsi="Times New Roman;Times;Serif"/>
                <w:sz w:val="20"/>
              </w:rPr>
              <w:t>F-5</w:t>
            </w:r>
          </w:p>
        </w:tc>
      </w:tr>
      <w:tr>
        <w:trPr/>
        <w:tc>
          <w:tcPr>
            <w:tcW w:w="4760" w:type="dxa"/>
            <w:tcBorders/>
            <w:shd w:fill="auto" w:val="clear"/>
            <w:vAlign w:val="center"/>
          </w:tcPr>
          <w:p>
            <w:pPr>
              <w:pStyle w:val="TableContents"/>
              <w:spacing w:before="0" w:after="283"/>
              <w:rPr/>
            </w:pPr>
            <w:hyperlink w:anchor="agri_030">
              <w:r>
                <w:rPr>
                  <w:rStyle w:val="InternetLink"/>
                  <w:rFonts w:ascii="Times New Roman;Times;Serif" w:hAnsi="Times New Roman;Times;Serif"/>
                  <w:sz w:val="20"/>
                </w:rPr>
                <w:t>Consolidated Statements of Cash Flows</w:t>
              </w:r>
            </w:hyperlink>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ind w:left="0" w:right="0" w:hanging="200"/>
              <w:jc w:val="center"/>
              <w:rPr>
                <w:rFonts w:ascii="Times New Roman;Times;Serif" w:hAnsi="Times New Roman;Times;Serif"/>
                <w:sz w:val="20"/>
              </w:rPr>
            </w:pPr>
            <w:r>
              <w:rPr>
                <w:rFonts w:ascii="Times New Roman;Times;Serif" w:hAnsi="Times New Roman;Times;Serif"/>
                <w:sz w:val="20"/>
              </w:rPr>
              <w:t>F-6</w:t>
            </w:r>
          </w:p>
        </w:tc>
      </w:tr>
      <w:tr>
        <w:trPr/>
        <w:tc>
          <w:tcPr>
            <w:tcW w:w="4760" w:type="dxa"/>
            <w:tcBorders/>
            <w:shd w:fill="CCEEFF" w:val="clear"/>
            <w:vAlign w:val="center"/>
          </w:tcPr>
          <w:p>
            <w:pPr>
              <w:pStyle w:val="TableContents"/>
              <w:spacing w:before="0" w:after="283"/>
              <w:rPr/>
            </w:pPr>
            <w:hyperlink w:anchor="agri_031">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F-7 – F-43</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9" w:name="agri_026"/>
      <w:bookmarkEnd w:id="29"/>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and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Agrify Corporation and Subsidiaries (the “Company”) as of December 31, 2021 and 2020, the related consolidated statements of operations, stockholders’ equity (deficit) and cash flows for each of the two years in the period ended December 31, 2021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2022</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0" w:name="agri_027"/>
      <w:bookmarkEnd w:id="30"/>
      <w:r>
        <w:rPr>
          <w:rFonts w:ascii="Times New Roman;Times;Serif" w:hAnsi="Times New Roman;Times;Serif"/>
          <w:b/>
          <w:i w:val="false"/>
          <w:caps w:val="false"/>
          <w:smallCaps w:val="false"/>
          <w:sz w:val="20"/>
        </w:rPr>
        <w:t>AGRIFY CORPORATION AND SUBSIDIARIES</w:t>
        <w:br/>
        <w:t>CONSOLIDATED BALANCE SHEETS</w:t>
        <w:br/>
        <w:t>(In thousands, except share and per share data)</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066"/>
        <w:gridCol w:w="60"/>
        <w:gridCol w:w="140"/>
        <w:gridCol w:w="801"/>
        <w:gridCol w:w="95"/>
        <w:gridCol w:w="60"/>
        <w:gridCol w:w="140"/>
        <w:gridCol w:w="755"/>
        <w:gridCol w:w="88"/>
      </w:tblGrid>
      <w:tr>
        <w:trPr/>
        <w:tc>
          <w:tcPr>
            <w:tcW w:w="806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991"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w:t>
            </w:r>
          </w:p>
        </w:tc>
        <w:tc>
          <w:tcPr>
            <w:tcW w:w="88" w:type="dxa"/>
            <w:tcBorders/>
            <w:shd w:fill="auto" w:val="clear"/>
            <w:vAlign w:val="center"/>
          </w:tcPr>
          <w:p>
            <w:pPr>
              <w:pStyle w:val="TableContents"/>
              <w:spacing w:before="0" w:after="283"/>
              <w:jc w:val="center"/>
              <w:rPr/>
            </w:pPr>
            <w:r>
              <w:rPr/>
              <w:t> </w:t>
            </w:r>
          </w:p>
        </w:tc>
      </w:tr>
      <w:tr>
        <w:trPr/>
        <w:tc>
          <w:tcPr>
            <w:tcW w:w="806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88" w:type="dxa"/>
            <w:tcBorders/>
            <w:shd w:fill="auto" w:val="clear"/>
            <w:vAlign w:val="center"/>
          </w:tcPr>
          <w:p>
            <w:pPr>
              <w:pStyle w:val="TableContents"/>
              <w:spacing w:before="0" w:after="283"/>
              <w:jc w:val="center"/>
              <w:rPr/>
            </w:pPr>
            <w:r>
              <w:rPr/>
              <w:t> </w:t>
            </w:r>
          </w:p>
        </w:tc>
      </w:tr>
      <w:tr>
        <w:trPr/>
        <w:tc>
          <w:tcPr>
            <w:tcW w:w="8066"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941"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ind w:left="0" w:right="0" w:hanging="200"/>
              <w:rPr/>
            </w:pPr>
            <w:r>
              <w:rPr/>
              <w:t> </w:t>
            </w:r>
          </w:p>
        </w:tc>
      </w:tr>
      <w:tr>
        <w:trPr/>
        <w:tc>
          <w:tcPr>
            <w:tcW w:w="8066" w:type="dxa"/>
            <w:tcBorders/>
            <w:shd w:fill="CCEEFF" w:val="clear"/>
            <w:vAlign w:val="center"/>
          </w:tcPr>
          <w:p>
            <w:pPr>
              <w:pStyle w:val="TableContents"/>
              <w:spacing w:before="0" w:after="283"/>
              <w:jc w:val="left"/>
              <w:rPr/>
            </w:pPr>
            <w:r>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1" w:type="dxa"/>
            <w:tcBorders/>
            <w:shd w:fill="CCEEFF" w:val="clear"/>
            <w:vAlign w:val="center"/>
          </w:tcPr>
          <w:p>
            <w:pPr>
              <w:pStyle w:val="TableContents"/>
              <w:spacing w:before="0" w:after="283"/>
              <w:jc w:val="right"/>
              <w:rPr/>
            </w:pPr>
            <w:r>
              <w:rPr/>
              <w:t>12,014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8,111</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Marketable securities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44,550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Accounts receivable, net of allowance for doubtful accounts of $1,415 and $54, as of December 31, 2021 and December 31, 2020,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7,222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4,014</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rPr/>
            </w:pPr>
            <w:r>
              <w:rPr/>
              <w:t>Inventory, net of reserves of $942 and $0, as of December 31, 2021 and December 31, 2020, respectively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20,498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5,170</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Deferred IPO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981</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Prepaid expenses and other current assets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2,452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364</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86,736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18,640</w:t>
            </w:r>
          </w:p>
        </w:tc>
        <w:tc>
          <w:tcPr>
            <w:tcW w:w="88" w:type="dxa"/>
            <w:tcBorders/>
            <w:shd w:fill="CCEEFF" w:val="clear"/>
            <w:vAlign w:val="center"/>
          </w:tcPr>
          <w:p>
            <w:pPr>
              <w:pStyle w:val="TableContents"/>
              <w:spacing w:before="0" w:after="283"/>
              <w:jc w:val="left"/>
              <w:rPr/>
            </w:pPr>
            <w:r>
              <w:rPr/>
              <w:t> </w:t>
            </w:r>
          </w:p>
        </w:tc>
      </w:tr>
      <w:tr>
        <w:trPr/>
        <w:tc>
          <w:tcPr>
            <w:tcW w:w="80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jc w:val="left"/>
              <w:rPr/>
            </w:pPr>
            <w:r>
              <w:rPr/>
              <w:t> </w:t>
            </w:r>
          </w:p>
        </w:tc>
      </w:tr>
      <w:tr>
        <w:trPr/>
        <w:tc>
          <w:tcPr>
            <w:tcW w:w="8066" w:type="dxa"/>
            <w:tcBorders/>
            <w:shd w:fill="CCEEFF" w:val="clear"/>
            <w:vAlign w:val="center"/>
          </w:tcPr>
          <w:p>
            <w:pPr>
              <w:pStyle w:val="TableContents"/>
              <w:spacing w:before="0" w:after="283"/>
              <w:jc w:val="left"/>
              <w:rPr/>
            </w:pPr>
            <w:r>
              <w:rPr/>
              <w:t>Loan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22,255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Property and equipment,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6,232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873</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Right-of-use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1,479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rPr/>
            </w:pPr>
            <w:r>
              <w:rPr/>
              <w:t>Goodwill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50,090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632</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Intangible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14,072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1,694</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Other non-current assets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1,184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Total Assets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1" w:type="dxa"/>
            <w:tcBorders>
              <w:bottom w:val="double" w:sz="10" w:space="0" w:color="000000"/>
            </w:tcBorders>
            <w:shd w:fill="CCEEFF" w:val="clear"/>
            <w:tcMar>
              <w:bottom w:w="28" w:type="dxa"/>
            </w:tcMar>
            <w:vAlign w:val="center"/>
          </w:tcPr>
          <w:p>
            <w:pPr>
              <w:pStyle w:val="TableContents"/>
              <w:spacing w:before="0" w:after="283"/>
              <w:jc w:val="right"/>
              <w:rPr/>
            </w:pPr>
            <w:r>
              <w:rPr/>
              <w:t>182,048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21,839</w:t>
            </w:r>
          </w:p>
        </w:tc>
        <w:tc>
          <w:tcPr>
            <w:tcW w:w="88" w:type="dxa"/>
            <w:tcBorders/>
            <w:shd w:fill="CCEEFF" w:val="clear"/>
            <w:vAlign w:val="center"/>
          </w:tcPr>
          <w:p>
            <w:pPr>
              <w:pStyle w:val="TableContents"/>
              <w:spacing w:before="0" w:after="283"/>
              <w:jc w:val="left"/>
              <w:rPr/>
            </w:pPr>
            <w:r>
              <w:rPr/>
              <w:t> </w:t>
            </w:r>
          </w:p>
        </w:tc>
      </w:tr>
      <w:tr>
        <w:trPr/>
        <w:tc>
          <w:tcPr>
            <w:tcW w:w="80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Liabilities and Stockholders’ Equity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b/>
              </w:rPr>
            </w:pPr>
            <w:r>
              <w:rPr>
                <w:b/>
              </w:rPr>
              <w:t>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1" w:type="dxa"/>
            <w:tcBorders/>
            <w:shd w:fill="CCEEFF" w:val="clear"/>
            <w:vAlign w:val="center"/>
          </w:tcPr>
          <w:p>
            <w:pPr>
              <w:pStyle w:val="TableContents"/>
              <w:spacing w:before="0" w:after="283"/>
              <w:jc w:val="right"/>
              <w:rPr/>
            </w:pPr>
            <w:r>
              <w:rPr/>
              <w:t>9,151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693</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Accrued expenses and other 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28,764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6,550</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rPr/>
            </w:pPr>
            <w:r>
              <w:rPr/>
              <w:t>Notes payable, net of debt discount of $0 and $4,777 as of December 31, 2021 and December 31, 2020,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12,493</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Derivative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7,141</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Operating lease liabilities, current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814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Long-term debt, current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1,089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Deferred revenue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spacing w:before="0" w:after="283"/>
              <w:jc w:val="right"/>
              <w:rPr/>
            </w:pPr>
            <w:r>
              <w:rPr/>
              <w:t>3,772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152</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b/>
              </w:rPr>
            </w:pPr>
            <w:r>
              <w:rPr>
                <w:b/>
              </w:rPr>
              <w:t>Total current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43,590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27,029</w:t>
            </w:r>
          </w:p>
        </w:tc>
        <w:tc>
          <w:tcPr>
            <w:tcW w:w="88" w:type="dxa"/>
            <w:tcBorders/>
            <w:shd w:fill="auto" w:val="clear"/>
            <w:vAlign w:val="center"/>
          </w:tcPr>
          <w:p>
            <w:pPr>
              <w:pStyle w:val="TableContents"/>
              <w:spacing w:before="0" w:after="283"/>
              <w:jc w:val="left"/>
              <w:rPr/>
            </w:pPr>
            <w:r>
              <w:rPr/>
              <w:t> </w:t>
            </w:r>
          </w:p>
        </w:tc>
      </w:tr>
      <w:tr>
        <w:trPr/>
        <w:tc>
          <w:tcPr>
            <w:tcW w:w="806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Other non-current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318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435</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Operating lease liabilities, non-current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704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Long-term debt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12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829</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Total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1" w:type="dxa"/>
            <w:tcBorders>
              <w:bottom w:val="single" w:sz="12" w:space="0" w:color="000000"/>
            </w:tcBorders>
            <w:shd w:fill="CCEEFF" w:val="clear"/>
            <w:tcMar>
              <w:bottom w:w="28" w:type="dxa"/>
            </w:tcMar>
            <w:vAlign w:val="center"/>
          </w:tcPr>
          <w:p>
            <w:pPr>
              <w:pStyle w:val="TableContents"/>
              <w:spacing w:before="0" w:after="283"/>
              <w:jc w:val="right"/>
              <w:rPr/>
            </w:pPr>
            <w:r>
              <w:rPr/>
              <w:t>44,624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28,293</w:t>
            </w:r>
          </w:p>
        </w:tc>
        <w:tc>
          <w:tcPr>
            <w:tcW w:w="88" w:type="dxa"/>
            <w:tcBorders/>
            <w:shd w:fill="CCEEFF" w:val="clear"/>
            <w:vAlign w:val="center"/>
          </w:tcPr>
          <w:p>
            <w:pPr>
              <w:pStyle w:val="TableContents"/>
              <w:spacing w:before="0" w:after="283"/>
              <w:jc w:val="left"/>
              <w:rPr/>
            </w:pPr>
            <w:r>
              <w:rPr/>
              <w:t> </w:t>
            </w:r>
          </w:p>
        </w:tc>
      </w:tr>
      <w:tr>
        <w:trPr/>
        <w:tc>
          <w:tcPr>
            <w:tcW w:w="80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Commitments and contingencies (Note 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0"/>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 </w:t>
            </w:r>
          </w:p>
        </w:tc>
        <w:tc>
          <w:tcPr>
            <w:tcW w:w="88" w:type="dxa"/>
            <w:tcBorders/>
            <w:shd w:fill="CCEEFF" w:val="clear"/>
            <w:vAlign w:val="center"/>
          </w:tcPr>
          <w:p>
            <w:pPr>
              <w:pStyle w:val="TableContents"/>
              <w:spacing w:before="0" w:after="283"/>
              <w:jc w:val="left"/>
              <w:rPr/>
            </w:pPr>
            <w:r>
              <w:rPr/>
              <w:t> </w:t>
            </w:r>
          </w:p>
        </w:tc>
      </w:tr>
      <w:tr>
        <w:trPr/>
        <w:tc>
          <w:tcPr>
            <w:tcW w:w="806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Stockholders’ Equity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Common stock, 50,000,000 shares, $0.001 par value authorized as of December 31, 2021 and December 31, 2020, respectively; 22,207,103 and 4,211,677 shares issued and outstanding at December 31, 2021 and 2020, respectively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283"/>
              <w:jc w:val="right"/>
              <w:rPr/>
            </w:pPr>
            <w:r>
              <w:rPr/>
              <w:t>21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4</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rPr/>
            </w:pPr>
            <w:r>
              <w:rPr/>
              <w:t>Preferred stock 2,895,000 shares, $0.001 par value authorized as of December 31, 2021 and 2020, respectively; 0 shares issued and outstanding as of December 31, 2021 and 2020,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Preferred A stock 105,000, $0.001 par value authorized as of December 31, 2021 and 2020, respectively; 0 and 100,000 shares issued and outstanding at December 31, 2021 and 2020, respectively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1"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pPr>
            <w:r>
              <w:rPr/>
              <w:t>Additional paid-in capital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1" w:type="dxa"/>
            <w:tcBorders/>
            <w:shd w:fill="CCEEFF" w:val="clear"/>
            <w:vAlign w:val="center"/>
          </w:tcPr>
          <w:p>
            <w:pPr>
              <w:pStyle w:val="TableContents"/>
              <w:spacing w:before="0" w:after="283"/>
              <w:jc w:val="right"/>
              <w:rPr/>
            </w:pPr>
            <w:r>
              <w:rPr/>
              <w:t>196,013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19,827</w:t>
            </w:r>
          </w:p>
        </w:tc>
        <w:tc>
          <w:tcPr>
            <w:tcW w:w="88" w:type="dxa"/>
            <w:tcBorders/>
            <w:shd w:fill="CCEEFF" w:val="clear"/>
            <w:vAlign w:val="center"/>
          </w:tcPr>
          <w:p>
            <w:pPr>
              <w:pStyle w:val="TableContents"/>
              <w:spacing w:before="0" w:after="283"/>
              <w:ind w:left="0" w:right="0" w:hanging="200"/>
              <w:jc w:val="left"/>
              <w:rPr/>
            </w:pPr>
            <w:r>
              <w:rPr/>
              <w:t> </w:t>
            </w:r>
          </w:p>
        </w:tc>
      </w:tr>
      <w:tr>
        <w:trPr/>
        <w:tc>
          <w:tcPr>
            <w:tcW w:w="8066" w:type="dxa"/>
            <w:tcBorders/>
            <w:shd w:fill="auto" w:val="clear"/>
            <w:vAlign w:val="center"/>
          </w:tcPr>
          <w:p>
            <w:pPr>
              <w:pStyle w:val="TableContents"/>
              <w:spacing w:before="0" w:after="283"/>
              <w:jc w:val="left"/>
              <w:rPr/>
            </w:pPr>
            <w:r>
              <w:rPr/>
              <w:t>Accumulated deficit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(58,975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(26,510</w:t>
            </w:r>
          </w:p>
        </w:tc>
        <w:tc>
          <w:tcPr>
            <w:tcW w:w="88" w:type="dxa"/>
            <w:tcBorders/>
            <w:shd w:fill="auto" w:val="clear"/>
            <w:vAlign w:val="center"/>
          </w:tcPr>
          <w:p>
            <w:pPr>
              <w:pStyle w:val="TableContents"/>
              <w:spacing w:before="0" w:after="283"/>
              <w:ind w:left="0" w:right="0" w:hanging="200"/>
              <w:jc w:val="left"/>
              <w:rPr/>
            </w:pPr>
            <w:r>
              <w:rPr/>
              <w:t>)</w:t>
            </w:r>
          </w:p>
        </w:tc>
      </w:tr>
      <w:tr>
        <w:trPr/>
        <w:tc>
          <w:tcPr>
            <w:tcW w:w="8066" w:type="dxa"/>
            <w:tcBorders/>
            <w:shd w:fill="CCEEFF" w:val="clear"/>
            <w:vAlign w:val="center"/>
          </w:tcPr>
          <w:p>
            <w:pPr>
              <w:pStyle w:val="TableContents"/>
              <w:spacing w:before="0" w:after="283"/>
              <w:jc w:val="left"/>
              <w:rPr>
                <w:b/>
              </w:rPr>
            </w:pPr>
            <w:r>
              <w:rPr>
                <w:b/>
              </w:rPr>
              <w:t>Total Stockholders’ Equity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spacing w:before="0" w:after="283"/>
              <w:jc w:val="right"/>
              <w:rPr/>
            </w:pPr>
            <w:r>
              <w:rPr/>
              <w:t>137,059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(6,679</w:t>
            </w:r>
          </w:p>
        </w:tc>
        <w:tc>
          <w:tcPr>
            <w:tcW w:w="88" w:type="dxa"/>
            <w:tcBorders/>
            <w:shd w:fill="CCEEFF" w:val="clear"/>
            <w:vAlign w:val="center"/>
          </w:tcPr>
          <w:p>
            <w:pPr>
              <w:pStyle w:val="TableContents"/>
              <w:spacing w:before="0" w:after="283"/>
              <w:ind w:left="0" w:right="0" w:hanging="200"/>
              <w:jc w:val="left"/>
              <w:rPr/>
            </w:pPr>
            <w:r>
              <w:rPr/>
              <w:t>)</w:t>
            </w:r>
          </w:p>
        </w:tc>
      </w:tr>
      <w:tr>
        <w:trPr/>
        <w:tc>
          <w:tcPr>
            <w:tcW w:w="8066" w:type="dxa"/>
            <w:tcBorders/>
            <w:shd w:fill="auto" w:val="clear"/>
            <w:vAlign w:val="center"/>
          </w:tcPr>
          <w:p>
            <w:pPr>
              <w:pStyle w:val="TableContents"/>
              <w:spacing w:before="0" w:after="283"/>
              <w:jc w:val="left"/>
              <w:rPr/>
            </w:pPr>
            <w:r>
              <w:rPr/>
              <w:t>Non-controlling Interests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1" w:type="dxa"/>
            <w:tcBorders>
              <w:bottom w:val="single" w:sz="12" w:space="0" w:color="000000"/>
            </w:tcBorders>
            <w:shd w:fill="auto" w:val="clear"/>
            <w:tcMar>
              <w:bottom w:w="28" w:type="dxa"/>
            </w:tcMar>
            <w:vAlign w:val="center"/>
          </w:tcPr>
          <w:p>
            <w:pPr>
              <w:pStyle w:val="TableContents"/>
              <w:spacing w:before="0" w:after="283"/>
              <w:jc w:val="right"/>
              <w:rPr/>
            </w:pPr>
            <w:r>
              <w:rPr/>
              <w:t>365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225</w:t>
            </w:r>
          </w:p>
        </w:tc>
        <w:tc>
          <w:tcPr>
            <w:tcW w:w="88" w:type="dxa"/>
            <w:tcBorders/>
            <w:shd w:fill="auto" w:val="clear"/>
            <w:vAlign w:val="center"/>
          </w:tcPr>
          <w:p>
            <w:pPr>
              <w:pStyle w:val="TableContents"/>
              <w:spacing w:before="0" w:after="283"/>
              <w:ind w:left="0" w:right="0" w:hanging="200"/>
              <w:jc w:val="left"/>
              <w:rPr/>
            </w:pPr>
            <w:r>
              <w:rPr/>
              <w:t> </w:t>
            </w:r>
          </w:p>
        </w:tc>
      </w:tr>
      <w:tr>
        <w:trPr/>
        <w:tc>
          <w:tcPr>
            <w:tcW w:w="8066" w:type="dxa"/>
            <w:tcBorders/>
            <w:shd w:fill="CCEEFF" w:val="clear"/>
            <w:vAlign w:val="center"/>
          </w:tcPr>
          <w:p>
            <w:pPr>
              <w:pStyle w:val="TableContents"/>
              <w:spacing w:before="0" w:after="283"/>
              <w:jc w:val="left"/>
              <w:rPr>
                <w:b/>
              </w:rPr>
            </w:pPr>
            <w:r>
              <w:rPr>
                <w:b/>
              </w:rPr>
              <w:t>Total Liabilities and Stockholders’ Equity</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1" w:type="dxa"/>
            <w:tcBorders>
              <w:bottom w:val="double" w:sz="10" w:space="0" w:color="000000"/>
            </w:tcBorders>
            <w:shd w:fill="CCEEFF" w:val="clear"/>
            <w:tcMar>
              <w:bottom w:w="28" w:type="dxa"/>
            </w:tcMar>
            <w:vAlign w:val="center"/>
          </w:tcPr>
          <w:p>
            <w:pPr>
              <w:pStyle w:val="TableContents"/>
              <w:spacing w:before="0" w:after="283"/>
              <w:jc w:val="right"/>
              <w:rPr/>
            </w:pPr>
            <w:r>
              <w:rPr/>
              <w:t>182,048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21,839</w:t>
            </w:r>
          </w:p>
        </w:tc>
        <w:tc>
          <w:tcPr>
            <w:tcW w:w="88"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1" w:name="agri_028"/>
      <w:bookmarkEnd w:id="31"/>
      <w:r>
        <w:rPr>
          <w:rFonts w:ascii="Times New Roman;Times;Serif" w:hAnsi="Times New Roman;Times;Serif"/>
          <w:b/>
          <w:i w:val="false"/>
          <w:caps w:val="false"/>
          <w:smallCaps w:val="false"/>
          <w:sz w:val="20"/>
        </w:rPr>
        <w:t>AGRIFY CORPORATION AND SUBSIDIARIES</w:t>
        <w:br/>
        <w:t>CONSOLIDATED STATEMENTS OF OPERATIONS</w:t>
        <w:br/>
        <w:t>(In thousands, except for number of shares and per share amounts)</w:t>
      </w:r>
    </w:p>
    <w:p>
      <w:pPr>
        <w:pStyle w:val="TextBody"/>
        <w:spacing w:before="0" w:after="0"/>
        <w:ind w:left="0" w:right="0" w:hanging="0"/>
        <w:jc w:val="center"/>
        <w:rPr>
          <w:caps w:val="false"/>
          <w:smallCaps w:val="false"/>
        </w:rPr>
      </w:pPr>
      <w:r>
        <w:rPr>
          <w:caps w:val="false"/>
          <w:smallCaps w:val="false"/>
        </w:rPr>
        <w:t> </w:t>
      </w:r>
    </w:p>
    <w:tbl>
      <w:tblPr>
        <w:tblW w:w="9680" w:type="dxa"/>
        <w:jc w:val="left"/>
        <w:tblInd w:w="0" w:type="dxa"/>
        <w:tblCellMar>
          <w:top w:w="0" w:type="dxa"/>
          <w:left w:w="0" w:type="dxa"/>
          <w:bottom w:w="0" w:type="dxa"/>
          <w:right w:w="0" w:type="dxa"/>
        </w:tblCellMar>
      </w:tblPr>
      <w:tblGrid>
        <w:gridCol w:w="6995"/>
        <w:gridCol w:w="60"/>
        <w:gridCol w:w="140"/>
        <w:gridCol w:w="1100"/>
        <w:gridCol w:w="95"/>
        <w:gridCol w:w="60"/>
        <w:gridCol w:w="140"/>
        <w:gridCol w:w="980"/>
        <w:gridCol w:w="110"/>
      </w:tblGrid>
      <w:tr>
        <w:trPr/>
        <w:tc>
          <w:tcPr>
            <w:tcW w:w="69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515"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shd w:fill="auto" w:val="clear"/>
            <w:vAlign w:val="center"/>
          </w:tcPr>
          <w:p>
            <w:pPr>
              <w:pStyle w:val="TableContents"/>
              <w:spacing w:before="0" w:after="283"/>
              <w:jc w:val="center"/>
              <w:rPr/>
            </w:pPr>
            <w:r>
              <w:rPr/>
              <w:t> </w:t>
            </w:r>
          </w:p>
        </w:tc>
      </w:tr>
      <w:tr>
        <w:trPr/>
        <w:tc>
          <w:tcPr>
            <w:tcW w:w="69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ind w:left="0" w:right="0" w:hanging="200"/>
              <w:jc w:val="center"/>
              <w:rPr/>
            </w:pPr>
            <w:r>
              <w:rPr/>
              <w:t> </w:t>
            </w:r>
          </w:p>
        </w:tc>
      </w:tr>
      <w:tr>
        <w:trPr/>
        <w:tc>
          <w:tcPr>
            <w:tcW w:w="6995" w:type="dxa"/>
            <w:tcBorders/>
            <w:shd w:fill="CCEEFF" w:val="clear"/>
            <w:vAlign w:val="center"/>
          </w:tcPr>
          <w:p>
            <w:pPr>
              <w:pStyle w:val="TableContents"/>
              <w:spacing w:before="0" w:after="283"/>
              <w:jc w:val="left"/>
              <w:rPr/>
            </w:pPr>
            <w:r>
              <w:rPr/>
              <w:t>Revenue,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59,859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12,087</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Cost of goods sold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54,625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11,517</w:t>
            </w:r>
          </w:p>
        </w:tc>
        <w:tc>
          <w:tcPr>
            <w:tcW w:w="110" w:type="dxa"/>
            <w:tcBorders/>
            <w:shd w:fill="auto" w:val="clear"/>
            <w:vAlign w:val="center"/>
          </w:tcPr>
          <w:p>
            <w:pPr>
              <w:pStyle w:val="TableContents"/>
              <w:spacing w:before="0" w:after="283"/>
              <w:ind w:left="0" w:right="0" w:hanging="200"/>
              <w:jc w:val="left"/>
              <w:rPr/>
            </w:pPr>
            <w:r>
              <w:rPr/>
              <w:t> </w:t>
            </w:r>
          </w:p>
        </w:tc>
      </w:tr>
      <w:tr>
        <w:trPr/>
        <w:tc>
          <w:tcPr>
            <w:tcW w:w="6995" w:type="dxa"/>
            <w:tcBorders/>
            <w:shd w:fill="CCEEFF" w:val="clear"/>
            <w:vAlign w:val="center"/>
          </w:tcPr>
          <w:p>
            <w:pPr>
              <w:pStyle w:val="TableContents"/>
              <w:spacing w:before="0" w:after="283"/>
              <w:jc w:val="left"/>
              <w:rPr/>
            </w:pPr>
            <w:r>
              <w:rPr/>
              <w:t>Gross profit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5,234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570</w:t>
            </w:r>
          </w:p>
        </w:tc>
        <w:tc>
          <w:tcPr>
            <w:tcW w:w="110"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6995" w:type="dxa"/>
            <w:tcBorders/>
            <w:shd w:fill="CCEEFF" w:val="clear"/>
            <w:vAlign w:val="center"/>
          </w:tcPr>
          <w:p>
            <w:pPr>
              <w:pStyle w:val="TableContents"/>
              <w:spacing w:before="0" w:after="283"/>
              <w:jc w:val="left"/>
              <w:rPr/>
            </w:pPr>
            <w:r>
              <w:rPr/>
              <w:t>Selling, 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34,970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9,832</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Research and development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3,925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3,354</w:t>
            </w:r>
          </w:p>
        </w:tc>
        <w:tc>
          <w:tcPr>
            <w:tcW w:w="110" w:type="dxa"/>
            <w:tcBorders/>
            <w:shd w:fill="auto" w:val="clear"/>
            <w:vAlign w:val="center"/>
          </w:tcPr>
          <w:p>
            <w:pPr>
              <w:pStyle w:val="TableContents"/>
              <w:spacing w:before="0" w:after="283"/>
              <w:ind w:left="0" w:right="0" w:hanging="200"/>
              <w:jc w:val="left"/>
              <w:rPr/>
            </w:pPr>
            <w:r>
              <w:rPr/>
              <w:t> </w:t>
            </w:r>
          </w:p>
        </w:tc>
      </w:tr>
      <w:tr>
        <w:trPr/>
        <w:tc>
          <w:tcPr>
            <w:tcW w:w="6995" w:type="dxa"/>
            <w:tcBorders/>
            <w:shd w:fill="CCEEFF" w:val="clear"/>
            <w:vAlign w:val="center"/>
          </w:tcPr>
          <w:p>
            <w:pPr>
              <w:pStyle w:val="TableContents"/>
              <w:spacing w:before="0" w:after="283"/>
              <w:jc w:val="left"/>
              <w:rPr/>
            </w:pPr>
            <w:r>
              <w:rPr/>
              <w:t>Change in contingent consideration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1,412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Total operating expenses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40,307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13,186</w:t>
            </w:r>
          </w:p>
        </w:tc>
        <w:tc>
          <w:tcPr>
            <w:tcW w:w="110" w:type="dxa"/>
            <w:tcBorders/>
            <w:shd w:fill="auto" w:val="clear"/>
            <w:vAlign w:val="center"/>
          </w:tcPr>
          <w:p>
            <w:pPr>
              <w:pStyle w:val="TableContents"/>
              <w:spacing w:before="0" w:after="283"/>
              <w:ind w:left="0" w:right="0" w:hanging="200"/>
              <w:jc w:val="left"/>
              <w:rPr/>
            </w:pPr>
            <w:r>
              <w:rPr/>
              <w:t> </w:t>
            </w:r>
          </w:p>
        </w:tc>
      </w:tr>
      <w:tr>
        <w:trPr/>
        <w:tc>
          <w:tcPr>
            <w:tcW w:w="6995"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(35,073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(12,616</w:t>
            </w:r>
          </w:p>
        </w:tc>
        <w:tc>
          <w:tcPr>
            <w:tcW w:w="110" w:type="dxa"/>
            <w:tcBorders/>
            <w:shd w:fill="CCEEFF" w:val="clear"/>
            <w:vAlign w:val="center"/>
          </w:tcPr>
          <w:p>
            <w:pPr>
              <w:pStyle w:val="TableContents"/>
              <w:spacing w:before="0" w:after="283"/>
              <w:ind w:left="0" w:right="0" w:hanging="200"/>
              <w:jc w:val="left"/>
              <w:rPr/>
            </w:pPr>
            <w:r>
              <w:rPr/>
              <w:t>)</w:t>
            </w:r>
          </w:p>
        </w:tc>
      </w:tr>
      <w:tr>
        <w:trPr/>
        <w:tc>
          <w:tcPr>
            <w:tcW w:w="6995" w:type="dxa"/>
            <w:tcBorders/>
            <w:shd w:fill="auto" w:val="clear"/>
            <w:vAlign w:val="center"/>
          </w:tcPr>
          <w:p>
            <w:pPr>
              <w:pStyle w:val="TableContents"/>
              <w:spacing w:before="0" w:after="283"/>
              <w:jc w:val="left"/>
              <w:rPr/>
            </w:pPr>
            <w:r>
              <w:rPr/>
              <w:t>Interest income (expense),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74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(481</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Other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Gain (loss) on extinguishment of notes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2,685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(5,618</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Gain on forgiveness of PPP loan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Change in fair value of derivative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(2,924</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Other income (expense),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2,773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(9,023</w:t>
            </w:r>
          </w:p>
        </w:tc>
        <w:tc>
          <w:tcPr>
            <w:tcW w:w="110" w:type="dxa"/>
            <w:tcBorders/>
            <w:shd w:fill="CCEEFF" w:val="clear"/>
            <w:vAlign w:val="center"/>
          </w:tcPr>
          <w:p>
            <w:pPr>
              <w:pStyle w:val="TableContents"/>
              <w:spacing w:before="0" w:after="283"/>
              <w:ind w:left="0" w:right="0" w:hanging="200"/>
              <w:jc w:val="left"/>
              <w:rPr/>
            </w:pPr>
            <w:r>
              <w:rPr/>
              <w:t>)</w:t>
            </w:r>
          </w:p>
        </w:tc>
      </w:tr>
      <w:tr>
        <w:trPr/>
        <w:tc>
          <w:tcPr>
            <w:tcW w:w="6995" w:type="dxa"/>
            <w:tcBorders/>
            <w:shd w:fill="auto" w:val="clear"/>
            <w:vAlign w:val="center"/>
          </w:tcPr>
          <w:p>
            <w:pPr>
              <w:pStyle w:val="TableContents"/>
              <w:spacing w:before="0" w:after="283"/>
              <w:jc w:val="left"/>
              <w:rPr/>
            </w:pPr>
            <w:r>
              <w:rPr/>
              <w:t>Net loss before income taxes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(32,300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(21,639</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Income tax provision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25</w:t>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6995" w:type="dxa"/>
            <w:tcBorders/>
            <w:shd w:fill="auto" w:val="clear"/>
            <w:vAlign w:val="center"/>
          </w:tcPr>
          <w:p>
            <w:pPr>
              <w:pStyle w:val="TableContents"/>
              <w:spacing w:before="0" w:after="283"/>
              <w:jc w:val="left"/>
              <w:rPr/>
            </w:pPr>
            <w:r>
              <w:rPr/>
              <w:t>Net loss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(32,325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(21,639</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Income (loss) attributable to non-controlling interest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(22</w:t>
            </w:r>
          </w:p>
        </w:tc>
        <w:tc>
          <w:tcPr>
            <w:tcW w:w="110" w:type="dxa"/>
            <w:tcBorders/>
            <w:shd w:fill="CCEEFF" w:val="clear"/>
            <w:vAlign w:val="center"/>
          </w:tcPr>
          <w:p>
            <w:pPr>
              <w:pStyle w:val="TableContents"/>
              <w:spacing w:before="0" w:after="283"/>
              <w:ind w:left="0" w:right="0" w:hanging="200"/>
              <w:jc w:val="left"/>
              <w:rPr/>
            </w:pPr>
            <w:r>
              <w:rPr/>
              <w:t>)</w:t>
            </w:r>
          </w:p>
        </w:tc>
      </w:tr>
      <w:tr>
        <w:trPr/>
        <w:tc>
          <w:tcPr>
            <w:tcW w:w="6995" w:type="dxa"/>
            <w:tcBorders/>
            <w:shd w:fill="auto" w:val="clear"/>
            <w:vAlign w:val="center"/>
          </w:tcPr>
          <w:p>
            <w:pPr>
              <w:pStyle w:val="TableContents"/>
              <w:spacing w:before="0" w:after="283"/>
              <w:jc w:val="left"/>
              <w:rPr/>
            </w:pPr>
            <w:r>
              <w:rPr/>
              <w:t>Net loss attributable to Agrify Corporation</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(32,465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(21,617</w:t>
            </w:r>
          </w:p>
        </w:tc>
        <w:tc>
          <w:tcPr>
            <w:tcW w:w="110" w:type="dxa"/>
            <w:tcBorders/>
            <w:shd w:fill="auto" w:val="clear"/>
            <w:vAlign w:val="center"/>
          </w:tcPr>
          <w:p>
            <w:pPr>
              <w:pStyle w:val="TableContents"/>
              <w:spacing w:before="0" w:after="283"/>
              <w:ind w:left="0" w:right="0" w:hanging="200"/>
              <w:jc w:val="left"/>
              <w:rPr/>
            </w:pPr>
            <w:r>
              <w:rPr/>
              <w:t>)</w:t>
            </w:r>
          </w:p>
        </w:tc>
      </w:tr>
      <w:tr>
        <w:trPr/>
        <w:tc>
          <w:tcPr>
            <w:tcW w:w="6995" w:type="dxa"/>
            <w:tcBorders/>
            <w:shd w:fill="CCEEFF" w:val="clear"/>
            <w:vAlign w:val="center"/>
          </w:tcPr>
          <w:p>
            <w:pPr>
              <w:pStyle w:val="TableContents"/>
              <w:spacing w:before="0" w:after="283"/>
              <w:jc w:val="left"/>
              <w:rPr/>
            </w:pPr>
            <w:r>
              <w:rPr/>
              <w:t>Net loss per share attributable to common stockholders – basic and diluted</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(1.69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(5.32</w:t>
            </w:r>
          </w:p>
        </w:tc>
        <w:tc>
          <w:tcPr>
            <w:tcW w:w="110" w:type="dxa"/>
            <w:tcBorders/>
            <w:shd w:fill="CCEEFF" w:val="clear"/>
            <w:vAlign w:val="center"/>
          </w:tcPr>
          <w:p>
            <w:pPr>
              <w:pStyle w:val="TableContents"/>
              <w:spacing w:before="0" w:after="283"/>
              <w:ind w:left="0" w:right="0" w:hanging="200"/>
              <w:jc w:val="left"/>
              <w:rPr/>
            </w:pPr>
            <w:r>
              <w:rPr/>
              <w:t>)</w:t>
            </w:r>
          </w:p>
        </w:tc>
      </w:tr>
      <w:tr>
        <w:trPr/>
        <w:tc>
          <w:tcPr>
            <w:tcW w:w="6995" w:type="dxa"/>
            <w:tcBorders/>
            <w:shd w:fill="auto" w:val="clear"/>
            <w:vAlign w:val="center"/>
          </w:tcPr>
          <w:p>
            <w:pPr>
              <w:pStyle w:val="TableContents"/>
              <w:spacing w:before="0" w:after="283"/>
              <w:rPr/>
            </w:pPr>
            <w:r>
              <w:rPr/>
              <w:t>Weighted average common shares outstanding – basic and diluted</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19,090,932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4,175,176</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2" w:name="agri_029"/>
      <w:bookmarkEnd w:id="32"/>
      <w:r>
        <w:rPr>
          <w:rFonts w:ascii="Times New Roman;Times;Serif" w:hAnsi="Times New Roman;Times;Serif"/>
          <w:b/>
          <w:i w:val="false"/>
          <w:caps w:val="false"/>
          <w:smallCaps w:val="false"/>
          <w:sz w:val="20"/>
        </w:rPr>
        <w:t>AGRIFY CORPORATION AND SUBSIDIARIES</w:t>
        <w:br/>
        <w:t>CONSOLIDATED STATEMENTS OF STOCKHOLDERS’ EQUITY (DEFICIT)</w:t>
        <w:br/>
        <w:t>(In thousands, except share amounts)</w:t>
      </w:r>
    </w:p>
    <w:p>
      <w:pPr>
        <w:pStyle w:val="TextBody"/>
        <w:spacing w:before="0" w:after="0"/>
        <w:ind w:left="0" w:right="0" w:hanging="0"/>
        <w:jc w:val="center"/>
        <w:rPr>
          <w:caps w:val="false"/>
          <w:smallCaps w:val="false"/>
        </w:rPr>
      </w:pPr>
      <w:r>
        <w:rPr>
          <w:caps w:val="false"/>
          <w:smallCaps w:val="false"/>
        </w:rPr>
        <w:t> </w:t>
      </w:r>
    </w:p>
    <w:tbl>
      <w:tblPr>
        <w:tblW w:w="10660" w:type="dxa"/>
        <w:jc w:val="left"/>
        <w:tblInd w:w="0" w:type="dxa"/>
        <w:tblCellMar>
          <w:top w:w="0" w:type="dxa"/>
          <w:left w:w="0" w:type="dxa"/>
          <w:bottom w:w="0" w:type="dxa"/>
          <w:right w:w="0" w:type="dxa"/>
        </w:tblCellMar>
      </w:tblPr>
      <w:tblGrid>
        <w:gridCol w:w="995"/>
        <w:gridCol w:w="60"/>
        <w:gridCol w:w="60"/>
        <w:gridCol w:w="830"/>
        <w:gridCol w:w="60"/>
        <w:gridCol w:w="60"/>
        <w:gridCol w:w="179"/>
        <w:gridCol w:w="426"/>
        <w:gridCol w:w="60"/>
        <w:gridCol w:w="60"/>
        <w:gridCol w:w="60"/>
        <w:gridCol w:w="665"/>
        <w:gridCol w:w="80"/>
        <w:gridCol w:w="60"/>
        <w:gridCol w:w="179"/>
        <w:gridCol w:w="426"/>
        <w:gridCol w:w="60"/>
        <w:gridCol w:w="60"/>
        <w:gridCol w:w="120"/>
        <w:gridCol w:w="665"/>
        <w:gridCol w:w="80"/>
        <w:gridCol w:w="60"/>
        <w:gridCol w:w="273"/>
        <w:gridCol w:w="647"/>
        <w:gridCol w:w="80"/>
        <w:gridCol w:w="60"/>
        <w:gridCol w:w="154"/>
        <w:gridCol w:w="811"/>
        <w:gridCol w:w="80"/>
        <w:gridCol w:w="60"/>
        <w:gridCol w:w="155"/>
        <w:gridCol w:w="855"/>
        <w:gridCol w:w="80"/>
        <w:gridCol w:w="60"/>
        <w:gridCol w:w="224"/>
        <w:gridCol w:w="591"/>
        <w:gridCol w:w="80"/>
        <w:gridCol w:w="60"/>
        <w:gridCol w:w="155"/>
        <w:gridCol w:w="855"/>
        <w:gridCol w:w="75"/>
      </w:tblGrid>
      <w:tr>
        <w:trPr/>
        <w:tc>
          <w:tcPr>
            <w:tcW w:w="9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1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7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Preferred A</w:t>
              <w:br/>
              <w:t>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85"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Additional</w:t>
              <w:br/>
              <w:t>Paid-In</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20"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Subscription</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65"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0"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Total</w:t>
              <w:br/>
              <w:t>Stockholders’</w:t>
              <w:br/>
              <w:t>Equity (Deficit)</w:t>
              <w:br/>
              <w:t>attributable</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15"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Non-</w:t>
              <w:br/>
              <w:t>controlling</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0" w:type="dxa"/>
            <w:gridSpan w:val="2"/>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Total</w:t>
              <w:br/>
              <w:t xml:space="preserve">Stockholders’ Equity </w:t>
            </w:r>
          </w:p>
        </w:tc>
        <w:tc>
          <w:tcPr>
            <w:tcW w:w="75" w:type="dxa"/>
            <w:tcBorders/>
            <w:shd w:fill="auto" w:val="clear"/>
            <w:vAlign w:val="center"/>
          </w:tcPr>
          <w:p>
            <w:pPr>
              <w:pStyle w:val="TableContents"/>
              <w:spacing w:before="0" w:after="283"/>
              <w:jc w:val="center"/>
              <w:rPr/>
            </w:pPr>
            <w:r>
              <w:rPr/>
              <w:t> </w:t>
            </w:r>
          </w:p>
        </w:tc>
      </w:tr>
      <w:tr>
        <w:trPr/>
        <w:tc>
          <w:tcPr>
            <w:tcW w:w="9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2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8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Receivable</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to Agrify</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Interests</w:t>
            </w:r>
          </w:p>
        </w:tc>
        <w:tc>
          <w:tcPr>
            <w:tcW w:w="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75" w:type="dxa"/>
            <w:tcBorders/>
            <w:shd w:fill="auto" w:val="clear"/>
            <w:vAlign w:val="center"/>
          </w:tcPr>
          <w:p>
            <w:pPr>
              <w:pStyle w:val="TableContents"/>
              <w:spacing w:before="0" w:after="283"/>
              <w:ind w:left="0" w:right="0" w:hanging="180"/>
              <w:jc w:val="center"/>
              <w:rPr/>
            </w:pPr>
            <w:r>
              <w:rPr/>
              <w:t> </w:t>
            </w:r>
          </w:p>
        </w:tc>
      </w:tr>
      <w:tr>
        <w:trPr/>
        <w:tc>
          <w:tcPr>
            <w:tcW w:w="995" w:type="dxa"/>
            <w:tcBorders/>
            <w:shd w:fill="CCEEFF" w:val="cle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Balance, January 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3,616,125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4,124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47"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(4,893</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(805</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(805</w:t>
            </w:r>
          </w:p>
        </w:tc>
        <w:tc>
          <w:tcPr>
            <w:tcW w:w="75" w:type="dxa"/>
            <w:tcBorders/>
            <w:shd w:fill="CCEEFF" w:val="clear"/>
            <w:vAlign w:val="center"/>
          </w:tcPr>
          <w:p>
            <w:pPr>
              <w:pStyle w:val="TableContents"/>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Stock based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1,921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1,921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1,921</w:t>
            </w:r>
          </w:p>
        </w:tc>
        <w:tc>
          <w:tcPr>
            <w:tcW w:w="75" w:type="dxa"/>
            <w:tcBorders/>
            <w:shd w:fill="auto" w:val="clear"/>
            <w:vAlign w:val="center"/>
          </w:tcPr>
          <w:p>
            <w:pPr>
              <w:pStyle w:val="TableContents"/>
              <w:spacing w:before="0" w:after="283"/>
              <w:ind w:left="0" w:right="0" w:hanging="18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Stock subscription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75" w:type="dxa"/>
            <w:tcBorders/>
            <w:shd w:fill="CCEEFF" w:val="clear"/>
            <w:vAlign w:val="center"/>
          </w:tcPr>
          <w:p>
            <w:pPr>
              <w:pStyle w:val="TableContents"/>
              <w:spacing w:before="0" w:after="283"/>
              <w:ind w:left="0" w:right="0" w:hanging="18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Issuance of Preferred A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w:t>
            </w:r>
          </w:p>
        </w:tc>
        <w:tc>
          <w:tcPr>
            <w:tcW w:w="75" w:type="dxa"/>
            <w:tcBorders/>
            <w:shd w:fill="auto" w:val="clear"/>
            <w:vAlign w:val="center"/>
          </w:tcPr>
          <w:p>
            <w:pPr>
              <w:pStyle w:val="TableContents"/>
              <w:spacing w:before="0" w:after="283"/>
              <w:ind w:left="0" w:right="0" w:hanging="18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Investment in Agrify Valiant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40</w:t>
            </w:r>
          </w:p>
        </w:tc>
        <w:tc>
          <w:tcPr>
            <w:tcW w:w="75" w:type="dxa"/>
            <w:tcBorders/>
            <w:shd w:fill="CCEEFF" w:val="clear"/>
            <w:vAlign w:val="center"/>
          </w:tcPr>
          <w:p>
            <w:pPr>
              <w:pStyle w:val="TableContents"/>
              <w:spacing w:before="0" w:after="283"/>
              <w:ind w:left="0" w:right="0" w:hanging="18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Acquisition of TriGrow Systems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595,552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1,356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1,356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207</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1,563</w:t>
            </w:r>
          </w:p>
        </w:tc>
        <w:tc>
          <w:tcPr>
            <w:tcW w:w="75" w:type="dxa"/>
            <w:tcBorders/>
            <w:shd w:fill="auto" w:val="clear"/>
            <w:vAlign w:val="center"/>
          </w:tcPr>
          <w:p>
            <w:pPr>
              <w:pStyle w:val="TableContents"/>
              <w:spacing w:before="0" w:after="283"/>
              <w:ind w:left="0" w:right="0" w:hanging="18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Warrants issued and recorded as debt discount in connection with notes payable issuances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2,426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2,426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2,426</w:t>
            </w:r>
          </w:p>
        </w:tc>
        <w:tc>
          <w:tcPr>
            <w:tcW w:w="75" w:type="dxa"/>
            <w:tcBorders/>
            <w:shd w:fill="CCEEFF" w:val="clear"/>
            <w:vAlign w:val="center"/>
          </w:tcPr>
          <w:p>
            <w:pPr>
              <w:pStyle w:val="TableContents"/>
              <w:spacing w:before="0" w:after="283"/>
              <w:ind w:left="0" w:right="0" w:hanging="18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2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2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47"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11"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(21,617</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15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(21,617</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22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91"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15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(21,639</w:t>
            </w:r>
          </w:p>
        </w:tc>
        <w:tc>
          <w:tcPr>
            <w:tcW w:w="75" w:type="dxa"/>
            <w:tcBorders/>
            <w:shd w:fill="auto" w:val="clear"/>
            <w:vAlign w:val="center"/>
          </w:tcPr>
          <w:p>
            <w:pPr>
              <w:pStyle w:val="TableContents"/>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Balance, December 31, 2020</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4,211,677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19,827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47"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(26,510</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(6,679</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224"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59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(6,454</w:t>
            </w:r>
          </w:p>
        </w:tc>
        <w:tc>
          <w:tcPr>
            <w:tcW w:w="75" w:type="dxa"/>
            <w:tcBorders/>
            <w:shd w:fill="CCEEFF" w:val="clear"/>
            <w:vAlign w:val="center"/>
          </w:tcPr>
          <w:p>
            <w:pPr>
              <w:pStyle w:val="TableContents"/>
              <w:spacing w:before="0" w:after="283"/>
              <w:ind w:left="0" w:right="0" w:hanging="20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auto" w:val="cle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Balance, January 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4,211,677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19,827</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(26,510</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(6,679</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591"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225</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(6,454</w:t>
            </w:r>
          </w:p>
        </w:tc>
        <w:tc>
          <w:tcPr>
            <w:tcW w:w="75" w:type="dxa"/>
            <w:tcBorders/>
            <w:shd w:fill="auto" w:val="clear"/>
            <w:vAlign w:val="center"/>
          </w:tcPr>
          <w:p>
            <w:pPr>
              <w:pStyle w:val="TableContents"/>
              <w:spacing w:before="0" w:after="283"/>
              <w:ind w:left="0" w:right="0" w:hanging="20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5,552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5,552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5,552</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Beneficial conversion feature associated with amended Convertible Promissory Notes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3,869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3,869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3,869</w:t>
            </w:r>
          </w:p>
        </w:tc>
        <w:tc>
          <w:tcPr>
            <w:tcW w:w="75" w:type="dxa"/>
            <w:tcBorders/>
            <w:shd w:fill="auto" w:val="clear"/>
            <w:vAlign w:val="center"/>
          </w:tcPr>
          <w:p>
            <w:pPr>
              <w:pStyle w:val="TableContents"/>
              <w:spacing w:before="0" w:after="283"/>
              <w:ind w:left="0" w:right="0" w:hanging="20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Conversion of Convertible Notes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1,697,075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13,098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13,100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13,100</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Issuance of common shares in connection with acquisition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176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176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176</w:t>
            </w:r>
          </w:p>
        </w:tc>
        <w:tc>
          <w:tcPr>
            <w:tcW w:w="75" w:type="dxa"/>
            <w:tcBorders/>
            <w:shd w:fill="auto" w:val="clear"/>
            <w:vAlign w:val="center"/>
          </w:tcPr>
          <w:p>
            <w:pPr>
              <w:pStyle w:val="TableContents"/>
              <w:spacing w:before="0" w:after="283"/>
              <w:ind w:left="0" w:right="0" w:hanging="20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Issuance of common stock – Initial Public Offering (“IPO”), net of fees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6,210,000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56,955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56,961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56,961</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Issuance of common stock – Secondary public offering, net of fees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6,388,888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79,833</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79,839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79,839</w:t>
            </w:r>
          </w:p>
        </w:tc>
        <w:tc>
          <w:tcPr>
            <w:tcW w:w="75" w:type="dxa"/>
            <w:tcBorders/>
            <w:shd w:fill="auto" w:val="clear"/>
            <w:vAlign w:val="center"/>
          </w:tcPr>
          <w:p>
            <w:pPr>
              <w:pStyle w:val="TableContents"/>
              <w:spacing w:before="0" w:after="283"/>
              <w:ind w:left="0" w:right="0" w:hanging="200"/>
              <w:jc w:val="left"/>
              <w:rPr/>
            </w:pPr>
            <w:r>
              <w:rPr/>
              <w:t> </w:t>
            </w:r>
          </w:p>
        </w:tc>
      </w:tr>
      <w:tr>
        <w:trPr/>
        <w:tc>
          <w:tcPr>
            <w:tcW w:w="995"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Conversion of Preferred A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1,373,038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(100,000</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Acquisition of Precision and Cascade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666,403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12,354</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12,355</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12,355</w:t>
            </w:r>
          </w:p>
        </w:tc>
        <w:tc>
          <w:tcPr>
            <w:tcW w:w="75" w:type="dxa"/>
            <w:tcBorders/>
            <w:shd w:fill="auto" w:val="clear"/>
            <w:vAlign w:val="center"/>
          </w:tcPr>
          <w:p>
            <w:pPr>
              <w:pStyle w:val="TableContents"/>
              <w:spacing w:before="0" w:after="283"/>
              <w:ind w:left="0" w:right="0" w:hanging="200"/>
              <w:jc w:val="left"/>
              <w:rPr/>
            </w:pPr>
            <w:r>
              <w:rPr/>
              <w:t> </w:t>
            </w:r>
          </w:p>
        </w:tc>
      </w:tr>
      <w:tr>
        <w:trPr/>
        <w:tc>
          <w:tcPr>
            <w:tcW w:w="995"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Acquisition of PurePressure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240,301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2,211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2,211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2,211</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Exercise of 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657,620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426"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jc w:val="left"/>
              <w:rPr/>
            </w:pPr>
            <w:r>
              <w:rPr/>
              <w:t> </w:t>
            </w:r>
          </w:p>
        </w:tc>
        <w:tc>
          <w:tcPr>
            <w:tcW w:w="66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2,132</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jc w:val="left"/>
              <w:rPr/>
            </w:pPr>
            <w:r>
              <w:rPr/>
              <w:t> </w:t>
            </w:r>
          </w:p>
        </w:tc>
        <w:tc>
          <w:tcPr>
            <w:tcW w:w="647"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81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2,132</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 </w:t>
            </w:r>
          </w:p>
        </w:tc>
        <w:tc>
          <w:tcPr>
            <w:tcW w:w="591"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 </w:t>
            </w:r>
          </w:p>
        </w:tc>
        <w:tc>
          <w:tcPr>
            <w:tcW w:w="855" w:type="dxa"/>
            <w:tcBorders/>
            <w:shd w:fill="auto"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2,132</w:t>
            </w:r>
          </w:p>
        </w:tc>
        <w:tc>
          <w:tcPr>
            <w:tcW w:w="75" w:type="dxa"/>
            <w:tcBorders/>
            <w:shd w:fill="auto" w:val="clear"/>
            <w:vAlign w:val="center"/>
          </w:tcPr>
          <w:p>
            <w:pPr>
              <w:pStyle w:val="TableContents"/>
              <w:spacing w:before="0" w:after="283"/>
              <w:ind w:left="0" w:right="0" w:hanging="200"/>
              <w:jc w:val="left"/>
              <w:rPr/>
            </w:pPr>
            <w:r>
              <w:rPr/>
              <w:t> </w:t>
            </w:r>
          </w:p>
        </w:tc>
      </w:tr>
      <w:tr>
        <w:trPr/>
        <w:tc>
          <w:tcPr>
            <w:tcW w:w="995" w:type="dxa"/>
            <w:tcBorders/>
            <w:shd w:fill="CCEEFF"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Exercise of warrants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754,101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42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jc w:val="left"/>
              <w:rPr/>
            </w:pPr>
            <w:r>
              <w:rPr/>
              <w:t> </w:t>
            </w:r>
          </w:p>
        </w:tc>
        <w:tc>
          <w:tcPr>
            <w:tcW w:w="647"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81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jc w:val="left"/>
              <w:rPr/>
            </w:pPr>
            <w:r>
              <w:rPr/>
              <w:t> </w:t>
            </w:r>
          </w:p>
        </w:tc>
        <w:tc>
          <w:tcPr>
            <w:tcW w:w="591"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855" w:type="dxa"/>
            <w:tcBorders/>
            <w:shd w:fill="CCEEFF" w:val="cle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8</w:t>
            </w:r>
          </w:p>
        </w:tc>
        <w:tc>
          <w:tcPr>
            <w:tcW w:w="75" w:type="dxa"/>
            <w:tcBorders/>
            <w:shd w:fill="CCEEFF" w:val="clear"/>
            <w:vAlign w:val="center"/>
          </w:tcPr>
          <w:p>
            <w:pPr>
              <w:pStyle w:val="TableContents"/>
              <w:spacing w:before="0" w:after="283"/>
              <w:ind w:left="0" w:right="0" w:hanging="200"/>
              <w:jc w:val="left"/>
              <w:rPr/>
            </w:pPr>
            <w:r>
              <w:rPr/>
              <w:t> </w:t>
            </w:r>
          </w:p>
        </w:tc>
      </w:tr>
      <w:tr>
        <w:trPr/>
        <w:tc>
          <w:tcPr>
            <w:tcW w:w="995"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2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2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47"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11"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(32,465</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15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(32,465</w:t>
            </w:r>
          </w:p>
        </w:tc>
        <w:tc>
          <w:tcPr>
            <w:tcW w:w="80" w:type="dxa"/>
            <w:tcBorders/>
            <w:shd w:fill="auto"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auto" w:val="clear"/>
            <w:vAlign w:val="center"/>
          </w:tcPr>
          <w:p>
            <w:pPr>
              <w:pStyle w:val="TableContents"/>
              <w:spacing w:before="0" w:after="283"/>
              <w:rPr/>
            </w:pPr>
            <w:r>
              <w:rPr/>
              <w:t> </w:t>
            </w:r>
          </w:p>
        </w:tc>
        <w:tc>
          <w:tcPr>
            <w:tcW w:w="22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91"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140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(32,325</w:t>
            </w:r>
          </w:p>
        </w:tc>
        <w:tc>
          <w:tcPr>
            <w:tcW w:w="75" w:type="dxa"/>
            <w:tcBorders/>
            <w:shd w:fill="auto" w:val="clear"/>
            <w:vAlign w:val="center"/>
          </w:tcPr>
          <w:p>
            <w:pPr>
              <w:pStyle w:val="TableContents"/>
              <w:spacing w:before="0" w:after="283"/>
              <w:ind w:left="0" w:right="0" w:hanging="200"/>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Balance December 31, 2021</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22,207,103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196,013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3"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47"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(58,975</w:t>
            </w:r>
          </w:p>
        </w:tc>
        <w:tc>
          <w:tcPr>
            <w:tcW w:w="80" w:type="dxa"/>
            <w:tcBorders/>
            <w:shd w:fill="CCEEFF" w:val="cle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137,059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4"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59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365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sz w:val="16"/>
              </w:rPr>
            </w:pPr>
            <w:r>
              <w:rPr>
                <w:rFonts w:ascii="Times New Roman;Times;Serif" w:hAnsi="Times New Roman;Times;Serif"/>
                <w:sz w:val="16"/>
              </w:rPr>
              <w:t>$</w:t>
            </w:r>
          </w:p>
        </w:tc>
        <w:tc>
          <w:tcPr>
            <w:tcW w:w="8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16"/>
              </w:rPr>
            </w:pPr>
            <w:r>
              <w:rPr>
                <w:rFonts w:ascii="Times New Roman;Times;Serif" w:hAnsi="Times New Roman;Times;Serif"/>
                <w:sz w:val="16"/>
              </w:rPr>
              <w:t>137,424</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3" w:name="agri_030"/>
      <w:bookmarkEnd w:id="33"/>
      <w:r>
        <w:rPr>
          <w:rFonts w:ascii="Times New Roman;Times;Serif" w:hAnsi="Times New Roman;Times;Serif"/>
          <w:b/>
          <w:i w:val="false"/>
          <w:caps w:val="false"/>
          <w:smallCaps w:val="false"/>
          <w:sz w:val="20"/>
        </w:rPr>
        <w:t>AGRIFY CORPORATION AND SUBSIDIARIES</w:t>
        <w:br/>
        <w:t>CONSOLIDATED STATEMENTS OF CASH FLOWS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970"/>
        <w:gridCol w:w="60"/>
        <w:gridCol w:w="140"/>
        <w:gridCol w:w="875"/>
        <w:gridCol w:w="95"/>
        <w:gridCol w:w="60"/>
        <w:gridCol w:w="140"/>
        <w:gridCol w:w="755"/>
        <w:gridCol w:w="110"/>
      </w:tblGrid>
      <w:tr>
        <w:trPr/>
        <w:tc>
          <w:tcPr>
            <w:tcW w:w="79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06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jc w:val="center"/>
              <w:rPr/>
            </w:pPr>
            <w:r>
              <w:rPr/>
              <w:t> </w:t>
            </w:r>
          </w:p>
        </w:tc>
      </w:tr>
      <w:tr>
        <w:trPr/>
        <w:tc>
          <w:tcPr>
            <w:tcW w:w="79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jc w:val="center"/>
              <w:rPr/>
            </w:pPr>
            <w:r>
              <w:rPr/>
              <w:t> </w:t>
            </w:r>
          </w:p>
        </w:tc>
      </w:tr>
      <w:tr>
        <w:trPr/>
        <w:tc>
          <w:tcPr>
            <w:tcW w:w="7970"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rPr/>
            </w:pPr>
            <w:r>
              <w:rPr/>
              <w:t> </w:t>
            </w:r>
          </w:p>
        </w:tc>
      </w:tr>
      <w:tr>
        <w:trPr/>
        <w:tc>
          <w:tcPr>
            <w:tcW w:w="7970" w:type="dxa"/>
            <w:tcBorders/>
            <w:shd w:fill="CCEEFF" w:val="clear"/>
            <w:vAlign w:val="center"/>
          </w:tcPr>
          <w:p>
            <w:pPr>
              <w:pStyle w:val="TableContents"/>
              <w:spacing w:before="0" w:after="283"/>
              <w:jc w:val="left"/>
              <w:rPr/>
            </w:pPr>
            <w:r>
              <w:rPr/>
              <w:t>Net loss attributable to Agrify Corporation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(32,465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(21,617</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Adjustments to reconcile net loss attributable to Agrify Corporation to net cash used in operating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1,310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407</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Amortization of premium on investment securities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951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Interest on investment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(1,035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Change in fair value of contingent consideration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1,412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Provision for doubtful accounts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1,187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54</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Provision for inventory obsolescence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942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Compensation in connection with the issuance of stock options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5,552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1,921</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Issuance of common shares in connection with acquisition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176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Non-cash interest (income) expense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447</w:t>
            </w:r>
          </w:p>
        </w:tc>
        <w:tc>
          <w:tcPr>
            <w:tcW w:w="110" w:type="dxa"/>
            <w:tcBorders/>
            <w:shd w:fill="CCEEFF" w:val="clear"/>
            <w:vAlign w:val="center"/>
          </w:tcPr>
          <w:p>
            <w:pPr>
              <w:pStyle w:val="TableContents"/>
              <w:spacing w:before="0" w:after="283"/>
              <w:jc w:val="left"/>
              <w:rPr/>
            </w:pPr>
            <w:r>
              <w:rPr/>
              <w:t> </w:t>
            </w:r>
          </w:p>
        </w:tc>
      </w:tr>
      <w:tr>
        <w:trPr/>
        <w:tc>
          <w:tcPr>
            <w:tcW w:w="7970" w:type="dxa"/>
            <w:tcBorders/>
            <w:shd w:fill="auto" w:val="clear"/>
            <w:vAlign w:val="center"/>
          </w:tcPr>
          <w:p>
            <w:pPr>
              <w:pStyle w:val="TableContents"/>
              <w:spacing w:before="0" w:after="283"/>
              <w:jc w:val="left"/>
              <w:rPr/>
            </w:pPr>
            <w:r>
              <w:rPr/>
              <w:t>(Gain) loss on extinguishment of notes payable,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(2,685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5,618</w:t>
            </w:r>
          </w:p>
        </w:tc>
        <w:tc>
          <w:tcPr>
            <w:tcW w:w="110" w:type="dxa"/>
            <w:tcBorders/>
            <w:shd w:fill="auto" w:val="clear"/>
            <w:vAlign w:val="center"/>
          </w:tcPr>
          <w:p>
            <w:pPr>
              <w:pStyle w:val="TableContents"/>
              <w:spacing w:before="0" w:after="283"/>
              <w:jc w:val="left"/>
              <w:rPr/>
            </w:pPr>
            <w:r>
              <w:rPr/>
              <w:t> </w:t>
            </w:r>
          </w:p>
        </w:tc>
      </w:tr>
      <w:tr>
        <w:trPr/>
        <w:tc>
          <w:tcPr>
            <w:tcW w:w="7970" w:type="dxa"/>
            <w:tcBorders/>
            <w:shd w:fill="CCEEFF" w:val="clear"/>
            <w:vAlign w:val="center"/>
          </w:tcPr>
          <w:p>
            <w:pPr>
              <w:pStyle w:val="TableContents"/>
              <w:spacing w:before="0" w:after="283"/>
              <w:jc w:val="left"/>
              <w:rPr/>
            </w:pPr>
            <w:r>
              <w:rPr/>
              <w:t>Gain on forgiveness of PPP loan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(45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Change in fair value of derivative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2,924</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Deferred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(Gain) loss from disposal of fixed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120</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(Gain) loss attributable to non-controlling interests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(22</w:t>
            </w:r>
          </w:p>
        </w:tc>
        <w:tc>
          <w:tcPr>
            <w:tcW w:w="110" w:type="dxa"/>
            <w:tcBorders/>
            <w:shd w:fill="CCEEFF" w:val="clear"/>
            <w:vAlign w:val="center"/>
          </w:tcPr>
          <w:p>
            <w:pPr>
              <w:pStyle w:val="TableContents"/>
              <w:spacing w:before="0" w:after="283"/>
              <w:jc w:val="left"/>
              <w:rPr/>
            </w:pPr>
            <w:r>
              <w:rPr/>
              <w:t>)</w:t>
            </w:r>
          </w:p>
        </w:tc>
      </w:tr>
      <w:tr>
        <w:trPr/>
        <w:tc>
          <w:tcPr>
            <w:tcW w:w="7970" w:type="dxa"/>
            <w:tcBorders/>
            <w:shd w:fill="auto" w:val="clear"/>
            <w:vAlign w:val="center"/>
          </w:tcPr>
          <w:p>
            <w:pPr>
              <w:pStyle w:val="TableContents"/>
              <w:spacing w:before="0" w:after="283"/>
              <w:jc w:val="left"/>
              <w:rPr/>
            </w:pPr>
            <w:r>
              <w:rPr/>
              <w:t>Changes in operating assets and liabilities, net of acquisition: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(3,391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(3,709</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rPr/>
            </w:pPr>
            <w:r>
              <w:rPr/>
              <w:t>Inventory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(6,568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(2,941</w:t>
            </w:r>
          </w:p>
        </w:tc>
        <w:tc>
          <w:tcPr>
            <w:tcW w:w="110" w:type="dxa"/>
            <w:tcBorders/>
            <w:shd w:fill="auto" w:val="clear"/>
            <w:vAlign w:val="center"/>
          </w:tcPr>
          <w:p>
            <w:pPr>
              <w:pStyle w:val="TableContents"/>
              <w:spacing w:before="0" w:after="283"/>
              <w:ind w:left="0" w:right="0" w:hanging="200"/>
              <w:jc w:val="left"/>
              <w:rPr/>
            </w:pPr>
            <w:r>
              <w:rPr/>
              <w:t>)</w:t>
            </w:r>
          </w:p>
        </w:tc>
      </w:tr>
      <w:tr>
        <w:trPr/>
        <w:tc>
          <w:tcPr>
            <w:tcW w:w="7970" w:type="dxa"/>
            <w:tcBorders/>
            <w:shd w:fill="CCEEFF" w:val="clear"/>
            <w:vAlign w:val="center"/>
          </w:tcPr>
          <w:p>
            <w:pPr>
              <w:pStyle w:val="TableContents"/>
              <w:spacing w:before="0" w:after="283"/>
              <w:jc w:val="left"/>
              <w:rPr/>
            </w:pPr>
            <w:r>
              <w:rPr/>
              <w:t>Prepaid expenses and other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(1,745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12</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Right of use assets,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1,127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(527</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Accrued expenses and other 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8,284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4,780</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Deferred revenue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(3,303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(2,249</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Net cash used in operating activities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right"/>
              <w:rPr/>
            </w:pPr>
            <w:r>
              <w:rPr/>
              <w:t>(30,149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(14,782</w:t>
            </w:r>
          </w:p>
        </w:tc>
        <w:tc>
          <w:tcPr>
            <w:tcW w:w="110" w:type="dxa"/>
            <w:tcBorders/>
            <w:shd w:fill="auto" w:val="clear"/>
            <w:vAlign w:val="center"/>
          </w:tcPr>
          <w:p>
            <w:pPr>
              <w:pStyle w:val="TableContents"/>
              <w:spacing w:before="0" w:after="283"/>
              <w:ind w:left="0" w:right="0" w:hanging="200"/>
              <w:jc w:val="left"/>
              <w:rPr/>
            </w:pPr>
            <w:r>
              <w:rPr/>
              <w:t>)</w:t>
            </w:r>
          </w:p>
        </w:tc>
      </w:tr>
      <w:tr>
        <w:trPr/>
        <w:tc>
          <w:tcPr>
            <w:tcW w:w="79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970" w:type="dxa"/>
            <w:tcBorders/>
            <w:shd w:fill="auto" w:val="clear"/>
            <w:vAlign w:val="center"/>
          </w:tcPr>
          <w:p>
            <w:pPr>
              <w:pStyle w:val="TableContents"/>
              <w:spacing w:before="0" w:after="283"/>
              <w:jc w:val="left"/>
              <w:rPr>
                <w:b/>
              </w:rPr>
            </w:pPr>
            <w:r>
              <w:rPr>
                <w:b/>
              </w:rPr>
              <w:t>CASH FLOWS FROM INVESTING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Purchases of 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(2,220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(136</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Purchases of intangibles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(104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rPr/>
            </w:pPr>
            <w:r>
              <w:rPr/>
              <w:t>Purchase of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(62,209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Proceeds from the sale of securities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17,743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Proceeds from the sale of fixed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101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Issuance of loan receivable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(22,143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Cash paid for business combination, net of cash acquired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(35,908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(1,092</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Net cash used in investing activities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right"/>
              <w:rPr/>
            </w:pPr>
            <w:r>
              <w:rPr/>
              <w:t>(104,740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(1,228</w:t>
            </w:r>
          </w:p>
        </w:tc>
        <w:tc>
          <w:tcPr>
            <w:tcW w:w="110" w:type="dxa"/>
            <w:tcBorders/>
            <w:shd w:fill="auto" w:val="clear"/>
            <w:vAlign w:val="center"/>
          </w:tcPr>
          <w:p>
            <w:pPr>
              <w:pStyle w:val="TableContents"/>
              <w:spacing w:before="0" w:after="283"/>
              <w:ind w:left="0" w:right="0" w:hanging="200"/>
              <w:jc w:val="left"/>
              <w:rPr/>
            </w:pPr>
            <w:r>
              <w:rPr/>
              <w:t>)</w:t>
            </w:r>
          </w:p>
        </w:tc>
      </w:tr>
      <w:tr>
        <w:trPr/>
        <w:tc>
          <w:tcPr>
            <w:tcW w:w="79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970" w:type="dxa"/>
            <w:tcBorders/>
            <w:shd w:fill="auto" w:val="clear"/>
            <w:vAlign w:val="center"/>
          </w:tcPr>
          <w:p>
            <w:pPr>
              <w:pStyle w:val="TableContents"/>
              <w:spacing w:before="0" w:after="283"/>
              <w:jc w:val="left"/>
              <w:rPr>
                <w:b/>
              </w:rPr>
            </w:pPr>
            <w:r>
              <w:rPr>
                <w:b/>
              </w:rPr>
              <w:t>CASH FLOWS FROM FINANCING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Proceeds from issuance of Preferred A Stock</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10,000</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Proceeds from IPO, net of fees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56,961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Proceeds from Secondary public offering, net of fees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79,839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rPr/>
            </w:pPr>
            <w:r>
              <w:rPr/>
              <w:t>Proceeds from exercise of options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2,132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rPr/>
            </w:pPr>
            <w:r>
              <w:rPr/>
              <w:t>Proceeds from exercise of warrants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Payments of financing leases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(148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Minority interest in Valiant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40</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Proceeds from PPP Loans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823</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Payments of financing leases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(88</w:t>
            </w:r>
          </w:p>
        </w:tc>
        <w:tc>
          <w:tcPr>
            <w:tcW w:w="110" w:type="dxa"/>
            <w:tcBorders/>
            <w:shd w:fill="CCEEFF" w:val="clear"/>
            <w:vAlign w:val="center"/>
          </w:tcPr>
          <w:p>
            <w:pPr>
              <w:pStyle w:val="TableContents"/>
              <w:spacing w:before="0" w:after="283"/>
              <w:ind w:left="0" w:right="0" w:hanging="200"/>
              <w:jc w:val="left"/>
              <w:rPr/>
            </w:pPr>
            <w:r>
              <w:rPr/>
              <w:t>)</w:t>
            </w:r>
          </w:p>
        </w:tc>
      </w:tr>
      <w:tr>
        <w:trPr/>
        <w:tc>
          <w:tcPr>
            <w:tcW w:w="7970" w:type="dxa"/>
            <w:tcBorders/>
            <w:shd w:fill="auto" w:val="clear"/>
            <w:vAlign w:val="center"/>
          </w:tcPr>
          <w:p>
            <w:pPr>
              <w:pStyle w:val="TableContents"/>
              <w:spacing w:before="0" w:after="283"/>
              <w:jc w:val="left"/>
              <w:rPr/>
            </w:pPr>
            <w:r>
              <w:rPr/>
              <w:t>Proceeds from notes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13,100</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Proceeds from issuance of common stock</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40</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Net cash provided by financing activities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right"/>
              <w:rPr/>
            </w:pPr>
            <w:r>
              <w:rPr/>
              <w:t>138,792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23,915</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Net increase in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3,903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7,905</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Cash and cash equivalents – Beginning of period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right"/>
              <w:rPr/>
            </w:pPr>
            <w:r>
              <w:rPr/>
              <w:t>8,111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206</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Cash and cash equivalents – End of period</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spacing w:before="0" w:after="283"/>
              <w:jc w:val="right"/>
              <w:rPr/>
            </w:pPr>
            <w:r>
              <w:rPr/>
              <w:t>12,014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8,111</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b/>
              </w:rPr>
            </w:pPr>
            <w:r>
              <w:rPr>
                <w:b/>
              </w:rPr>
              <w:t>Supplemental disclosure of non-cash investing and financing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Equipment sold for loan receivable to customer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289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7970" w:type="dxa"/>
            <w:tcBorders/>
            <w:shd w:fill="auto" w:val="clear"/>
            <w:vAlign w:val="center"/>
          </w:tcPr>
          <w:p>
            <w:pPr>
              <w:pStyle w:val="TableContents"/>
              <w:spacing w:before="0" w:after="283"/>
              <w:jc w:val="left"/>
              <w:rPr/>
            </w:pPr>
            <w:r>
              <w:rPr/>
              <w:t>Warrants issued and recorded as debt discount in connection with notes payable issuances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auto" w:val="clear"/>
            <w:tcMar>
              <w:bottom w:w="28" w:type="dxa"/>
            </w:tcMar>
            <w:vAlign w:val="center"/>
          </w:tcPr>
          <w:p>
            <w:pPr>
              <w:pStyle w:val="TableContents"/>
              <w:spacing w:before="0" w:after="283"/>
              <w:jc w:val="right"/>
              <w:rPr/>
            </w:pPr>
            <w:r>
              <w:rPr/>
              <w:t>2,426</w:t>
            </w:r>
          </w:p>
        </w:tc>
        <w:tc>
          <w:tcPr>
            <w:tcW w:w="110" w:type="dxa"/>
            <w:tcBorders/>
            <w:shd w:fill="auto" w:val="clear"/>
            <w:vAlign w:val="center"/>
          </w:tcPr>
          <w:p>
            <w:pPr>
              <w:pStyle w:val="TableContents"/>
              <w:spacing w:before="0" w:after="283"/>
              <w:ind w:left="0" w:right="0" w:hanging="200"/>
              <w:jc w:val="left"/>
              <w:rPr/>
            </w:pPr>
            <w:r>
              <w:rPr/>
              <w:t> </w:t>
            </w:r>
          </w:p>
        </w:tc>
      </w:tr>
      <w:tr>
        <w:trPr/>
        <w:tc>
          <w:tcPr>
            <w:tcW w:w="7970" w:type="dxa"/>
            <w:tcBorders/>
            <w:shd w:fill="CCEEFF" w:val="clear"/>
            <w:vAlign w:val="center"/>
          </w:tcPr>
          <w:p>
            <w:pPr>
              <w:pStyle w:val="TableContents"/>
              <w:spacing w:before="0" w:after="283"/>
              <w:jc w:val="left"/>
              <w:rPr/>
            </w:pPr>
            <w:r>
              <w:rPr/>
              <w:t>Bifurcated embedded conversion options recorded as derivative liabilities and debt discount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pPr>
            <w:r>
              <w:rPr/>
              <w:t>2,769</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4" w:name="agri_031"/>
      <w:bookmarkEnd w:id="34"/>
      <w:r>
        <w:rPr>
          <w:rFonts w:ascii="Times New Roman;Times;Serif" w:hAnsi="Times New Roman;Times;Serif"/>
          <w:b/>
          <w:i w:val="false"/>
          <w:caps w:val="false"/>
          <w:smallCaps w:val="false"/>
          <w:sz w:val="20"/>
        </w:rPr>
        <w:t>AGRIFY CORPORATION AND SUBSIDIARIES</w:t>
        <w:br/>
        <w:t>NOTES TO CONSOLIDATED FINANCIAL STATEMENTS</w:t>
        <w:br/>
        <w:t>(Amounts in thousands unless otherwise specified, except share and per share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 Nature of Business and Basis of Presentation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(“Agrify” or the “Company”) is a developer of highly advanced and proprietary precision hardware and software grow solutions for the indoor agriculture marketplace and provides equipment and solutions for cultivation, extraction, post-processing, and testing for the cannabis and hemp industry. The Company was formed in the State of Nevada on June 6, 2016 as Agrinamics, Inc., and subsequently changed its name to Agrify Corporation. The Company is sometimes referred to herein by the words “we,” “us,” “our,” and similar terminology.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eight wholly owned subsidiaries, which are collectively referred to as the “Subsidiaries”:</w:t>
      </w:r>
    </w:p>
    <w:p>
      <w:pPr>
        <w:pStyle w:val="TextBody"/>
        <w:spacing w:before="0" w:after="0"/>
        <w:ind w:left="0" w:right="0" w:hanging="0"/>
        <w:rPr>
          <w:caps w:val="false"/>
          <w:smallCaps w:val="false"/>
        </w:rPr>
      </w:pPr>
      <w:r>
        <w:rPr>
          <w:caps w:val="false"/>
          <w:smallCaps w:val="false"/>
        </w:rPr>
        <w:t> </w:t>
      </w:r>
    </w:p>
    <w:tbl>
      <w:tblPr>
        <w:tblW w:w="5058" w:type="dxa"/>
        <w:jc w:val="left"/>
        <w:tblInd w:w="0" w:type="dxa"/>
        <w:tblCellMar>
          <w:top w:w="0" w:type="dxa"/>
          <w:left w:w="0" w:type="dxa"/>
          <w:bottom w:w="0" w:type="dxa"/>
          <w:right w:w="0" w:type="dxa"/>
        </w:tblCellMar>
      </w:tblPr>
      <w:tblGrid>
        <w:gridCol w:w="38"/>
        <w:gridCol w:w="170"/>
        <w:gridCol w:w="48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8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AGM Service Corp LLC (formerly AGM Service Corp Inc.);</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TriGrow Systems, LLC (“TriGrow”, which acted as the Company’s exclusive distributor and which was acquired in January 2020 as TriGrow Systems, Inc. and converted to TriGrow Systems, LLC in May 2020);</w:t>
            </w:r>
          </w:p>
        </w:tc>
      </w:tr>
    </w:tbl>
    <w:p>
      <w:pPr>
        <w:pStyle w:val="TextBody"/>
        <w:rPr>
          <w:caps w:val="false"/>
          <w:smallCaps w:val="false"/>
        </w:rPr>
      </w:pPr>
      <w:r>
        <w:rPr>
          <w:caps w:val="false"/>
          <w:smallCaps w:val="false"/>
        </w:rPr>
        <w:t> </w:t>
      </w:r>
    </w:p>
    <w:tbl>
      <w:tblPr>
        <w:tblW w:w="1968" w:type="dxa"/>
        <w:jc w:val="left"/>
        <w:tblInd w:w="0" w:type="dxa"/>
        <w:tblCellMar>
          <w:top w:w="0" w:type="dxa"/>
          <w:left w:w="0" w:type="dxa"/>
          <w:bottom w:w="0" w:type="dxa"/>
          <w:right w:w="0" w:type="dxa"/>
        </w:tblCellMar>
      </w:tblPr>
      <w:tblGrid>
        <w:gridCol w:w="38"/>
        <w:gridCol w:w="170"/>
        <w:gridCol w:w="17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17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Ariafy Finance, LLC;</w:t>
            </w:r>
          </w:p>
        </w:tc>
      </w:tr>
    </w:tbl>
    <w:p>
      <w:pPr>
        <w:pStyle w:val="TextBody"/>
        <w:rPr>
          <w:caps w:val="false"/>
          <w:smallCaps w:val="false"/>
        </w:rPr>
      </w:pPr>
      <w:r>
        <w:rPr>
          <w:caps w:val="false"/>
          <w:smallCaps w:val="false"/>
        </w:rPr>
        <w:t> </w:t>
      </w:r>
    </w:p>
    <w:tbl>
      <w:tblPr>
        <w:tblW w:w="1428" w:type="dxa"/>
        <w:jc w:val="left"/>
        <w:tblInd w:w="0" w:type="dxa"/>
        <w:tblCellMar>
          <w:top w:w="0" w:type="dxa"/>
          <w:left w:w="0" w:type="dxa"/>
          <w:bottom w:w="0" w:type="dxa"/>
          <w:right w:w="0" w:type="dxa"/>
        </w:tblCellMar>
      </w:tblPr>
      <w:tblGrid>
        <w:gridCol w:w="38"/>
        <w:gridCol w:w="170"/>
        <w:gridCol w:w="12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1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Agxiom, LLC;</w:t>
            </w:r>
          </w:p>
        </w:tc>
      </w:tr>
    </w:tbl>
    <w:p>
      <w:pPr>
        <w:pStyle w:val="TextBody"/>
        <w:rPr>
          <w:caps w:val="false"/>
          <w:smallCaps w:val="false"/>
        </w:rPr>
      </w:pPr>
      <w:r>
        <w:rPr>
          <w:caps w:val="false"/>
          <w:smallCaps w:val="false"/>
        </w:rPr>
        <w:t> </w:t>
      </w:r>
    </w:p>
    <w:tbl>
      <w:tblPr>
        <w:tblW w:w="5658" w:type="dxa"/>
        <w:jc w:val="left"/>
        <w:tblInd w:w="0" w:type="dxa"/>
        <w:tblCellMar>
          <w:top w:w="0" w:type="dxa"/>
          <w:left w:w="0" w:type="dxa"/>
          <w:bottom w:w="0" w:type="dxa"/>
          <w:right w:w="0" w:type="dxa"/>
        </w:tblCellMar>
      </w:tblPr>
      <w:tblGrid>
        <w:gridCol w:w="38"/>
        <w:gridCol w:w="170"/>
        <w:gridCol w:w="54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Harbor Mountain Holdings, LLC (“HMH”)(acquired in July 2020);</w:t>
            </w:r>
          </w:p>
        </w:tc>
      </w:tr>
    </w:tbl>
    <w:p>
      <w:pPr>
        <w:pStyle w:val="TextBody"/>
        <w:rPr>
          <w:caps w:val="false"/>
          <w:smallCaps w:val="false"/>
        </w:rPr>
      </w:pPr>
      <w:r>
        <w:rPr>
          <w:caps w:val="false"/>
          <w:smallCaps w:val="false"/>
        </w:rPr>
        <w:t> </w:t>
      </w:r>
    </w:p>
    <w:tbl>
      <w:tblPr>
        <w:tblW w:w="7923" w:type="dxa"/>
        <w:jc w:val="left"/>
        <w:tblInd w:w="0" w:type="dxa"/>
        <w:tblCellMar>
          <w:top w:w="0" w:type="dxa"/>
          <w:left w:w="0" w:type="dxa"/>
          <w:bottom w:w="0" w:type="dxa"/>
          <w:right w:w="0" w:type="dxa"/>
        </w:tblCellMar>
      </w:tblPr>
      <w:tblGrid>
        <w:gridCol w:w="38"/>
        <w:gridCol w:w="170"/>
        <w:gridCol w:w="77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7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Cascade Sciences, LLC (“Cascade”)(which was acquired by the Company on October 1, 2021);</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Extraction NewCo, LLC (“Precision”)(which was a newly formed subsidiary in connection with October 1, 2021 acquisition of Mass2Media, LLC, d/b/a PX2 Holdings, LLC, d/b/a Precision Extraction Solutions and Cascade); and</w:t>
            </w:r>
          </w:p>
        </w:tc>
      </w:tr>
    </w:tbl>
    <w:p>
      <w:pPr>
        <w:pStyle w:val="TextBody"/>
        <w:rPr>
          <w:caps w:val="false"/>
          <w:smallCaps w:val="false"/>
        </w:rPr>
      </w:pPr>
      <w:r>
        <w:rPr>
          <w:caps w:val="false"/>
          <w:smallCaps w:val="false"/>
        </w:rPr>
        <w:t> </w:t>
      </w:r>
    </w:p>
    <w:tbl>
      <w:tblPr>
        <w:tblW w:w="8118" w:type="dxa"/>
        <w:jc w:val="left"/>
        <w:tblInd w:w="0" w:type="dxa"/>
        <w:tblCellMar>
          <w:top w:w="0" w:type="dxa"/>
          <w:left w:w="0" w:type="dxa"/>
          <w:bottom w:w="0" w:type="dxa"/>
          <w:right w:w="0" w:type="dxa"/>
        </w:tblCellMar>
      </w:tblPr>
      <w:tblGrid>
        <w:gridCol w:w="38"/>
        <w:gridCol w:w="170"/>
        <w:gridCol w:w="79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PurePressure, LLC (“PurePressure”)(which was acquired by the Company on December 31, 2021).</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ownership interests in the following companies:</w:t>
      </w:r>
    </w:p>
    <w:p>
      <w:pPr>
        <w:pStyle w:val="TextBody"/>
        <w:spacing w:before="0" w:after="0"/>
        <w:ind w:left="0" w:right="0" w:firstLine="360"/>
        <w:rPr>
          <w:caps w:val="false"/>
          <w:smallCaps w:val="false"/>
        </w:rPr>
      </w:pPr>
      <w:r>
        <w:rPr>
          <w:caps w:val="false"/>
          <w:smallCaps w:val="false"/>
        </w:rPr>
        <w:t> </w:t>
      </w:r>
    </w:p>
    <w:tbl>
      <w:tblPr>
        <w:tblW w:w="8958" w:type="dxa"/>
        <w:jc w:val="left"/>
        <w:tblInd w:w="0" w:type="dxa"/>
        <w:tblCellMar>
          <w:top w:w="0" w:type="dxa"/>
          <w:left w:w="0" w:type="dxa"/>
          <w:bottom w:w="0" w:type="dxa"/>
          <w:right w:w="0" w:type="dxa"/>
        </w:tblCellMar>
      </w:tblPr>
      <w:tblGrid>
        <w:gridCol w:w="38"/>
        <w:gridCol w:w="170"/>
        <w:gridCol w:w="87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7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Teejan Podoponics International LLC (“TPI”)(the Company has owned 50% of TPI” since December 2018);</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Agrify-Valiant, LLC (“Agrify-Valiant”)(the Company owns 60% of Agrify-Valient, which was formed in December 2019); and</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Brands, LLC (“Agrify Brands”)(formerly TriGrow Brands, LLC)(the Company owns 75% of Agrify Brands, which ownership position was created as part of the January 2020 acquisition of TriGrow).</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entered into an Agreement and Plan of Merger (the “Merger Agreement”) with LS Holdings Corp. (“Lab Society”), Lab Society NewCo, LLC, a newly formed wholly 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 owned subsidiary of the Company (the “Lab Society Acquisition”). See Note 23, Subsequent Events included elsewhere in the notes to the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2021, the Company effected a 1-for-1.581804 reverse stock split. All share and per share information has been retroactively adjusted to give effect to the reverse stock split for all periods presented, unless otherwise indicated.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Public Offering and Secondary Public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2021, we closed our initial public offering, or (“IPO”), of 6,210,000 shares of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Maxim Group LLC and Roth Capital Partners acted as the underwriters. The public offering price of the shares sold in the offering was $10.00 per share. The total gross proceeds from the offering were $62.1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underwriting discounts and commissions of $4 million and offering expenses paid or payable by us of approximately $1 million, the net proceeds from the offering were approximately $57 million. During the fiscal year ended December 31, 2021, we used the net proceeds from the IPO for our current working capital needs to support accounts receivable growth, manage inventory to meet demand forecasts, and support operational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we consummated a secondary public offering (the “February Offering”) of 5,555,555 shares of common stock for a price of $13.50 per share, less certain underwriting discounts and commissions. On March 22, 2021, we closed on the sale of an additional 833,333 shares of common stock on the same terms and conditions pursuant to the exercise of the underwriters’ over-allotment option. The exercise of the over-allotment option brought the total number of shares of common stock sold by us in connection with the February Offering to 6,388,888 shares and the total net proceeds received in connection with the February Offering to approximately $80 million, after deducting underwriting discounts and estimated offering expenses. During the fiscal year ended December 31, 2021, we used the net proceeds from the IPO for our current working capital needs to support accounts receivable growth, manage inventory to meet demand forecasts, and support operational growth.</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(i) a cash payment of $2.4 million and (ii) the right to participate as a co-manager with ten percent (10%) of the economics with respect to the Company’s next public offering of securities, payable in cash upon the closing of such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Coronavirus (“COVID-19”) Pandemic</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spike of COVID-19 in the first quarter of 2020 has caused significant volatility in the U.S. markets. There is significant uncertainty around the breadth and duration of business disruptions related to COVID-19, as well as its impact on the U.S. economy. To date, there has not been a material impact on the Company’s business operations and financial performance. The extent of the impact of COVID-19 on the Company’s operational and financial performance will depend in part, on the length and severity of these restrictions and on the Company’s ability to conduct business in the ordinary course.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Paycheck Protection Program</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July 2020, the Company entered into two separate PPP Loans with Bank of America pursuant to the Paycheck Protection Program (the “PPP”) under the Coronavirus Aid, Relief, and Economic Security Act (“CARES Act”) administered by the U.S. Small Business Administration (the “SBA”)(the “PPP Loans”). The Company received total proceeds of approximately $823 thousand from the unsecured PPP Loans, of which $44 thousand was forgiven in September 2021. The Company’s application related to the forgiveness of the remaining outstanding balance of PPP Loans is currently under review by the SBA.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Wholly Owned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U.S. (“GAAP”) and include the accounts of Agrify Corporation and its wholly owned subsidiaries, as described above in Note 1 – Nature of Business and Basis of Presentation,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r>
        <w:rPr>
          <w:rFonts w:ascii="Times New Roman;Times;Serif" w:hAnsi="Times New Roman;Times;Serif"/>
          <w:b/>
          <w:i/>
          <w:caps w:val="false"/>
          <w:smallCaps w:val="false"/>
          <w:sz w:val="20"/>
        </w:rPr>
        <w:t>Accounting for Less Than Wholly Owned Subsidiaries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less than wholly owned subsidiaries, which include TPI, Agrify-Valiant, and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for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the financial statements of Agrify-Valiant,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Estimates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Fiscal Year ends on December 31, each year.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use the extended transition period for complying with new or revised accounting standards.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w:t>
            </w:r>
          </w:p>
        </w:tc>
        <w:tc>
          <w:tcPr>
            <w:tcW w:w="996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$1.0 billion or more in annual gross revenues;</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996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w:t>
            </w:r>
          </w:p>
        </w:tc>
        <w:tc>
          <w:tcPr>
            <w:tcW w:w="996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issuance, in a three-year period, of more than $1.0 billion in non-convertible debt;</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996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w:t>
            </w:r>
          </w:p>
        </w:tc>
        <w:tc>
          <w:tcPr>
            <w:tcW w:w="996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end of the fiscal year in which the market value of our common stock held by non-affiliates exceeds $700 million on the last business day of our second fiscal quarter; and</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9960"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170" w:type="dxa"/>
            <w:tcBorders/>
            <w:shd w:fill="auto" w:val="clear"/>
            <w:vAlign w:val="center"/>
          </w:tcPr>
          <w:p>
            <w:pPr>
              <w:pStyle w:val="TableContents"/>
              <w:spacing w:before="0" w:after="283"/>
              <w:ind w:left="0" w:right="0" w:hanging="0"/>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 period financial statements have been reclassified to conform to the presentation of the current period financial statements. In this Annual Report on Form 10-K, we have reclassified our capitalized website costs so that they are included as part of our aggregate intangible assets, net in our consolidated balance sheets as of December 31, 2021 and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and Cash Equivalents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principally of cash and deposits with maturities of three months or less as of December 31, 2021 and December 31, 2020. All cash equivalents are carried at cost, which approximates fair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Marketable Securities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held to maturity and are recorded at amortized cost in the accompanying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primarily consists of amounts billed and currently due from customers. Accounts receivable balances are presented net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customer collection matters, including the aging of unpaid accounts receivable and changes in customer financial conditions. Account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 and Significant Customer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primarily consist of cash and accounts receivable. The Company places its cash with financial institutions in the United States. The cash balances are insured by the FDIC up to $250 thousand per depositor with unlimited insurance for funds in noninterest-bearing transaction accounts through December 31, 2021. At times, the amounts in these accounts may exceed the federally insured limits.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customers whose revenue individually represented 10% or more of the Company’s total revenue, or whose accounts receivable balances individually represent 10% or more of the Company’s total accounts receivable. Refer to the following table.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customers whose revenue individually represented 10% or more of the Company’s total revenue, or whose accounts receivable balances individually represent 10% or more of the Company’s total accounts receivable. Refer to the following table.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2021 and 2020, the Company’s customers that accounted for 10% or more of the total revenue were as follows: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79"/>
        <w:gridCol w:w="60"/>
        <w:gridCol w:w="140"/>
        <w:gridCol w:w="1385"/>
        <w:gridCol w:w="60"/>
        <w:gridCol w:w="60"/>
        <w:gridCol w:w="81"/>
        <w:gridCol w:w="986"/>
        <w:gridCol w:w="215"/>
        <w:gridCol w:w="60"/>
        <w:gridCol w:w="172"/>
        <w:gridCol w:w="688"/>
        <w:gridCol w:w="60"/>
        <w:gridCol w:w="60"/>
        <w:gridCol w:w="127"/>
        <w:gridCol w:w="940"/>
        <w:gridCol w:w="232"/>
      </w:tblGrid>
      <w:tr>
        <w:trPr/>
        <w:tc>
          <w:tcPr>
            <w:tcW w:w="48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2"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7"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232" w:type="dxa"/>
            <w:tcBorders/>
            <w:shd w:fill="auto" w:val="clear"/>
            <w:vAlign w:val="center"/>
          </w:tcPr>
          <w:p>
            <w:pPr>
              <w:pStyle w:val="TableContents"/>
              <w:spacing w:before="0" w:after="283"/>
              <w:rPr/>
            </w:pPr>
            <w:r>
              <w:rPr/>
              <w:t> </w:t>
            </w:r>
          </w:p>
        </w:tc>
      </w:tr>
      <w:tr>
        <w:trPr/>
        <w:tc>
          <w:tcPr>
            <w:tcW w:w="4879"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152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Total</w:t>
              <w:br/>
              <w:t>Revenue</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Total</w:t>
              <w:br/>
              <w:t>Revenue</w:t>
            </w:r>
          </w:p>
        </w:tc>
        <w:tc>
          <w:tcPr>
            <w:tcW w:w="232" w:type="dxa"/>
            <w:tcBorders/>
            <w:shd w:fill="auto" w:val="clear"/>
            <w:vAlign w:val="center"/>
          </w:tcPr>
          <w:p>
            <w:pPr>
              <w:pStyle w:val="TableContents"/>
              <w:spacing w:before="0" w:after="283"/>
              <w:ind w:left="0" w:right="0" w:hanging="180"/>
              <w:rPr/>
            </w:pPr>
            <w:r>
              <w:rPr/>
              <w:t> </w:t>
            </w:r>
          </w:p>
        </w:tc>
      </w:tr>
      <w:tr>
        <w:trPr/>
        <w:tc>
          <w:tcPr>
            <w:tcW w:w="4879" w:type="dxa"/>
            <w:tcBorders/>
            <w:shd w:fill="CCEEFF" w:val="clear"/>
            <w:vAlign w:val="center"/>
          </w:tcPr>
          <w:p>
            <w:pPr>
              <w:pStyle w:val="TableContents"/>
              <w:spacing w:before="0" w:after="283"/>
              <w:jc w:val="left"/>
              <w:rPr/>
            </w:pPr>
            <w:r>
              <w:rPr/>
              <w:t>New England Innovation Academy (“NEIA”) – Related Party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385" w:type="dxa"/>
            <w:tcBorders/>
            <w:shd w:fill="CCEEFF" w:val="clear"/>
            <w:vAlign w:val="center"/>
          </w:tcPr>
          <w:p>
            <w:pPr>
              <w:pStyle w:val="TableContents"/>
              <w:spacing w:before="0" w:after="283"/>
              <w:jc w:val="right"/>
              <w:rPr/>
            </w:pPr>
            <w:r>
              <w:rPr/>
              <w:t>22,010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jc w:val="left"/>
              <w:rPr/>
            </w:pPr>
            <w:r>
              <w:rPr/>
              <w:t> </w:t>
            </w:r>
          </w:p>
        </w:tc>
        <w:tc>
          <w:tcPr>
            <w:tcW w:w="986" w:type="dxa"/>
            <w:tcBorders/>
            <w:shd w:fill="CCEEFF" w:val="clear"/>
            <w:vAlign w:val="center"/>
          </w:tcPr>
          <w:p>
            <w:pPr>
              <w:pStyle w:val="TableContents"/>
              <w:spacing w:before="0" w:after="283"/>
              <w:jc w:val="right"/>
              <w:rPr/>
            </w:pPr>
            <w:r>
              <w:rPr/>
              <w:t>36.8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w:t>
            </w:r>
          </w:p>
        </w:tc>
        <w:tc>
          <w:tcPr>
            <w:tcW w:w="688" w:type="dxa"/>
            <w:tcBorders/>
            <w:shd w:fill="CCEEFF" w:val="clear"/>
            <w:vAlign w:val="center"/>
          </w:tcPr>
          <w:p>
            <w:pPr>
              <w:pStyle w:val="TableContents"/>
              <w:spacing w:before="0" w:after="283"/>
              <w:jc w:val="right"/>
              <w:rPr/>
            </w:pPr>
            <w:r>
              <w:rPr/>
              <w:t>3,916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940" w:type="dxa"/>
            <w:tcBorders/>
            <w:shd w:fill="CCEEFF" w:val="clear"/>
            <w:vAlign w:val="center"/>
          </w:tcPr>
          <w:p>
            <w:pPr>
              <w:pStyle w:val="TableContents"/>
              <w:spacing w:before="0" w:after="283"/>
              <w:jc w:val="right"/>
              <w:rPr/>
            </w:pPr>
            <w:r>
              <w:rPr/>
              <w:t>32.4</w:t>
            </w:r>
          </w:p>
        </w:tc>
        <w:tc>
          <w:tcPr>
            <w:tcW w:w="232" w:type="dxa"/>
            <w:tcBorders/>
            <w:shd w:fill="CCEEFF" w:val="clear"/>
            <w:vAlign w:val="center"/>
          </w:tcPr>
          <w:p>
            <w:pPr>
              <w:pStyle w:val="TableContents"/>
              <w:spacing w:before="0" w:after="283"/>
              <w:ind w:left="0" w:right="0" w:hanging="180"/>
              <w:jc w:val="left"/>
              <w:rPr/>
            </w:pPr>
            <w:r>
              <w:rPr/>
              <w:t>%</w:t>
            </w:r>
          </w:p>
        </w:tc>
      </w:tr>
      <w:tr>
        <w:trPr/>
        <w:tc>
          <w:tcPr>
            <w:tcW w:w="4879" w:type="dxa"/>
            <w:tcBorders/>
            <w:shd w:fill="auto" w:val="clear"/>
            <w:vAlign w:val="center"/>
          </w:tcPr>
          <w:p>
            <w:pPr>
              <w:pStyle w:val="TableContents"/>
              <w:spacing w:before="0" w:after="283"/>
              <w:jc w:val="left"/>
              <w:rPr/>
            </w:pPr>
            <w:r>
              <w:rPr/>
              <w:t>Customer B</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385" w:type="dxa"/>
            <w:tcBorders/>
            <w:shd w:fill="auto" w:val="clear"/>
            <w:vAlign w:val="center"/>
          </w:tcPr>
          <w:p>
            <w:pPr>
              <w:pStyle w:val="TableContents"/>
              <w:spacing w:before="0" w:after="0"/>
              <w:jc w:val="right"/>
              <w:rPr/>
            </w:pPr>
            <w:r>
              <w:rPr/>
              <w:t>                 </w:t>
            </w:r>
            <w:r>
              <w:rPr>
                <w:rFonts w:ascii="Times New Roman;Times;Serif" w:hAnsi="Times New Roman;Times;Serif"/>
                <w:b/>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jc w:val="left"/>
              <w:rPr/>
            </w:pPr>
            <w:r>
              <w:rPr/>
              <w:t> </w:t>
            </w:r>
          </w:p>
        </w:tc>
        <w:tc>
          <w:tcPr>
            <w:tcW w:w="986" w:type="dxa"/>
            <w:tcBorders/>
            <w:shd w:fill="auto" w:val="clear"/>
            <w:vAlign w:val="center"/>
          </w:tcPr>
          <w:p>
            <w:pPr>
              <w:pStyle w:val="TableContents"/>
              <w:spacing w:before="0" w:after="0"/>
              <w:jc w:val="right"/>
              <w:rPr/>
            </w:pPr>
            <w:r>
              <w:rPr/>
              <w:t>          </w:t>
            </w:r>
            <w:r>
              <w:rPr>
                <w:rFonts w:ascii="Times New Roman;Times;Serif" w:hAnsi="Times New Roman;Times;Serif"/>
                <w:b/>
                <w:sz w:val="20"/>
              </w:rPr>
              <w:t>*</w:t>
            </w:r>
          </w:p>
        </w:tc>
        <w:tc>
          <w:tcPr>
            <w:tcW w:w="21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jc w:val="left"/>
              <w:rPr/>
            </w:pPr>
            <w:r>
              <w:rPr/>
              <w:t>$</w:t>
            </w:r>
          </w:p>
        </w:tc>
        <w:tc>
          <w:tcPr>
            <w:tcW w:w="688" w:type="dxa"/>
            <w:tcBorders/>
            <w:shd w:fill="auto" w:val="clear"/>
            <w:vAlign w:val="center"/>
          </w:tcPr>
          <w:p>
            <w:pPr>
              <w:pStyle w:val="TableContents"/>
              <w:spacing w:before="0" w:after="283"/>
              <w:jc w:val="right"/>
              <w:rPr/>
            </w:pPr>
            <w:r>
              <w:rPr/>
              <w:t>1,660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jc w:val="left"/>
              <w:rPr/>
            </w:pPr>
            <w:r>
              <w:rPr/>
              <w:t> </w:t>
            </w:r>
          </w:p>
        </w:tc>
        <w:tc>
          <w:tcPr>
            <w:tcW w:w="940" w:type="dxa"/>
            <w:tcBorders/>
            <w:shd w:fill="auto" w:val="clear"/>
            <w:vAlign w:val="center"/>
          </w:tcPr>
          <w:p>
            <w:pPr>
              <w:pStyle w:val="TableContents"/>
              <w:spacing w:before="0" w:after="283"/>
              <w:jc w:val="right"/>
              <w:rPr/>
            </w:pPr>
            <w:r>
              <w:rPr/>
              <w:t>13.7</w:t>
            </w:r>
          </w:p>
        </w:tc>
        <w:tc>
          <w:tcPr>
            <w:tcW w:w="232" w:type="dxa"/>
            <w:tcBorders/>
            <w:shd w:fill="auto" w:val="clear"/>
            <w:vAlign w:val="center"/>
          </w:tcPr>
          <w:p>
            <w:pPr>
              <w:pStyle w:val="TableContents"/>
              <w:spacing w:before="0" w:after="283"/>
              <w:ind w:left="0" w:right="0" w:hanging="180"/>
              <w:jc w:val="left"/>
              <w:rPr/>
            </w:pPr>
            <w:r>
              <w:rPr/>
              <w:t>%</w:t>
            </w:r>
          </w:p>
        </w:tc>
      </w:tr>
      <w:tr>
        <w:trPr/>
        <w:tc>
          <w:tcPr>
            <w:tcW w:w="4879" w:type="dxa"/>
            <w:tcBorders/>
            <w:shd w:fill="CCEEFF" w:val="clear"/>
            <w:vAlign w:val="center"/>
          </w:tcPr>
          <w:p>
            <w:pPr>
              <w:pStyle w:val="TableContents"/>
              <w:spacing w:before="0" w:after="283"/>
              <w:jc w:val="left"/>
              <w:rPr/>
            </w:pPr>
            <w:r>
              <w:rPr/>
              <w:t>Greenstone Holdings - Related Party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385" w:type="dxa"/>
            <w:tcBorders/>
            <w:shd w:fill="CCEEFF" w:val="clear"/>
            <w:vAlign w:val="center"/>
          </w:tcPr>
          <w:p>
            <w:pPr>
              <w:pStyle w:val="TableContents"/>
              <w:spacing w:before="0" w:after="283"/>
              <w:jc w:val="right"/>
              <w:rPr/>
            </w:pPr>
            <w:r>
              <w:rPr/>
              <w:t>9,429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jc w:val="left"/>
              <w:rPr/>
            </w:pPr>
            <w:r>
              <w:rPr/>
              <w:t> </w:t>
            </w:r>
          </w:p>
        </w:tc>
        <w:tc>
          <w:tcPr>
            <w:tcW w:w="986" w:type="dxa"/>
            <w:tcBorders/>
            <w:shd w:fill="CCEEFF" w:val="clear"/>
            <w:vAlign w:val="center"/>
          </w:tcPr>
          <w:p>
            <w:pPr>
              <w:pStyle w:val="TableContents"/>
              <w:spacing w:before="0" w:after="283"/>
              <w:jc w:val="right"/>
              <w:rPr/>
            </w:pPr>
            <w:r>
              <w:rPr/>
              <w:t>15.8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688" w:type="dxa"/>
            <w:tcBorders/>
            <w:shd w:fill="CCEEFF" w:val="clear"/>
            <w:vAlign w:val="center"/>
          </w:tcPr>
          <w:p>
            <w:pPr>
              <w:pStyle w:val="TableContents"/>
              <w:spacing w:before="0" w:after="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jc w:val="left"/>
              <w:rPr/>
            </w:pPr>
            <w:r>
              <w:rPr/>
              <w:t> </w:t>
            </w:r>
          </w:p>
        </w:tc>
        <w:tc>
          <w:tcPr>
            <w:tcW w:w="940" w:type="dxa"/>
            <w:tcBorders/>
            <w:shd w:fill="CCEEFF" w:val="clear"/>
            <w:vAlign w:val="center"/>
          </w:tcPr>
          <w:p>
            <w:pPr>
              <w:pStyle w:val="TableContents"/>
              <w:spacing w:before="0" w:after="0"/>
              <w:jc w:val="right"/>
              <w:rPr/>
            </w:pPr>
            <w:r>
              <w:rPr/>
              <w:t> </w:t>
            </w:r>
            <w:r>
              <w:rPr>
                <w:rFonts w:ascii="Times New Roman;Times;Serif" w:hAnsi="Times New Roman;Times;Serif"/>
                <w:b/>
                <w:sz w:val="20"/>
              </w:rPr>
              <w:t xml:space="preserve">* </w:t>
            </w:r>
          </w:p>
        </w:tc>
        <w:tc>
          <w:tcPr>
            <w:tcW w:w="232" w:type="dxa"/>
            <w:tcBorders/>
            <w:shd w:fill="CCEEFF" w:val="clear"/>
            <w:vAlign w:val="center"/>
          </w:tcPr>
          <w:p>
            <w:pPr>
              <w:pStyle w:val="TableContents"/>
              <w:spacing w:before="0" w:after="283"/>
              <w:ind w:left="0" w:right="0" w:hanging="180"/>
              <w:jc w:val="left"/>
              <w:rPr/>
            </w:pPr>
            <w:r>
              <w:rPr/>
              <w:t> </w:t>
            </w:r>
          </w:p>
        </w:tc>
      </w:tr>
      <w:tr>
        <w:trPr/>
        <w:tc>
          <w:tcPr>
            <w:tcW w:w="4879" w:type="dxa"/>
            <w:tcBorders/>
            <w:shd w:fill="auto" w:val="clear"/>
            <w:vAlign w:val="center"/>
          </w:tcPr>
          <w:p>
            <w:pPr>
              <w:pStyle w:val="TableContents"/>
              <w:spacing w:before="0" w:after="283"/>
              <w:jc w:val="left"/>
              <w:rPr/>
            </w:pPr>
            <w:r>
              <w:rPr/>
              <w:t>Customer 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385" w:type="dxa"/>
            <w:tcBorders/>
            <w:shd w:fill="auto" w:val="clear"/>
            <w:vAlign w:val="center"/>
          </w:tcPr>
          <w:p>
            <w:pPr>
              <w:pStyle w:val="TableContents"/>
              <w:spacing w:before="0" w:after="0"/>
              <w:jc w:val="right"/>
              <w:rPr/>
            </w:pPr>
            <w:r>
              <w:rPr/>
              <w:t>                     </w:t>
            </w:r>
            <w:r>
              <w:rPr>
                <w:rFonts w:ascii="Times New Roman;Times;Serif" w:hAnsi="Times New Roman;Times;Serif"/>
                <w:b/>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jc w:val="left"/>
              <w:rPr/>
            </w:pPr>
            <w:r>
              <w:rPr/>
              <w:t> </w:t>
            </w:r>
          </w:p>
        </w:tc>
        <w:tc>
          <w:tcPr>
            <w:tcW w:w="986" w:type="dxa"/>
            <w:tcBorders/>
            <w:shd w:fill="auto" w:val="clear"/>
            <w:vAlign w:val="center"/>
          </w:tcPr>
          <w:p>
            <w:pPr>
              <w:pStyle w:val="TableContents"/>
              <w:spacing w:before="0" w:after="0"/>
              <w:jc w:val="right"/>
              <w:rPr/>
            </w:pPr>
            <w:r>
              <w:rPr/>
              <w:t>         </w:t>
            </w:r>
            <w:r>
              <w:rPr>
                <w:rFonts w:ascii="Times New Roman;Times;Serif" w:hAnsi="Times New Roman;Times;Serif"/>
                <w:b/>
                <w:sz w:val="20"/>
              </w:rPr>
              <w:t xml:space="preserve">* </w:t>
            </w:r>
          </w:p>
        </w:tc>
        <w:tc>
          <w:tcPr>
            <w:tcW w:w="21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jc w:val="left"/>
              <w:rPr/>
            </w:pPr>
            <w:r>
              <w:rPr/>
              <w:t>$</w:t>
            </w:r>
          </w:p>
        </w:tc>
        <w:tc>
          <w:tcPr>
            <w:tcW w:w="688" w:type="dxa"/>
            <w:tcBorders/>
            <w:shd w:fill="auto" w:val="clear"/>
            <w:vAlign w:val="center"/>
          </w:tcPr>
          <w:p>
            <w:pPr>
              <w:pStyle w:val="TableContents"/>
              <w:spacing w:before="0" w:after="283"/>
              <w:jc w:val="right"/>
              <w:rPr/>
            </w:pPr>
            <w:r>
              <w:rPr/>
              <w:t>4,000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jc w:val="left"/>
              <w:rPr/>
            </w:pPr>
            <w:r>
              <w:rPr/>
              <w:t> </w:t>
            </w:r>
          </w:p>
        </w:tc>
        <w:tc>
          <w:tcPr>
            <w:tcW w:w="940" w:type="dxa"/>
            <w:tcBorders/>
            <w:shd w:fill="auto" w:val="clear"/>
            <w:vAlign w:val="center"/>
          </w:tcPr>
          <w:p>
            <w:pPr>
              <w:pStyle w:val="TableContents"/>
              <w:spacing w:before="0" w:after="283"/>
              <w:jc w:val="right"/>
              <w:rPr/>
            </w:pPr>
            <w:r>
              <w:rPr/>
              <w:t>33.1</w:t>
            </w:r>
          </w:p>
        </w:tc>
        <w:tc>
          <w:tcPr>
            <w:tcW w:w="232" w:type="dxa"/>
            <w:tcBorders/>
            <w:shd w:fill="auto"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tbl>
      <w:tblPr>
        <w:tblW w:w="5770" w:type="dxa"/>
        <w:jc w:val="left"/>
        <w:tblInd w:w="0" w:type="dxa"/>
        <w:tblCellMar>
          <w:top w:w="0" w:type="dxa"/>
          <w:left w:w="0" w:type="dxa"/>
          <w:bottom w:w="0" w:type="dxa"/>
          <w:right w:w="0" w:type="dxa"/>
        </w:tblCellMar>
      </w:tblPr>
      <w:tblGrid>
        <w:gridCol w:w="125"/>
        <w:gridCol w:w="5645"/>
      </w:tblGrid>
      <w:tr>
        <w:trPr/>
        <w:tc>
          <w:tcPr>
            <w:tcW w:w="1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6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Customer revenue, as a percentage of total revenue was less than 10%</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and 2020, the Company’s customers that accounted for 10% or more of the total accounts receivable, net, were as follows: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26"/>
        <w:gridCol w:w="60"/>
        <w:gridCol w:w="140"/>
        <w:gridCol w:w="1445"/>
        <w:gridCol w:w="60"/>
        <w:gridCol w:w="60"/>
        <w:gridCol w:w="163"/>
        <w:gridCol w:w="2150"/>
        <w:gridCol w:w="215"/>
        <w:gridCol w:w="60"/>
        <w:gridCol w:w="172"/>
        <w:gridCol w:w="688"/>
        <w:gridCol w:w="60"/>
        <w:gridCol w:w="60"/>
        <w:gridCol w:w="275"/>
        <w:gridCol w:w="2038"/>
        <w:gridCol w:w="233"/>
      </w:tblGrid>
      <w:tr>
        <w:trPr/>
        <w:tc>
          <w:tcPr>
            <w:tcW w:w="232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9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233" w:type="dxa"/>
            <w:tcBorders/>
            <w:shd w:fill="auto" w:val="clear"/>
            <w:vAlign w:val="center"/>
          </w:tcPr>
          <w:p>
            <w:pPr>
              <w:pStyle w:val="TableContents"/>
              <w:spacing w:before="0" w:after="283"/>
              <w:rPr/>
            </w:pPr>
            <w:r>
              <w:rPr/>
              <w:t> </w:t>
            </w:r>
          </w:p>
        </w:tc>
      </w:tr>
      <w:tr>
        <w:trPr/>
        <w:tc>
          <w:tcPr>
            <w:tcW w:w="2326"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158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Total Accounts Receivable</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of Total Accounts Receivable</w:t>
            </w:r>
          </w:p>
        </w:tc>
        <w:tc>
          <w:tcPr>
            <w:tcW w:w="233" w:type="dxa"/>
            <w:tcBorders/>
            <w:shd w:fill="auto" w:val="clear"/>
            <w:vAlign w:val="center"/>
          </w:tcPr>
          <w:p>
            <w:pPr>
              <w:pStyle w:val="TableContents"/>
              <w:spacing w:before="0" w:after="283"/>
              <w:rPr/>
            </w:pPr>
            <w:r>
              <w:rPr/>
              <w:t> </w:t>
            </w:r>
          </w:p>
        </w:tc>
      </w:tr>
      <w:tr>
        <w:trPr/>
        <w:tc>
          <w:tcPr>
            <w:tcW w:w="232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3" w:type="dxa"/>
            <w:gridSpan w:val="2"/>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3" w:type="dxa"/>
            <w:gridSpan w:val="2"/>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ind w:left="0" w:right="0" w:hanging="0"/>
              <w:rPr/>
            </w:pPr>
            <w:r>
              <w:rPr/>
              <w:t> </w:t>
            </w:r>
          </w:p>
        </w:tc>
      </w:tr>
      <w:tr>
        <w:trPr/>
        <w:tc>
          <w:tcPr>
            <w:tcW w:w="2326" w:type="dxa"/>
            <w:tcBorders/>
            <w:shd w:fill="CCEEFF" w:val="clear"/>
            <w:vAlign w:val="center"/>
          </w:tcPr>
          <w:p>
            <w:pPr>
              <w:pStyle w:val="TableContents"/>
              <w:spacing w:before="0" w:after="283"/>
              <w:jc w:val="left"/>
              <w:rPr/>
            </w:pPr>
            <w:r>
              <w:rPr/>
              <w:t>NEIA – Related Party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445" w:type="dxa"/>
            <w:tcBorders/>
            <w:shd w:fill="CCEEFF" w:val="clear"/>
            <w:vAlign w:val="center"/>
          </w:tcPr>
          <w:p>
            <w:pPr>
              <w:pStyle w:val="TableContents"/>
              <w:spacing w:before="0" w:after="283"/>
              <w:jc w:val="right"/>
              <w:rPr/>
            </w:pPr>
            <w:r>
              <w:rPr/>
              <w:t>3,498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2150" w:type="dxa"/>
            <w:tcBorders/>
            <w:shd w:fill="CCEEFF" w:val="clear"/>
            <w:vAlign w:val="center"/>
          </w:tcPr>
          <w:p>
            <w:pPr>
              <w:pStyle w:val="TableContents"/>
              <w:spacing w:before="0" w:after="283"/>
              <w:jc w:val="right"/>
              <w:rPr/>
            </w:pPr>
            <w:r>
              <w:rPr/>
              <w:t>48.4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w:t>
            </w:r>
          </w:p>
        </w:tc>
        <w:tc>
          <w:tcPr>
            <w:tcW w:w="688" w:type="dxa"/>
            <w:tcBorders/>
            <w:shd w:fill="CCEEFF" w:val="clear"/>
            <w:vAlign w:val="center"/>
          </w:tcPr>
          <w:p>
            <w:pPr>
              <w:pStyle w:val="TableContents"/>
              <w:spacing w:before="0" w:after="283"/>
              <w:jc w:val="right"/>
              <w:rPr/>
            </w:pPr>
            <w:r>
              <w:rPr/>
              <w:t>1,655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2038" w:type="dxa"/>
            <w:tcBorders/>
            <w:shd w:fill="CCEEFF" w:val="clear"/>
            <w:vAlign w:val="center"/>
          </w:tcPr>
          <w:p>
            <w:pPr>
              <w:pStyle w:val="TableContents"/>
              <w:spacing w:before="0" w:after="283"/>
              <w:jc w:val="right"/>
              <w:rPr/>
            </w:pPr>
            <w:r>
              <w:rPr/>
              <w:t>41.2</w:t>
            </w:r>
          </w:p>
        </w:tc>
        <w:tc>
          <w:tcPr>
            <w:tcW w:w="233" w:type="dxa"/>
            <w:tcBorders/>
            <w:shd w:fill="CCEEFF" w:val="clear"/>
            <w:vAlign w:val="center"/>
          </w:tcPr>
          <w:p>
            <w:pPr>
              <w:pStyle w:val="TableContents"/>
              <w:spacing w:before="0" w:after="283"/>
              <w:ind w:left="0" w:right="0" w:hanging="0"/>
              <w:jc w:val="left"/>
              <w:rPr/>
            </w:pPr>
            <w:r>
              <w:rPr/>
              <w:t>%</w:t>
            </w:r>
          </w:p>
        </w:tc>
      </w:tr>
      <w:tr>
        <w:trPr/>
        <w:tc>
          <w:tcPr>
            <w:tcW w:w="2326" w:type="dxa"/>
            <w:tcBorders/>
            <w:shd w:fill="auto" w:val="clear"/>
            <w:vAlign w:val="center"/>
          </w:tcPr>
          <w:p>
            <w:pPr>
              <w:pStyle w:val="TableContents"/>
              <w:spacing w:before="0" w:after="283"/>
              <w:jc w:val="left"/>
              <w:rPr/>
            </w:pPr>
            <w:r>
              <w:rPr/>
              <w:t>Customer B</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445" w:type="dxa"/>
            <w:tcBorders/>
            <w:shd w:fill="auto" w:val="clear"/>
            <w:vAlign w:val="center"/>
          </w:tcPr>
          <w:p>
            <w:pPr>
              <w:pStyle w:val="TableContents"/>
              <w:spacing w:before="0" w:after="283"/>
              <w:jc w:val="right"/>
              <w:rPr/>
            </w:pPr>
            <w:r>
              <w:rPr/>
              <w:t>1,541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2150" w:type="dxa"/>
            <w:tcBorders/>
            <w:shd w:fill="auto" w:val="clear"/>
            <w:vAlign w:val="center"/>
          </w:tcPr>
          <w:p>
            <w:pPr>
              <w:pStyle w:val="TableContents"/>
              <w:spacing w:before="0" w:after="283"/>
              <w:jc w:val="right"/>
              <w:rPr/>
            </w:pPr>
            <w:r>
              <w:rPr/>
              <w:t>21.3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jc w:val="left"/>
              <w:rPr/>
            </w:pPr>
            <w:r>
              <w:rPr/>
              <w:t>$</w:t>
            </w:r>
          </w:p>
        </w:tc>
        <w:tc>
          <w:tcPr>
            <w:tcW w:w="688" w:type="dxa"/>
            <w:tcBorders/>
            <w:shd w:fill="auto" w:val="clear"/>
            <w:vAlign w:val="center"/>
          </w:tcPr>
          <w:p>
            <w:pPr>
              <w:pStyle w:val="TableContents"/>
              <w:spacing w:before="0" w:after="283"/>
              <w:jc w:val="right"/>
              <w:rPr/>
            </w:pPr>
            <w:r>
              <w:rPr/>
              <w:t>1,510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 </w:t>
            </w:r>
          </w:p>
        </w:tc>
        <w:tc>
          <w:tcPr>
            <w:tcW w:w="2038" w:type="dxa"/>
            <w:tcBorders/>
            <w:shd w:fill="auto" w:val="clear"/>
            <w:vAlign w:val="center"/>
          </w:tcPr>
          <w:p>
            <w:pPr>
              <w:pStyle w:val="TableContents"/>
              <w:spacing w:before="0" w:after="283"/>
              <w:jc w:val="right"/>
              <w:rPr/>
            </w:pPr>
            <w:r>
              <w:rPr/>
              <w:t>37.6</w:t>
            </w:r>
          </w:p>
        </w:tc>
        <w:tc>
          <w:tcPr>
            <w:tcW w:w="233" w:type="dxa"/>
            <w:tcBorders/>
            <w:shd w:fill="auto" w:val="clear"/>
            <w:vAlign w:val="center"/>
          </w:tcPr>
          <w:p>
            <w:pPr>
              <w:pStyle w:val="TableContents"/>
              <w:spacing w:before="0" w:after="283"/>
              <w:ind w:left="0" w:right="0" w:hanging="0"/>
              <w:jc w:val="left"/>
              <w:rPr/>
            </w:pPr>
            <w:r>
              <w:rPr/>
              <w:t>%</w:t>
            </w:r>
          </w:p>
        </w:tc>
      </w:tr>
      <w:tr>
        <w:trPr/>
        <w:tc>
          <w:tcPr>
            <w:tcW w:w="2326" w:type="dxa"/>
            <w:tcBorders/>
            <w:shd w:fill="CCEEFF" w:val="clear"/>
            <w:vAlign w:val="center"/>
          </w:tcPr>
          <w:p>
            <w:pPr>
              <w:pStyle w:val="TableContents"/>
              <w:spacing w:before="0" w:after="283"/>
              <w:jc w:val="left"/>
              <w:rPr/>
            </w:pPr>
            <w:r>
              <w:rPr/>
              <w:t>Customer F</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445" w:type="dxa"/>
            <w:tcBorders/>
            <w:shd w:fill="CCEEFF" w:val="clear"/>
            <w:vAlign w:val="center"/>
          </w:tcPr>
          <w:p>
            <w:pPr>
              <w:pStyle w:val="TableContents"/>
              <w:spacing w:before="0" w:after="0"/>
              <w:jc w:val="right"/>
              <w:rPr/>
            </w:pPr>
            <w:r>
              <w:rPr/>
              <w:t>                      </w:t>
            </w:r>
            <w:r>
              <w:rPr>
                <w:rFonts w:ascii="Times New Roman;Times;Serif" w:hAnsi="Times New Roman;Times;Serif"/>
                <w:b/>
                <w:sz w:val="20"/>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2150" w:type="dxa"/>
            <w:tcBorders/>
            <w:shd w:fill="CCEEFF" w:val="clear"/>
            <w:vAlign w:val="center"/>
          </w:tcPr>
          <w:p>
            <w:pPr>
              <w:pStyle w:val="TableContents"/>
              <w:spacing w:before="0" w:after="0"/>
              <w:jc w:val="right"/>
              <w:rPr/>
            </w:pPr>
            <w:r>
              <w:rPr/>
              <w:t>           </w:t>
            </w:r>
            <w:r>
              <w:rPr>
                <w:rFonts w:ascii="Times New Roman;Times;Serif" w:hAnsi="Times New Roman;Times;Serif"/>
                <w:b/>
                <w:sz w:val="20"/>
              </w:rPr>
              <w:t xml:space="preserve">*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w:t>
            </w:r>
          </w:p>
        </w:tc>
        <w:tc>
          <w:tcPr>
            <w:tcW w:w="688" w:type="dxa"/>
            <w:tcBorders/>
            <w:shd w:fill="CCEEFF" w:val="clear"/>
            <w:vAlign w:val="center"/>
          </w:tcPr>
          <w:p>
            <w:pPr>
              <w:pStyle w:val="TableContents"/>
              <w:spacing w:before="0" w:after="283"/>
              <w:jc w:val="right"/>
              <w:rPr/>
            </w:pPr>
            <w:r>
              <w:rPr/>
              <w:t>400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5" w:type="dxa"/>
            <w:tcBorders/>
            <w:shd w:fill="CCEEFF" w:val="clear"/>
            <w:vAlign w:val="center"/>
          </w:tcPr>
          <w:p>
            <w:pPr>
              <w:pStyle w:val="TableContents"/>
              <w:spacing w:before="0" w:after="283"/>
              <w:jc w:val="left"/>
              <w:rPr/>
            </w:pPr>
            <w:r>
              <w:rPr/>
              <w:t> </w:t>
            </w:r>
          </w:p>
        </w:tc>
        <w:tc>
          <w:tcPr>
            <w:tcW w:w="2038" w:type="dxa"/>
            <w:tcBorders/>
            <w:shd w:fill="CCEEFF" w:val="clear"/>
            <w:vAlign w:val="center"/>
          </w:tcPr>
          <w:p>
            <w:pPr>
              <w:pStyle w:val="TableContents"/>
              <w:spacing w:before="0" w:after="283"/>
              <w:jc w:val="right"/>
              <w:rPr/>
            </w:pPr>
            <w:r>
              <w:rPr/>
              <w:t>10</w:t>
            </w:r>
          </w:p>
        </w:tc>
        <w:tc>
          <w:tcPr>
            <w:tcW w:w="233" w:type="dxa"/>
            <w:tcBorders/>
            <w:shd w:fill="CCEE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tbl>
      <w:tblPr>
        <w:tblW w:w="9085" w:type="dxa"/>
        <w:jc w:val="left"/>
        <w:tblInd w:w="0" w:type="dxa"/>
        <w:tblCellMar>
          <w:top w:w="0" w:type="dxa"/>
          <w:left w:w="0" w:type="dxa"/>
          <w:bottom w:w="0" w:type="dxa"/>
          <w:right w:w="0" w:type="dxa"/>
        </w:tblCellMar>
      </w:tblPr>
      <w:tblGrid>
        <w:gridCol w:w="125"/>
        <w:gridCol w:w="8960"/>
      </w:tblGrid>
      <w:tr>
        <w:trPr/>
        <w:tc>
          <w:tcPr>
            <w:tcW w:w="1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Customer accounts receivable balance, as a percentage of total accounts receivable balance, was less than 10%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all of its inventories, which consist primarily of raw material hardware components, at the lower of cost or net realizable value with cost principally determined by the weighted average cost method on a first in first out basis. Write-offs of potentially slow moving or damaged inventory are recorded through specific identification of obsolete or damaged material. Physical inventories are taken at least once annually for all inventory locations.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expenses are recognized using the straight-line method over the estimated useful life of each asset, as follows:</w:t>
      </w:r>
    </w:p>
    <w:p>
      <w:pPr>
        <w:pStyle w:val="TextBody"/>
        <w:spacing w:before="0" w:after="0"/>
        <w:ind w:left="0" w:right="0" w:hanging="0"/>
        <w:rPr>
          <w:caps w:val="false"/>
          <w:smallCaps w:val="false"/>
        </w:rPr>
      </w:pPr>
      <w:r>
        <w:rPr>
          <w:caps w:val="false"/>
          <w:smallCaps w:val="false"/>
        </w:rPr>
        <w:t> </w:t>
      </w:r>
    </w:p>
    <w:tbl>
      <w:tblPr>
        <w:tblW w:w="7750" w:type="dxa"/>
        <w:jc w:val="left"/>
        <w:tblInd w:w="0" w:type="dxa"/>
        <w:tblCellMar>
          <w:top w:w="0" w:type="dxa"/>
          <w:left w:w="0" w:type="dxa"/>
          <w:bottom w:w="0" w:type="dxa"/>
          <w:right w:w="0" w:type="dxa"/>
        </w:tblCellMar>
      </w:tblPr>
      <w:tblGrid>
        <w:gridCol w:w="4655"/>
        <w:gridCol w:w="60"/>
        <w:gridCol w:w="3035"/>
      </w:tblGrid>
      <w:tr>
        <w:trPr/>
        <w:tc>
          <w:tcPr>
            <w:tcW w:w="4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35" w:type="dxa"/>
            <w:tcBorders>
              <w:bottom w:val="single" w:sz="12" w:space="0" w:color="000000"/>
            </w:tcBorders>
            <w:shd w:fill="auto" w:val="clear"/>
            <w:tcMar>
              <w:bottom w:w="28" w:type="dxa"/>
            </w:tcMar>
            <w:vAlign w:val="center"/>
          </w:tcPr>
          <w:p>
            <w:pPr>
              <w:pStyle w:val="TableContents"/>
              <w:spacing w:before="0" w:after="283"/>
              <w:ind w:left="0" w:right="0" w:hanging="0"/>
              <w:jc w:val="center"/>
              <w:rPr>
                <w:b/>
              </w:rPr>
            </w:pPr>
            <w:r>
              <w:rPr>
                <w:b/>
              </w:rPr>
              <w:t>Estimated Useful Life (Years)</w:t>
            </w:r>
          </w:p>
        </w:tc>
      </w:tr>
      <w:tr>
        <w:trPr/>
        <w:tc>
          <w:tcPr>
            <w:tcW w:w="4655" w:type="dxa"/>
            <w:tcBorders/>
            <w:shd w:fill="CCEEFF" w:val="clear"/>
            <w:vAlign w:val="center"/>
          </w:tcPr>
          <w:p>
            <w:pPr>
              <w:pStyle w:val="TableContents"/>
              <w:spacing w:before="0" w:after="283"/>
              <w:jc w:val="left"/>
              <w:rPr/>
            </w:pPr>
            <w:r>
              <w:rPr/>
              <w:t>Computer and office equipment</w:t>
            </w:r>
          </w:p>
        </w:tc>
        <w:tc>
          <w:tcPr>
            <w:tcW w:w="60" w:type="dxa"/>
            <w:tcBorders/>
            <w:shd w:fill="CCEEFF" w:val="clear"/>
            <w:vAlign w:val="center"/>
          </w:tcPr>
          <w:p>
            <w:pPr>
              <w:pStyle w:val="TableContents"/>
              <w:spacing w:before="0" w:after="283"/>
              <w:ind w:left="0" w:right="0" w:hanging="0"/>
              <w:rPr/>
            </w:pPr>
            <w:r>
              <w:rPr/>
              <w:t> </w:t>
            </w:r>
          </w:p>
        </w:tc>
        <w:tc>
          <w:tcPr>
            <w:tcW w:w="3035" w:type="dxa"/>
            <w:tcBorders/>
            <w:shd w:fill="CCEEFF" w:val="clear"/>
            <w:vAlign w:val="center"/>
          </w:tcPr>
          <w:p>
            <w:pPr>
              <w:pStyle w:val="TableContents"/>
              <w:spacing w:before="0" w:after="283"/>
              <w:ind w:left="0" w:right="0" w:hanging="0"/>
              <w:jc w:val="center"/>
              <w:rPr/>
            </w:pPr>
            <w:r>
              <w:rPr/>
              <w:t>2 to 3</w:t>
            </w:r>
          </w:p>
        </w:tc>
      </w:tr>
      <w:tr>
        <w:trPr/>
        <w:tc>
          <w:tcPr>
            <w:tcW w:w="4655" w:type="dxa"/>
            <w:tcBorders/>
            <w:shd w:fill="auto" w:val="clear"/>
            <w:vAlign w:val="center"/>
          </w:tcPr>
          <w:p>
            <w:pPr>
              <w:pStyle w:val="TableContents"/>
              <w:spacing w:before="0" w:after="283"/>
              <w:jc w:val="left"/>
              <w:rPr/>
            </w:pPr>
            <w:r>
              <w:rPr/>
              <w:t>Furniture and fixtures</w:t>
            </w:r>
          </w:p>
        </w:tc>
        <w:tc>
          <w:tcPr>
            <w:tcW w:w="60" w:type="dxa"/>
            <w:tcBorders/>
            <w:shd w:fill="auto" w:val="clear"/>
            <w:vAlign w:val="center"/>
          </w:tcPr>
          <w:p>
            <w:pPr>
              <w:pStyle w:val="TableContents"/>
              <w:spacing w:before="0" w:after="283"/>
              <w:ind w:left="0" w:right="0" w:hanging="0"/>
              <w:rPr/>
            </w:pPr>
            <w:r>
              <w:rPr/>
              <w:t> </w:t>
            </w:r>
          </w:p>
        </w:tc>
        <w:tc>
          <w:tcPr>
            <w:tcW w:w="3035" w:type="dxa"/>
            <w:tcBorders/>
            <w:shd w:fill="auto" w:val="clear"/>
            <w:vAlign w:val="center"/>
          </w:tcPr>
          <w:p>
            <w:pPr>
              <w:pStyle w:val="TableContents"/>
              <w:spacing w:before="0" w:after="283"/>
              <w:ind w:left="0" w:right="0" w:hanging="0"/>
              <w:jc w:val="center"/>
              <w:rPr/>
            </w:pPr>
            <w:r>
              <w:rPr/>
              <w:t>2</w:t>
            </w:r>
          </w:p>
        </w:tc>
      </w:tr>
      <w:tr>
        <w:trPr/>
        <w:tc>
          <w:tcPr>
            <w:tcW w:w="4655" w:type="dxa"/>
            <w:tcBorders/>
            <w:shd w:fill="CCEEFF" w:val="clear"/>
            <w:vAlign w:val="center"/>
          </w:tcPr>
          <w:p>
            <w:pPr>
              <w:pStyle w:val="TableContents"/>
              <w:spacing w:before="0" w:after="283"/>
              <w:rPr/>
            </w:pPr>
            <w:r>
              <w:rPr/>
              <w:t>Software</w:t>
            </w:r>
          </w:p>
        </w:tc>
        <w:tc>
          <w:tcPr>
            <w:tcW w:w="60" w:type="dxa"/>
            <w:tcBorders/>
            <w:shd w:fill="CCEEFF" w:val="clear"/>
            <w:vAlign w:val="center"/>
          </w:tcPr>
          <w:p>
            <w:pPr>
              <w:pStyle w:val="TableContents"/>
              <w:spacing w:before="0" w:after="283"/>
              <w:ind w:left="0" w:right="0" w:hanging="0"/>
              <w:rPr/>
            </w:pPr>
            <w:r>
              <w:rPr/>
              <w:t> </w:t>
            </w:r>
          </w:p>
        </w:tc>
        <w:tc>
          <w:tcPr>
            <w:tcW w:w="3035" w:type="dxa"/>
            <w:tcBorders/>
            <w:shd w:fill="CCEEFF" w:val="clear"/>
            <w:vAlign w:val="center"/>
          </w:tcPr>
          <w:p>
            <w:pPr>
              <w:pStyle w:val="TableContents"/>
              <w:spacing w:before="0" w:after="283"/>
              <w:ind w:left="0" w:right="0" w:hanging="0"/>
              <w:jc w:val="center"/>
              <w:rPr/>
            </w:pPr>
            <w:r>
              <w:rPr/>
              <w:t>3</w:t>
            </w:r>
          </w:p>
        </w:tc>
      </w:tr>
      <w:tr>
        <w:trPr/>
        <w:tc>
          <w:tcPr>
            <w:tcW w:w="4655" w:type="dxa"/>
            <w:tcBorders/>
            <w:shd w:fill="auto" w:val="clear"/>
            <w:vAlign w:val="center"/>
          </w:tcPr>
          <w:p>
            <w:pPr>
              <w:pStyle w:val="TableContents"/>
              <w:spacing w:before="0" w:after="283"/>
              <w:rPr/>
            </w:pPr>
            <w:r>
              <w:rPr/>
              <w:t>Vehicles</w:t>
            </w:r>
          </w:p>
        </w:tc>
        <w:tc>
          <w:tcPr>
            <w:tcW w:w="60" w:type="dxa"/>
            <w:tcBorders/>
            <w:shd w:fill="auto" w:val="clear"/>
            <w:vAlign w:val="center"/>
          </w:tcPr>
          <w:p>
            <w:pPr>
              <w:pStyle w:val="TableContents"/>
              <w:spacing w:before="0" w:after="283"/>
              <w:ind w:left="0" w:right="0" w:hanging="0"/>
              <w:rPr/>
            </w:pPr>
            <w:r>
              <w:rPr/>
              <w:t> </w:t>
            </w:r>
          </w:p>
        </w:tc>
        <w:tc>
          <w:tcPr>
            <w:tcW w:w="3035" w:type="dxa"/>
            <w:tcBorders/>
            <w:shd w:fill="auto" w:val="clear"/>
            <w:vAlign w:val="center"/>
          </w:tcPr>
          <w:p>
            <w:pPr>
              <w:pStyle w:val="TableContents"/>
              <w:spacing w:before="0" w:after="283"/>
              <w:ind w:left="0" w:right="0" w:hanging="0"/>
              <w:jc w:val="center"/>
              <w:rPr/>
            </w:pPr>
            <w:r>
              <w:rPr/>
              <w:t>5</w:t>
            </w:r>
          </w:p>
        </w:tc>
      </w:tr>
      <w:tr>
        <w:trPr/>
        <w:tc>
          <w:tcPr>
            <w:tcW w:w="4655" w:type="dxa"/>
            <w:tcBorders/>
            <w:shd w:fill="CCEEFF" w:val="clear"/>
            <w:vAlign w:val="center"/>
          </w:tcPr>
          <w:p>
            <w:pPr>
              <w:pStyle w:val="TableContents"/>
              <w:spacing w:before="0" w:after="283"/>
              <w:jc w:val="left"/>
              <w:rPr/>
            </w:pPr>
            <w:r>
              <w:rPr/>
              <w:t>Research and development laboratory equipment</w:t>
            </w:r>
          </w:p>
        </w:tc>
        <w:tc>
          <w:tcPr>
            <w:tcW w:w="60" w:type="dxa"/>
            <w:tcBorders/>
            <w:shd w:fill="CCEEFF" w:val="clear"/>
            <w:vAlign w:val="center"/>
          </w:tcPr>
          <w:p>
            <w:pPr>
              <w:pStyle w:val="TableContents"/>
              <w:spacing w:before="0" w:after="283"/>
              <w:ind w:left="0" w:right="0" w:hanging="0"/>
              <w:rPr/>
            </w:pPr>
            <w:r>
              <w:rPr/>
              <w:t> </w:t>
            </w:r>
          </w:p>
        </w:tc>
        <w:tc>
          <w:tcPr>
            <w:tcW w:w="3035" w:type="dxa"/>
            <w:tcBorders/>
            <w:shd w:fill="CCEEFF" w:val="clear"/>
            <w:vAlign w:val="center"/>
          </w:tcPr>
          <w:p>
            <w:pPr>
              <w:pStyle w:val="TableContents"/>
              <w:spacing w:before="0" w:after="283"/>
              <w:ind w:left="0" w:right="0" w:hanging="0"/>
              <w:jc w:val="center"/>
              <w:rPr/>
            </w:pPr>
            <w:r>
              <w:rPr/>
              <w:t>5</w:t>
            </w:r>
          </w:p>
        </w:tc>
      </w:tr>
      <w:tr>
        <w:trPr/>
        <w:tc>
          <w:tcPr>
            <w:tcW w:w="4655" w:type="dxa"/>
            <w:tcBorders/>
            <w:shd w:fill="auto" w:val="clear"/>
            <w:vAlign w:val="center"/>
          </w:tcPr>
          <w:p>
            <w:pPr>
              <w:pStyle w:val="TableContents"/>
              <w:spacing w:before="0" w:after="283"/>
              <w:jc w:val="left"/>
              <w:rPr/>
            </w:pPr>
            <w:r>
              <w:rPr/>
              <w:t>Machinery and equipment</w:t>
            </w:r>
          </w:p>
        </w:tc>
        <w:tc>
          <w:tcPr>
            <w:tcW w:w="60" w:type="dxa"/>
            <w:tcBorders/>
            <w:shd w:fill="auto" w:val="clear"/>
            <w:vAlign w:val="center"/>
          </w:tcPr>
          <w:p>
            <w:pPr>
              <w:pStyle w:val="TableContents"/>
              <w:spacing w:before="0" w:after="283"/>
              <w:ind w:left="0" w:right="0" w:hanging="0"/>
              <w:rPr/>
            </w:pPr>
            <w:r>
              <w:rPr/>
              <w:t> </w:t>
            </w:r>
          </w:p>
        </w:tc>
        <w:tc>
          <w:tcPr>
            <w:tcW w:w="3035" w:type="dxa"/>
            <w:tcBorders/>
            <w:shd w:fill="auto" w:val="clear"/>
            <w:vAlign w:val="center"/>
          </w:tcPr>
          <w:p>
            <w:pPr>
              <w:pStyle w:val="TableContents"/>
              <w:spacing w:before="0" w:after="283"/>
              <w:ind w:left="0" w:right="0" w:hanging="0"/>
              <w:jc w:val="center"/>
              <w:rPr/>
            </w:pPr>
            <w:r>
              <w:rPr/>
              <w:t>3 to 5</w:t>
            </w:r>
          </w:p>
        </w:tc>
      </w:tr>
      <w:tr>
        <w:trPr/>
        <w:tc>
          <w:tcPr>
            <w:tcW w:w="4655" w:type="dxa"/>
            <w:tcBorders/>
            <w:shd w:fill="CCEEFF" w:val="clear"/>
            <w:vAlign w:val="center"/>
          </w:tcPr>
          <w:p>
            <w:pPr>
              <w:pStyle w:val="TableContents"/>
              <w:spacing w:before="0" w:after="283"/>
              <w:jc w:val="left"/>
              <w:rPr/>
            </w:pPr>
            <w:r>
              <w:rPr/>
              <w:t>Leased equipment at customer</w:t>
            </w:r>
          </w:p>
        </w:tc>
        <w:tc>
          <w:tcPr>
            <w:tcW w:w="60" w:type="dxa"/>
            <w:tcBorders/>
            <w:shd w:fill="CCEEFF" w:val="clear"/>
            <w:vAlign w:val="center"/>
          </w:tcPr>
          <w:p>
            <w:pPr>
              <w:pStyle w:val="TableContents"/>
              <w:spacing w:before="0" w:after="283"/>
              <w:ind w:left="0" w:right="0" w:hanging="0"/>
              <w:rPr/>
            </w:pPr>
            <w:r>
              <w:rPr/>
              <w:t> </w:t>
            </w:r>
          </w:p>
        </w:tc>
        <w:tc>
          <w:tcPr>
            <w:tcW w:w="3035" w:type="dxa"/>
            <w:tcBorders/>
            <w:shd w:fill="CCEEFF" w:val="clear"/>
            <w:vAlign w:val="center"/>
          </w:tcPr>
          <w:p>
            <w:pPr>
              <w:pStyle w:val="TableContents"/>
              <w:spacing w:before="0" w:after="283"/>
              <w:ind w:left="0" w:right="0" w:hanging="0"/>
              <w:jc w:val="center"/>
              <w:rPr/>
            </w:pPr>
            <w:r>
              <w:rPr/>
              <w:t>5 to 13</w:t>
            </w:r>
          </w:p>
        </w:tc>
      </w:tr>
      <w:tr>
        <w:trPr/>
        <w:tc>
          <w:tcPr>
            <w:tcW w:w="4655" w:type="dxa"/>
            <w:tcBorders/>
            <w:shd w:fill="auto" w:val="clear"/>
            <w:vAlign w:val="center"/>
          </w:tcPr>
          <w:p>
            <w:pPr>
              <w:pStyle w:val="TableContents"/>
              <w:spacing w:before="0" w:after="283"/>
              <w:jc w:val="left"/>
              <w:rPr/>
            </w:pPr>
            <w:r>
              <w:rPr/>
              <w:t>Trade show assets</w:t>
            </w:r>
          </w:p>
        </w:tc>
        <w:tc>
          <w:tcPr>
            <w:tcW w:w="60" w:type="dxa"/>
            <w:tcBorders/>
            <w:shd w:fill="auto" w:val="clear"/>
            <w:vAlign w:val="center"/>
          </w:tcPr>
          <w:p>
            <w:pPr>
              <w:pStyle w:val="TableContents"/>
              <w:spacing w:before="0" w:after="283"/>
              <w:ind w:left="0" w:right="0" w:hanging="0"/>
              <w:rPr/>
            </w:pPr>
            <w:r>
              <w:rPr/>
              <w:t> </w:t>
            </w:r>
          </w:p>
        </w:tc>
        <w:tc>
          <w:tcPr>
            <w:tcW w:w="3035" w:type="dxa"/>
            <w:tcBorders/>
            <w:shd w:fill="auto" w:val="clear"/>
            <w:vAlign w:val="center"/>
          </w:tcPr>
          <w:p>
            <w:pPr>
              <w:pStyle w:val="TableContents"/>
              <w:spacing w:before="0" w:after="283"/>
              <w:ind w:left="0" w:right="0" w:hanging="0"/>
              <w:jc w:val="center"/>
              <w:rPr/>
            </w:pPr>
            <w:r>
              <w:rPr/>
              <w:t>3 to 5</w:t>
            </w:r>
          </w:p>
        </w:tc>
      </w:tr>
      <w:tr>
        <w:trPr/>
        <w:tc>
          <w:tcPr>
            <w:tcW w:w="4655" w:type="dxa"/>
            <w:tcBorders/>
            <w:shd w:fill="CCEEFF" w:val="clear"/>
            <w:vAlign w:val="center"/>
          </w:tcPr>
          <w:p>
            <w:pPr>
              <w:pStyle w:val="TableContents"/>
              <w:spacing w:before="0" w:after="283"/>
              <w:jc w:val="left"/>
              <w:rPr/>
            </w:pPr>
            <w:r>
              <w:rPr/>
              <w:t>Leasehold improvements</w:t>
            </w:r>
          </w:p>
        </w:tc>
        <w:tc>
          <w:tcPr>
            <w:tcW w:w="60" w:type="dxa"/>
            <w:tcBorders/>
            <w:shd w:fill="CCEEFF" w:val="clear"/>
            <w:vAlign w:val="center"/>
          </w:tcPr>
          <w:p>
            <w:pPr>
              <w:pStyle w:val="TableContents"/>
              <w:spacing w:before="0" w:after="283"/>
              <w:ind w:left="0" w:right="0" w:hanging="0"/>
              <w:rPr/>
            </w:pPr>
            <w:r>
              <w:rPr/>
              <w:t> </w:t>
            </w:r>
          </w:p>
        </w:tc>
        <w:tc>
          <w:tcPr>
            <w:tcW w:w="3035" w:type="dxa"/>
            <w:tcBorders/>
            <w:shd w:fill="CCEEFF" w:val="clear"/>
            <w:vAlign w:val="center"/>
          </w:tcPr>
          <w:p>
            <w:pPr>
              <w:pStyle w:val="TableContents"/>
              <w:spacing w:before="0" w:after="283"/>
              <w:jc w:val="center"/>
              <w:rPr/>
            </w:pPr>
            <w:r>
              <w:rPr/>
              <w:t xml:space="preserve">Lower of estimated useful life </w:t>
              <w:br/>
              <w:t>or remaining lease term</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 There have been no impairment charges recorded for fiscal 2021 and fiscal 2020.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records intangible assets at their estimated fair values and reviews these assets periodically for impairment. Identifiable intangible assets, which consist principally of customer-related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finite-lived useful lives are as follows:</w:t>
      </w:r>
    </w:p>
    <w:p>
      <w:pPr>
        <w:pStyle w:val="TextBody"/>
        <w:spacing w:before="0" w:after="0"/>
        <w:ind w:left="0" w:right="0" w:firstLine="360"/>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2660"/>
        <w:gridCol w:w="60"/>
        <w:gridCol w:w="965"/>
      </w:tblGrid>
      <w:tr>
        <w:trPr/>
        <w:tc>
          <w:tcPr>
            <w:tcW w:w="266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Trade names</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 to 7 years</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Acquired developed technology</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 to 8 years</w:t>
            </w:r>
          </w:p>
        </w:tc>
      </w:tr>
      <w:tr>
        <w:trPr/>
        <w:tc>
          <w:tcPr>
            <w:tcW w:w="266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Non-compete agreements</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 years</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 to 8 years</w:t>
            </w:r>
          </w:p>
        </w:tc>
      </w:tr>
      <w:tr>
        <w:trPr/>
        <w:tc>
          <w:tcPr>
            <w:tcW w:w="266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Capitalized website costs</w:t>
            </w:r>
          </w:p>
        </w:tc>
        <w:tc>
          <w:tcPr>
            <w:tcW w:w="60" w:type="dxa"/>
            <w:tcBorders/>
            <w:shd w:fill="CCEEFF" w:val="clear"/>
            <w:vAlign w:val="center"/>
          </w:tcPr>
          <w:p>
            <w:pPr>
              <w:pStyle w:val="TableContents"/>
              <w:spacing w:before="0" w:after="283"/>
              <w:rPr/>
            </w:pPr>
            <w:r>
              <w:rPr/>
              <w:t> </w:t>
            </w:r>
          </w:p>
        </w:tc>
        <w:tc>
          <w:tcPr>
            <w:tcW w:w="96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 to 5 years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the review of the recoverability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originally estimated useful life. If, as a result of examining any of these factors, the Company concludes that the carrying value of intangible asset exceeds its estimated fair value, an impairment charge will be recognized and reduce the carrying value of the asset to its estimated fair value.</w:t>
      </w:r>
    </w:p>
    <w:p>
      <w:pPr>
        <w:pStyle w:val="TextBody"/>
        <w:spacing w:before="0" w:after="0"/>
        <w:ind w:left="200" w:right="20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pStyle w:val="TextBody"/>
        <w:spacing w:before="0" w:after="0"/>
        <w:ind w:left="200" w:right="20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at the inception of a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includes amounts collected or billed in excess of revenue recognized. Deferred revenue is recognized as revenue as the related performance obligations are satisfied. Deferred revenue that will be recognized during the succeeding twelve-month period is recorded as a current liability and the remaining portion is recorded as a noncurrent liability on the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consolidated statements of operations and comprehensive loss in the same manner in which the award’s recipient’s payroll costs are classified.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had been a private company and lacks company-specific historical and implied volatility information. Therefore, it estimates its expected stock volatility based on the historical volatility of similar publicly 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excess of the purchase price over the estimated fair values of the assets acquired and liabilities assumed.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judgments are used in determining fair values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fair values of assets and liabilities made after the end of the measurement period are recorded within the Company's operating results.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contingent consideration arrangements, a liability is recognized at fair value as of the acquisition date with subsequent fair value adjustments recorded in operations. Additional information regarding the Company’s contingent consideration arrangements may be found in Note 5 – Fair Value Measures included elsewhere in the notes to the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the following sources: (1) equipment sales, (2) services sales and (3) construction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contracts with customers using a five-step model, which is described below:</w:t>
      </w:r>
    </w:p>
    <w:p>
      <w:pPr>
        <w:pStyle w:val="TextBody"/>
        <w:spacing w:before="0" w:after="0"/>
        <w:ind w:left="0" w:right="0" w:firstLine="360"/>
        <w:rPr>
          <w:caps w:val="false"/>
          <w:smallCaps w:val="false"/>
        </w:rPr>
      </w:pPr>
      <w:r>
        <w:rPr>
          <w:caps w:val="false"/>
          <w:smallCaps w:val="false"/>
        </w:rPr>
        <w:t> </w:t>
      </w:r>
    </w:p>
    <w:tbl>
      <w:tblPr>
        <w:tblW w:w="2733" w:type="dxa"/>
        <w:jc w:val="left"/>
        <w:tblInd w:w="0" w:type="dxa"/>
        <w:tblCellMar>
          <w:top w:w="0" w:type="dxa"/>
          <w:left w:w="0" w:type="dxa"/>
          <w:bottom w:w="0" w:type="dxa"/>
          <w:right w:w="0" w:type="dxa"/>
        </w:tblCellMar>
      </w:tblPr>
      <w:tblGrid>
        <w:gridCol w:w="38"/>
        <w:gridCol w:w="170"/>
        <w:gridCol w:w="25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identify the customer contract;</w:t>
            </w:r>
          </w:p>
        </w:tc>
      </w:tr>
    </w:tbl>
    <w:p>
      <w:pPr>
        <w:pStyle w:val="TextBody"/>
        <w:spacing w:before="0" w:after="0"/>
        <w:ind w:left="720" w:right="0" w:hanging="360"/>
        <w:rPr>
          <w:caps w:val="false"/>
          <w:smallCaps w:val="false"/>
        </w:rPr>
      </w:pPr>
      <w:r>
        <w:rPr>
          <w:caps w:val="false"/>
          <w:smallCaps w:val="false"/>
        </w:rPr>
        <w:t> </w:t>
      </w:r>
    </w:p>
    <w:tbl>
      <w:tblPr>
        <w:tblW w:w="4278" w:type="dxa"/>
        <w:jc w:val="left"/>
        <w:tblInd w:w="0" w:type="dxa"/>
        <w:tblCellMar>
          <w:top w:w="0" w:type="dxa"/>
          <w:left w:w="0" w:type="dxa"/>
          <w:bottom w:w="0" w:type="dxa"/>
          <w:right w:w="0" w:type="dxa"/>
        </w:tblCellMar>
      </w:tblPr>
      <w:tblGrid>
        <w:gridCol w:w="38"/>
        <w:gridCol w:w="170"/>
        <w:gridCol w:w="40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0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identify performance obligations that are distinct;</w:t>
            </w:r>
          </w:p>
        </w:tc>
      </w:tr>
    </w:tbl>
    <w:p>
      <w:pPr>
        <w:pStyle w:val="TextBody"/>
        <w:spacing w:before="0" w:after="0"/>
        <w:ind w:left="720" w:right="0" w:hanging="360"/>
        <w:rPr>
          <w:caps w:val="false"/>
          <w:smallCaps w:val="false"/>
        </w:rPr>
      </w:pPr>
      <w:r>
        <w:rPr>
          <w:caps w:val="false"/>
          <w:smallCaps w:val="false"/>
        </w:rPr>
        <w:t> </w:t>
      </w:r>
    </w:p>
    <w:tbl>
      <w:tblPr>
        <w:tblW w:w="2808" w:type="dxa"/>
        <w:jc w:val="left"/>
        <w:tblInd w:w="0" w:type="dxa"/>
        <w:tblCellMar>
          <w:top w:w="0" w:type="dxa"/>
          <w:left w:w="0" w:type="dxa"/>
          <w:bottom w:w="0" w:type="dxa"/>
          <w:right w:w="0" w:type="dxa"/>
        </w:tblCellMar>
      </w:tblPr>
      <w:tblGrid>
        <w:gridCol w:w="38"/>
        <w:gridCol w:w="17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6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spacing w:before="0" w:after="0"/>
        <w:ind w:left="720" w:right="0" w:hanging="360"/>
        <w:rPr>
          <w:caps w:val="false"/>
          <w:smallCaps w:val="false"/>
        </w:rPr>
      </w:pPr>
      <w:r>
        <w:rPr>
          <w:caps w:val="false"/>
          <w:smallCaps w:val="false"/>
        </w:rPr>
        <w:t> </w:t>
      </w:r>
    </w:p>
    <w:tbl>
      <w:tblPr>
        <w:tblW w:w="6183" w:type="dxa"/>
        <w:jc w:val="left"/>
        <w:tblInd w:w="0" w:type="dxa"/>
        <w:tblCellMar>
          <w:top w:w="0" w:type="dxa"/>
          <w:left w:w="0" w:type="dxa"/>
          <w:bottom w:w="0" w:type="dxa"/>
          <w:right w:w="0" w:type="dxa"/>
        </w:tblCellMar>
      </w:tblPr>
      <w:tblGrid>
        <w:gridCol w:w="38"/>
        <w:gridCol w:w="170"/>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97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allocate the transaction price to the distinct performance obligations; and</w:t>
            </w:r>
          </w:p>
        </w:tc>
      </w:tr>
    </w:tbl>
    <w:p>
      <w:pPr>
        <w:pStyle w:val="TextBody"/>
        <w:spacing w:before="0" w:after="0"/>
        <w:ind w:left="720" w:right="0" w:hanging="360"/>
        <w:rPr>
          <w:caps w:val="false"/>
          <w:smallCaps w:val="false"/>
        </w:rPr>
      </w:pPr>
      <w:r>
        <w:rPr>
          <w:caps w:val="false"/>
          <w:smallCaps w:val="false"/>
        </w:rPr>
        <w:t> </w:t>
      </w:r>
    </w:p>
    <w:tbl>
      <w:tblPr>
        <w:tblW w:w="5313" w:type="dxa"/>
        <w:jc w:val="left"/>
        <w:tblInd w:w="0" w:type="dxa"/>
        <w:tblCellMar>
          <w:top w:w="0" w:type="dxa"/>
          <w:left w:w="0" w:type="dxa"/>
          <w:bottom w:w="0" w:type="dxa"/>
          <w:right w:w="0" w:type="dxa"/>
        </w:tblCellMar>
      </w:tblPr>
      <w:tblGrid>
        <w:gridCol w:w="38"/>
        <w:gridCol w:w="170"/>
        <w:gridCol w:w="51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10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recognize revenue as the performance obligations are satisfied.</w:t>
            </w:r>
          </w:p>
        </w:tc>
      </w:tr>
    </w:tbl>
    <w:p>
      <w:pPr>
        <w:pStyle w:val="TextBody"/>
        <w:spacing w:before="0" w:after="0"/>
        <w:ind w:left="720" w:right="0" w:hanging="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Identify the customer contract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Identify performance obligations that are distinct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Determine the transaction price</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the Company expects to be entitled in exchange for transferring goods or services to a customer, excluding sales taxes that are collected on behalf of government agencies.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Allocate the transaction price to distinct performance obligations</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Recognize revenue as the performance obligations are satisfied</w:t>
      </w:r>
      <w:r>
        <w:rPr>
          <w:rFonts w:ascii="Times New Roman;Times;Serif" w:hAnsi="Times New Roman;Times;Serif"/>
          <w:b w:val="false"/>
          <w:i w:val="false"/>
          <w:caps w:val="false"/>
          <w:smallCaps w:val="false"/>
          <w:sz w:val="20"/>
          <w:u w:val="singl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by transferring control of a promised product or service to a customer.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Significant Judgments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into enters contracts that can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to determine the SSP for each distinct performance obligation. The Company determines SSP based on the price at which the performance obligation is sold separately and the methods of estimating SSP under the guidance of Accounting Standards Codification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cost-plus margin method to determine the SSP for equipment and buildout services. It is based on the cost of the services from third parties, plus a reasonable markup that the Company believes is reflective of a market-based reseller margin.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SSP for services in time and materials contracts is determined by observable prices in standalone services arrangements.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contracts have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 upon interest rate and will present the financing components separately as financial income. For the years ended December 31, 2021 and 2020, the Company did not have any such financial income.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r>
        <w:rPr>
          <w:rFonts w:ascii="Times New Roman;Times;Serif" w:hAnsi="Times New Roman;Times;Serif"/>
          <w:b w:val="false"/>
          <w:i w:val="false"/>
          <w:caps w:val="false"/>
          <w:smallCaps w:val="false"/>
          <w:sz w:val="20"/>
        </w:rPr>
        <w:t>Payment terms with customers typically require payment 30 days from invoice date. The Company’s agreements with its customers do not provide for any refunds for services or products and therefore no specific reserve for such is maintained. In the infrequent instances where customers raise a concern over delivered products or services, the Company has endeavored to remedy the concern and all costs related to such matters have been insignificant in all periods presented.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and Development Costs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Shipping and Handling Charges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Method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affiliates which are 50% or less owned by the Company for which the Company exercises significant influence but does not have control are accounted for on the equity method. The Company has investments in equity investments without readily determinable fair values, which represents investments in entities where the Company does not have the ability to significantly influence the operations of the entities.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assessment of whether or not the Company (as a holder of 50% of TPI) has the power to direct activities that most significantly impact TPI’s economic performance and to identify the party that obtains the majority of the benefits of the investment was performed as of December 31, 2021 and December 31, 2020,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are solely directed by TPI. Based on our consideration of these assessments, the Company concluded that the Company’s investment in TPI should be accounted for under the equity method.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Company’s investment in TPI was $0 as of December 31, 2021 and December 31, 2020. The Company did not recognize revenue from TPI for the years ended December 31, 2021 and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Income Taxes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2021, tax years 2016 through 2021 remain open for IRS audit. The Company has received no notice of audit from the IRS for any of the open tax years.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 2021, the Company recorded a deferred tax liability of approximately $25 thousand, comprised of its change in deferred tax liability during the year related to its indefinite lived intangible asset balance. The indefinite lived intangibles are not all available as a source of income and thus are not fully available to offset the Company's deferred tax assets. As of December 31, 2021, the Company has federal and state net operating loss (NOL) carryforwards of approximately $52.2 million and $28.9 million, respectively. The Company has not yet filed its 2018, 2019, 2020 and 2021 federal and state tax returns.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federal income tax expense for the years ended December 31, 2021 and 2020 due to the Company’s net losses. The Company has not yet filed its 2018, 2019, 2020 and 2021 federal and state tax returns.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common stockholders is presented in conformity with the two-class method required for participating securities. Basic loss per share is computed by dividing net loss available to common stockholders by the weighted 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calculations for all periods have been adjusted to reflect the reverse stock split effected on January 12, 2021. Net loss per share was calculated based on the weighted average number of common stock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Pending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(the “FASB”) issued Accounting Standards Update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if this guidance will have a material effect to its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No. 2020-06, Debt - Debt with Conversion and Other Options (Subtopic 470-20) and Derivatives and Hedging - Contracts in Entity’s Own Equity (Subtopic 815-40): Accounting for Convertible Instruments and Contracts in an Entity’s Own Equity. The amendments in ASU No. 2020-06 simplify the complexity associated with applying U.S.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Early adoption is permitted, but no earlier than fiscal years beginning after December 15, 2020, including interim periods within those fiscal years. The Company is currently evaluating the impact of the new standard on its consolidated financial statements and related disclosures.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evaluating the potential impact of this adoption on its consolidated financial statements and related disclosures.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Accounting Standards Updates issued but not yet effective are not expected to have a material effect on the Company’s future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Revenue and Deferred 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2021 and 2020, the Company generated revenue from the following sources: (1) equipment sales, (2) services sales and (3) construction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time-and-materials contracts under which the Company is paid for labor and equipment at negotiated hourly billing rates and other expenses, including materials, as incurred at rates agreed to in the contract. The Company uses two main sub-contractors to execute the construction contracts.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Disaggregation of Revenue —</w:t>
      </w:r>
      <w:r>
        <w:rPr>
          <w:rFonts w:ascii="Times New Roman;Times;Serif" w:hAnsi="Times New Roman;Times;Serif"/>
          <w:b w:val="false"/>
          <w:i w:val="false"/>
          <w:caps w:val="false"/>
          <w:smallCaps w:val="false"/>
          <w:sz w:val="20"/>
        </w:rPr>
        <w:t xml:space="preserve"> The following table provides revenue disaggregated by timing of revenue recognition:</w:t>
      </w:r>
    </w:p>
    <w:p>
      <w:pPr>
        <w:pStyle w:val="TextBody"/>
        <w:spacing w:before="0" w:after="0"/>
        <w:ind w:left="0" w:right="0" w:firstLine="360"/>
        <w:rPr>
          <w:caps w:val="false"/>
          <w:smallCaps w:val="false"/>
        </w:rPr>
      </w:pPr>
      <w:r>
        <w:rPr>
          <w:caps w:val="false"/>
          <w:smallCaps w:val="false"/>
        </w:rPr>
        <w:t> </w:t>
      </w:r>
    </w:p>
    <w:tbl>
      <w:tblPr>
        <w:tblW w:w="5155" w:type="dxa"/>
        <w:jc w:val="left"/>
        <w:tblInd w:w="0" w:type="dxa"/>
        <w:tblCellMar>
          <w:top w:w="0" w:type="dxa"/>
          <w:left w:w="0" w:type="dxa"/>
          <w:bottom w:w="0" w:type="dxa"/>
          <w:right w:w="0" w:type="dxa"/>
        </w:tblCellMar>
      </w:tblPr>
      <w:tblGrid>
        <w:gridCol w:w="3260"/>
        <w:gridCol w:w="60"/>
        <w:gridCol w:w="140"/>
        <w:gridCol w:w="680"/>
        <w:gridCol w:w="60"/>
        <w:gridCol w:w="60"/>
        <w:gridCol w:w="140"/>
        <w:gridCol w:w="680"/>
        <w:gridCol w:w="75"/>
      </w:tblGrid>
      <w:tr>
        <w:trPr/>
        <w:tc>
          <w:tcPr>
            <w:tcW w:w="3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75" w:type="dxa"/>
            <w:tcBorders/>
            <w:shd w:fill="auto" w:val="clear"/>
            <w:vAlign w:val="center"/>
          </w:tcPr>
          <w:p>
            <w:pPr>
              <w:pStyle w:val="TableContents"/>
              <w:spacing w:before="0" w:after="283"/>
              <w:rPr/>
            </w:pPr>
            <w:r>
              <w:rPr/>
              <w:t> </w:t>
            </w:r>
          </w:p>
        </w:tc>
      </w:tr>
      <w:tr>
        <w:trPr/>
        <w:tc>
          <w:tcPr>
            <w:tcW w:w="3260"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ind w:left="0" w:right="0" w:hanging="200"/>
              <w:rPr/>
            </w:pPr>
            <w:r>
              <w:rPr/>
              <w:t> </w:t>
            </w:r>
          </w:p>
        </w:tc>
      </w:tr>
      <w:tr>
        <w:trPr/>
        <w:tc>
          <w:tcPr>
            <w:tcW w:w="3260" w:type="dxa"/>
            <w:tcBorders/>
            <w:shd w:fill="CCEEFF" w:val="clear"/>
            <w:vAlign w:val="center"/>
          </w:tcPr>
          <w:p>
            <w:pPr>
              <w:pStyle w:val="TableContents"/>
              <w:spacing w:before="0" w:after="283"/>
              <w:jc w:val="left"/>
              <w:rPr/>
            </w:pPr>
            <w:r>
              <w:rPr/>
              <w:t>Transferred at a point in time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23,624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4,907</w:t>
            </w:r>
          </w:p>
        </w:tc>
        <w:tc>
          <w:tcPr>
            <w:tcW w:w="75" w:type="dxa"/>
            <w:tcBorders/>
            <w:shd w:fill="CCEEFF" w:val="clear"/>
            <w:vAlign w:val="center"/>
          </w:tcPr>
          <w:p>
            <w:pPr>
              <w:pStyle w:val="TableContents"/>
              <w:spacing w:before="0" w:after="283"/>
              <w:ind w:left="0" w:right="0" w:hanging="200"/>
              <w:jc w:val="left"/>
              <w:rPr/>
            </w:pPr>
            <w:r>
              <w:rPr/>
              <w:t> </w:t>
            </w:r>
          </w:p>
        </w:tc>
      </w:tr>
      <w:tr>
        <w:trPr/>
        <w:tc>
          <w:tcPr>
            <w:tcW w:w="3260" w:type="dxa"/>
            <w:tcBorders/>
            <w:shd w:fill="auto" w:val="clear"/>
            <w:vAlign w:val="center"/>
          </w:tcPr>
          <w:p>
            <w:pPr>
              <w:pStyle w:val="TableContents"/>
              <w:spacing w:before="0" w:after="283"/>
              <w:jc w:val="left"/>
              <w:rPr/>
            </w:pPr>
            <w:r>
              <w:rPr/>
              <w:t>Transferred over time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36,235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center"/>
          </w:tcPr>
          <w:p>
            <w:pPr>
              <w:pStyle w:val="TableContents"/>
              <w:spacing w:before="0" w:after="283"/>
              <w:jc w:val="right"/>
              <w:rPr/>
            </w:pPr>
            <w:r>
              <w:rPr/>
              <w:t>7,180</w:t>
            </w:r>
          </w:p>
        </w:tc>
        <w:tc>
          <w:tcPr>
            <w:tcW w:w="75" w:type="dxa"/>
            <w:tcBorders/>
            <w:shd w:fill="auto" w:val="clear"/>
            <w:vAlign w:val="center"/>
          </w:tcPr>
          <w:p>
            <w:pPr>
              <w:pStyle w:val="TableContents"/>
              <w:spacing w:before="0" w:after="283"/>
              <w:jc w:val="left"/>
              <w:rPr/>
            </w:pPr>
            <w:r>
              <w:rPr/>
              <w:t> </w:t>
            </w:r>
          </w:p>
        </w:tc>
      </w:tr>
      <w:tr>
        <w:trPr/>
        <w:tc>
          <w:tcPr>
            <w:tcW w:w="32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59,859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12,087</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As of December 31, 2021, the Company maintains a reserve for warranty returns of $398 thousand. No warranty reserve was recorded by the Company as of December 31, 2020. The reserve for warranty returns is included in accrued expenses and other current liabilities in the Company’s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Company’s current deferred revenue balance for the years ended December 31, 2021 and 2020:</w:t>
      </w:r>
    </w:p>
    <w:p>
      <w:pPr>
        <w:pStyle w:val="TextBody"/>
        <w:spacing w:before="0" w:after="0"/>
        <w:ind w:left="0" w:right="0" w:firstLine="360"/>
        <w:rPr>
          <w:caps w:val="false"/>
          <w:smallCaps w:val="false"/>
        </w:rPr>
      </w:pPr>
      <w:r>
        <w:rPr>
          <w:caps w:val="false"/>
          <w:smallCaps w:val="false"/>
        </w:rPr>
        <w:t> </w:t>
      </w:r>
    </w:p>
    <w:tbl>
      <w:tblPr>
        <w:tblW w:w="6428" w:type="dxa"/>
        <w:jc w:val="left"/>
        <w:tblInd w:w="0" w:type="dxa"/>
        <w:tblCellMar>
          <w:top w:w="0" w:type="dxa"/>
          <w:left w:w="0" w:type="dxa"/>
          <w:bottom w:w="0" w:type="dxa"/>
          <w:right w:w="0" w:type="dxa"/>
        </w:tblCellMar>
      </w:tblPr>
      <w:tblGrid>
        <w:gridCol w:w="4880"/>
        <w:gridCol w:w="60"/>
        <w:gridCol w:w="144"/>
        <w:gridCol w:w="576"/>
        <w:gridCol w:w="97"/>
        <w:gridCol w:w="61"/>
        <w:gridCol w:w="144"/>
        <w:gridCol w:w="391"/>
        <w:gridCol w:w="75"/>
      </w:tblGrid>
      <w:tr>
        <w:trPr/>
        <w:tc>
          <w:tcPr>
            <w:tcW w:w="48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75" w:type="dxa"/>
            <w:tcBorders/>
            <w:shd w:fill="auto" w:val="clear"/>
            <w:vAlign w:val="center"/>
          </w:tcPr>
          <w:p>
            <w:pPr>
              <w:pStyle w:val="TableContents"/>
              <w:spacing w:before="0" w:after="283"/>
              <w:rPr/>
            </w:pPr>
            <w:r>
              <w:rPr/>
              <w:t> </w:t>
            </w:r>
          </w:p>
        </w:tc>
      </w:tr>
      <w:tr>
        <w:trPr/>
        <w:tc>
          <w:tcPr>
            <w:tcW w:w="4880"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7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7"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283"/>
              <w:jc w:val="left"/>
              <w:rPr/>
            </w:pPr>
            <w:r>
              <w:rPr/>
              <w:t>Total current deferred revenue, beginning of period</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w:t>
            </w:r>
          </w:p>
        </w:tc>
        <w:tc>
          <w:tcPr>
            <w:tcW w:w="576" w:type="dxa"/>
            <w:tcBorders/>
            <w:shd w:fill="CCEEFF" w:val="clear"/>
            <w:vAlign w:val="center"/>
          </w:tcPr>
          <w:p>
            <w:pPr>
              <w:pStyle w:val="TableContents"/>
              <w:spacing w:before="0" w:after="283"/>
              <w:jc w:val="right"/>
              <w:rPr/>
            </w:pPr>
            <w:r>
              <w:rPr/>
              <w:t>152</w:t>
            </w:r>
          </w:p>
        </w:tc>
        <w:tc>
          <w:tcPr>
            <w:tcW w:w="97"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w:t>
            </w:r>
          </w:p>
        </w:tc>
        <w:tc>
          <w:tcPr>
            <w:tcW w:w="391"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880" w:type="dxa"/>
            <w:tcBorders/>
            <w:shd w:fill="auto" w:val="clear"/>
            <w:vAlign w:val="center"/>
          </w:tcPr>
          <w:p>
            <w:pPr>
              <w:pStyle w:val="TableContents"/>
              <w:spacing w:before="0" w:after="283"/>
              <w:rPr/>
            </w:pPr>
            <w:r>
              <w:rPr/>
              <w:t>Additions</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576" w:type="dxa"/>
            <w:tcBorders/>
            <w:shd w:fill="auto" w:val="clear"/>
            <w:vAlign w:val="center"/>
          </w:tcPr>
          <w:p>
            <w:pPr>
              <w:pStyle w:val="TableContents"/>
              <w:spacing w:before="0" w:after="283"/>
              <w:jc w:val="right"/>
              <w:rPr/>
            </w:pPr>
            <w:r>
              <w:rPr/>
              <w:t>3,758</w:t>
            </w:r>
          </w:p>
        </w:tc>
        <w:tc>
          <w:tcPr>
            <w:tcW w:w="97" w:type="dxa"/>
            <w:tcBorders/>
            <w:shd w:fill="auto" w:val="clear"/>
            <w:vAlign w:val="center"/>
          </w:tcPr>
          <w:p>
            <w:pPr>
              <w:pStyle w:val="TableContents"/>
              <w:spacing w:before="0" w:after="283"/>
              <w:jc w:val="left"/>
              <w:rPr/>
            </w:pPr>
            <w:r>
              <w:rPr/>
              <w:t> </w:t>
            </w:r>
          </w:p>
        </w:tc>
        <w:tc>
          <w:tcPr>
            <w:tcW w:w="61"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391" w:type="dxa"/>
            <w:tcBorders/>
            <w:shd w:fill="auto" w:val="clear"/>
            <w:vAlign w:val="center"/>
          </w:tcPr>
          <w:p>
            <w:pPr>
              <w:pStyle w:val="TableContents"/>
              <w:spacing w:before="0" w:after="283"/>
              <w:jc w:val="right"/>
              <w:rPr/>
            </w:pPr>
            <w:r>
              <w:rPr/>
              <w:t>152</w:t>
            </w:r>
          </w:p>
        </w:tc>
        <w:tc>
          <w:tcPr>
            <w:tcW w:w="75" w:type="dxa"/>
            <w:tcBorders/>
            <w:shd w:fill="auto" w:val="clear"/>
            <w:vAlign w:val="center"/>
          </w:tcPr>
          <w:p>
            <w:pPr>
              <w:pStyle w:val="TableContents"/>
              <w:spacing w:before="0" w:after="283"/>
              <w:jc w:val="left"/>
              <w:rPr/>
            </w:pPr>
            <w:r>
              <w:rPr/>
              <w:t> </w:t>
            </w:r>
          </w:p>
        </w:tc>
      </w:tr>
      <w:tr>
        <w:trPr/>
        <w:tc>
          <w:tcPr>
            <w:tcW w:w="4880" w:type="dxa"/>
            <w:tcBorders/>
            <w:shd w:fill="CCEEFF" w:val="clear"/>
            <w:vAlign w:val="center"/>
          </w:tcPr>
          <w:p>
            <w:pPr>
              <w:pStyle w:val="TableContents"/>
              <w:spacing w:before="0" w:after="283"/>
              <w:jc w:val="left"/>
              <w:rPr/>
            </w:pPr>
            <w:r>
              <w:rPr/>
              <w:t>Interest income on deferred revenue</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76" w:type="dxa"/>
            <w:tcBorders/>
            <w:shd w:fill="CCEEFF" w:val="clear"/>
            <w:vAlign w:val="center"/>
          </w:tcPr>
          <w:p>
            <w:pPr>
              <w:pStyle w:val="TableContents"/>
              <w:spacing w:before="0" w:after="283"/>
              <w:jc w:val="right"/>
              <w:rPr/>
            </w:pPr>
            <w:r>
              <w:rPr/>
              <w:t>4</w:t>
            </w:r>
          </w:p>
        </w:tc>
        <w:tc>
          <w:tcPr>
            <w:tcW w:w="97"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391"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880" w:type="dxa"/>
            <w:tcBorders/>
            <w:shd w:fill="auto" w:val="clear"/>
            <w:vAlign w:val="center"/>
          </w:tcPr>
          <w:p>
            <w:pPr>
              <w:pStyle w:val="TableContents"/>
              <w:spacing w:before="0" w:after="283"/>
              <w:rPr/>
            </w:pPr>
            <w:r>
              <w:rPr/>
              <w:t>Recognized</w:t>
            </w:r>
          </w:p>
        </w:tc>
        <w:tc>
          <w:tcPr>
            <w:tcW w:w="60" w:type="dxa"/>
            <w:tcBorders/>
            <w:shd w:fill="auto" w:val="clear"/>
            <w:vAlign w:val="center"/>
          </w:tcPr>
          <w:p>
            <w:pPr>
              <w:pStyle w:val="TableContents"/>
              <w:spacing w:before="0" w:after="283"/>
              <w:rPr/>
            </w:pPr>
            <w:r>
              <w:rPr/>
              <w:t> </w:t>
            </w:r>
          </w:p>
        </w:tc>
        <w:tc>
          <w:tcPr>
            <w:tcW w:w="14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76" w:type="dxa"/>
            <w:tcBorders>
              <w:bottom w:val="single" w:sz="12" w:space="0" w:color="000000"/>
            </w:tcBorders>
            <w:shd w:fill="auto" w:val="clear"/>
            <w:tcMar>
              <w:bottom w:w="28" w:type="dxa"/>
            </w:tcMar>
            <w:vAlign w:val="center"/>
          </w:tcPr>
          <w:p>
            <w:pPr>
              <w:pStyle w:val="TableContents"/>
              <w:spacing w:before="0" w:after="283"/>
              <w:jc w:val="right"/>
              <w:rPr/>
            </w:pPr>
            <w:r>
              <w:rPr/>
              <w:t>(142</w:t>
            </w:r>
          </w:p>
        </w:tc>
        <w:tc>
          <w:tcPr>
            <w:tcW w:w="97" w:type="dxa"/>
            <w:tcBorders/>
            <w:shd w:fill="auto" w:val="clear"/>
            <w:vAlign w:val="center"/>
          </w:tcPr>
          <w:p>
            <w:pPr>
              <w:pStyle w:val="TableContents"/>
              <w:spacing w:before="0" w:after="283"/>
              <w:jc w:val="left"/>
              <w:rPr/>
            </w:pPr>
            <w:r>
              <w:rPr/>
              <w:t>)</w:t>
            </w:r>
          </w:p>
        </w:tc>
        <w:tc>
          <w:tcPr>
            <w:tcW w:w="61" w:type="dxa"/>
            <w:tcBorders/>
            <w:shd w:fill="auto" w:val="clear"/>
            <w:vAlign w:val="center"/>
          </w:tcPr>
          <w:p>
            <w:pPr>
              <w:pStyle w:val="TableContents"/>
              <w:spacing w:before="0" w:after="283"/>
              <w:rPr/>
            </w:pPr>
            <w:r>
              <w:rPr/>
              <w:t> </w:t>
            </w:r>
          </w:p>
        </w:tc>
        <w:tc>
          <w:tcPr>
            <w:tcW w:w="14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391"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4880" w:type="dxa"/>
            <w:tcBorders/>
            <w:shd w:fill="CCEEFF" w:val="clear"/>
            <w:vAlign w:val="center"/>
          </w:tcPr>
          <w:p>
            <w:pPr>
              <w:pStyle w:val="TableContents"/>
              <w:spacing w:before="0" w:after="283"/>
              <w:jc w:val="left"/>
              <w:rPr/>
            </w:pPr>
            <w:r>
              <w:rPr/>
              <w:t>Total current deferred revenue, end of period</w:t>
            </w:r>
          </w:p>
        </w:tc>
        <w:tc>
          <w:tcPr>
            <w:tcW w:w="60" w:type="dxa"/>
            <w:tcBorders/>
            <w:shd w:fill="CCEEFF" w:val="clear"/>
            <w:vAlign w:val="center"/>
          </w:tcPr>
          <w:p>
            <w:pPr>
              <w:pStyle w:val="TableContents"/>
              <w:spacing w:before="0" w:after="283"/>
              <w:rPr/>
            </w:pPr>
            <w:r>
              <w:rPr/>
              <w:t> </w:t>
            </w:r>
          </w:p>
        </w:tc>
        <w:tc>
          <w:tcPr>
            <w:tcW w:w="14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576" w:type="dxa"/>
            <w:tcBorders>
              <w:bottom w:val="double" w:sz="10" w:space="0" w:color="000000"/>
            </w:tcBorders>
            <w:shd w:fill="CCEEFF" w:val="clear"/>
            <w:tcMar>
              <w:bottom w:w="28" w:type="dxa"/>
            </w:tcMar>
            <w:vAlign w:val="center"/>
          </w:tcPr>
          <w:p>
            <w:pPr>
              <w:pStyle w:val="TableContents"/>
              <w:spacing w:before="0" w:after="283"/>
              <w:jc w:val="right"/>
              <w:rPr/>
            </w:pPr>
            <w:r>
              <w:rPr/>
              <w:t>3,772</w:t>
            </w:r>
          </w:p>
        </w:tc>
        <w:tc>
          <w:tcPr>
            <w:tcW w:w="97"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391" w:type="dxa"/>
            <w:tcBorders>
              <w:bottom w:val="double" w:sz="10" w:space="0" w:color="000000"/>
            </w:tcBorders>
            <w:shd w:fill="CCEEFF" w:val="clear"/>
            <w:tcMar>
              <w:bottom w:w="28" w:type="dxa"/>
            </w:tcMar>
            <w:vAlign w:val="center"/>
          </w:tcPr>
          <w:p>
            <w:pPr>
              <w:pStyle w:val="TableContents"/>
              <w:spacing w:before="0" w:after="283"/>
              <w:jc w:val="right"/>
              <w:rPr/>
            </w:pPr>
            <w:r>
              <w:rPr/>
              <w:t>152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balances primarily consist of customer deposits on our cultivation and extraction solutions equipment. As of December 31, 2021 and 2020, all of our deferred revenue balances were reported as current liabilities in the accompanying consolidated balance sheets.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Fair Value Measures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Values of Assets and Liabilities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697"/>
        <w:gridCol w:w="9433"/>
      </w:tblGrid>
      <w:tr>
        <w:trPr/>
        <w:tc>
          <w:tcPr>
            <w:tcW w:w="75"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283"/>
              <w:rPr>
                <w:sz w:val="20"/>
              </w:rPr>
            </w:pPr>
            <w:r>
              <w:rPr>
                <w:sz w:val="20"/>
              </w:rPr>
              <w:t>Level 1:</w:t>
            </w:r>
          </w:p>
        </w:tc>
        <w:tc>
          <w:tcPr>
            <w:tcW w:w="9433" w:type="dxa"/>
            <w:tcBorders/>
            <w:shd w:fill="auto" w:val="clear"/>
            <w:vAlign w:val="center"/>
          </w:tcPr>
          <w:p>
            <w:pPr>
              <w:pStyle w:val="TableContents"/>
              <w:spacing w:before="0" w:after="283"/>
              <w:rPr>
                <w:sz w:val="20"/>
              </w:rPr>
            </w:pPr>
            <w:r>
              <w:rPr>
                <w:sz w:val="20"/>
              </w:rPr>
              <w:t>Observable inputs such as quoted prices for identical assets or liabilities in active markets.</w:t>
            </w:r>
          </w:p>
        </w:tc>
      </w:tr>
      <w:tr>
        <w:trPr/>
        <w:tc>
          <w:tcPr>
            <w:tcW w:w="75"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283"/>
              <w:rPr>
                <w:sz w:val="20"/>
              </w:rPr>
            </w:pPr>
            <w:r>
              <w:rPr>
                <w:sz w:val="20"/>
              </w:rPr>
              <w:t>Level 2:</w:t>
            </w:r>
          </w:p>
        </w:tc>
        <w:tc>
          <w:tcPr>
            <w:tcW w:w="9433" w:type="dxa"/>
            <w:tcBorders/>
            <w:shd w:fill="auto" w:val="clear"/>
            <w:vAlign w:val="center"/>
          </w:tcPr>
          <w:p>
            <w:pPr>
              <w:pStyle w:val="TableContents"/>
              <w:spacing w:before="0" w:after="283"/>
              <w:rPr>
                <w:sz w:val="20"/>
              </w:rPr>
            </w:pPr>
            <w:r>
              <w:rPr>
                <w:sz w:val="20"/>
              </w:rPr>
              <w:t>Other inputs that are observable directly or indirectly, such as quoted prices for similar instruments in active markets or for similar markets that are not active.</w:t>
            </w:r>
          </w:p>
        </w:tc>
      </w:tr>
      <w:tr>
        <w:trPr/>
        <w:tc>
          <w:tcPr>
            <w:tcW w:w="75"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283"/>
              <w:rPr>
                <w:sz w:val="20"/>
              </w:rPr>
            </w:pPr>
            <w:r>
              <w:rPr>
                <w:sz w:val="20"/>
              </w:rPr>
              <w:t xml:space="preserve">Level 3: </w:t>
            </w:r>
          </w:p>
        </w:tc>
        <w:tc>
          <w:tcPr>
            <w:tcW w:w="9433" w:type="dxa"/>
            <w:tcBorders/>
            <w:shd w:fill="auto" w:val="clear"/>
            <w:vAlign w:val="center"/>
          </w:tcPr>
          <w:p>
            <w:pPr>
              <w:pStyle w:val="TableContents"/>
              <w:spacing w:before="0" w:after="283"/>
              <w:rPr>
                <w:sz w:val="20"/>
              </w:rPr>
            </w:pPr>
            <w:r>
              <w:rPr>
                <w:sz w:val="20"/>
              </w:rPr>
              <w:t>Unobservable inputs for which there is little or no market data which require the Company to develop its own assumptions about how market participants would price the asset or liability.</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2021 and December 31, 2020, the Company’s assets and liabilities measured at fair value on a recurring basis were as follows:</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974"/>
        <w:gridCol w:w="60"/>
        <w:gridCol w:w="149"/>
        <w:gridCol w:w="709"/>
        <w:gridCol w:w="71"/>
        <w:gridCol w:w="71"/>
        <w:gridCol w:w="211"/>
        <w:gridCol w:w="439"/>
        <w:gridCol w:w="71"/>
        <w:gridCol w:w="71"/>
        <w:gridCol w:w="149"/>
        <w:gridCol w:w="583"/>
        <w:gridCol w:w="71"/>
        <w:gridCol w:w="71"/>
        <w:gridCol w:w="149"/>
        <w:gridCol w:w="709"/>
        <w:gridCol w:w="60"/>
        <w:gridCol w:w="60"/>
        <w:gridCol w:w="198"/>
        <w:gridCol w:w="385"/>
        <w:gridCol w:w="75"/>
        <w:gridCol w:w="75"/>
        <w:gridCol w:w="198"/>
        <w:gridCol w:w="385"/>
        <w:gridCol w:w="75"/>
        <w:gridCol w:w="75"/>
        <w:gridCol w:w="158"/>
        <w:gridCol w:w="749"/>
        <w:gridCol w:w="75"/>
        <w:gridCol w:w="75"/>
        <w:gridCol w:w="158"/>
        <w:gridCol w:w="749"/>
        <w:gridCol w:w="97"/>
      </w:tblGrid>
      <w:tr>
        <w:trPr/>
        <w:tc>
          <w:tcPr>
            <w:tcW w:w="297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3524"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30"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2020</w:t>
            </w:r>
          </w:p>
        </w:tc>
        <w:tc>
          <w:tcPr>
            <w:tcW w:w="97" w:type="dxa"/>
            <w:tcBorders/>
            <w:shd w:fill="auto" w:val="clear"/>
            <w:vAlign w:val="center"/>
          </w:tcPr>
          <w:p>
            <w:pPr>
              <w:pStyle w:val="TableContents"/>
              <w:spacing w:before="0" w:after="283"/>
              <w:rPr/>
            </w:pPr>
            <w:r>
              <w:rPr/>
              <w:t> </w:t>
            </w:r>
          </w:p>
        </w:tc>
      </w:tr>
      <w:tr>
        <w:trPr/>
        <w:tc>
          <w:tcPr>
            <w:tcW w:w="297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3524"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Fair Value Measurements Using Input Types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30"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Fair Value Measurements Using Input Types</w:t>
            </w:r>
          </w:p>
        </w:tc>
        <w:tc>
          <w:tcPr>
            <w:tcW w:w="97" w:type="dxa"/>
            <w:tcBorders/>
            <w:shd w:fill="auto" w:val="clear"/>
            <w:vAlign w:val="center"/>
          </w:tcPr>
          <w:p>
            <w:pPr>
              <w:pStyle w:val="TableContents"/>
              <w:spacing w:before="0" w:after="283"/>
              <w:rPr/>
            </w:pPr>
            <w:r>
              <w:rPr/>
              <w:t> </w:t>
            </w:r>
          </w:p>
        </w:tc>
      </w:tr>
      <w:tr>
        <w:trPr/>
        <w:tc>
          <w:tcPr>
            <w:tcW w:w="2974"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(Dollar Amounts in Thousands)</w:t>
            </w:r>
          </w:p>
        </w:tc>
        <w:tc>
          <w:tcPr>
            <w:tcW w:w="60" w:type="dxa"/>
            <w:tcBorders/>
            <w:shd w:fill="auto" w:val="clear"/>
            <w:vAlign w:val="center"/>
          </w:tcPr>
          <w:p>
            <w:pPr>
              <w:pStyle w:val="TableContents"/>
              <w:spacing w:before="0" w:after="283"/>
              <w:rPr/>
            </w:pPr>
            <w:r>
              <w:rPr/>
              <w:t> </w:t>
            </w:r>
          </w:p>
        </w:tc>
        <w:tc>
          <w:tcPr>
            <w:tcW w:w="85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3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5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8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58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7" w:type="dxa"/>
            <w:tcBorders/>
            <w:shd w:fill="auto" w:val="clear"/>
            <w:vAlign w:val="center"/>
          </w:tcPr>
          <w:p>
            <w:pPr>
              <w:pStyle w:val="TableContents"/>
              <w:spacing w:before="0" w:after="283"/>
              <w:rPr/>
            </w:pPr>
            <w:r>
              <w:rPr/>
              <w:t> </w:t>
            </w:r>
          </w:p>
        </w:tc>
      </w:tr>
      <w:tr>
        <w:trPr/>
        <w:tc>
          <w:tcPr>
            <w:tcW w:w="29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 w:type="dxa"/>
            <w:gridSpan w:val="2"/>
            <w:tcBorders/>
            <w:shd w:fill="auto" w:val="clear"/>
            <w:vAlign w:val="center"/>
          </w:tcPr>
          <w:p>
            <w:pPr>
              <w:pStyle w:val="TableContents"/>
              <w:spacing w:before="0" w:after="283"/>
              <w:jc w:val="center"/>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50" w:type="dxa"/>
            <w:gridSpan w:val="2"/>
            <w:tcBorders/>
            <w:shd w:fill="auto" w:val="clear"/>
            <w:vAlign w:val="center"/>
          </w:tcPr>
          <w:p>
            <w:pPr>
              <w:pStyle w:val="TableContents"/>
              <w:spacing w:before="0" w:after="283"/>
              <w:jc w:val="center"/>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32" w:type="dxa"/>
            <w:gridSpan w:val="2"/>
            <w:tcBorders/>
            <w:shd w:fill="auto" w:val="clear"/>
            <w:vAlign w:val="center"/>
          </w:tcPr>
          <w:p>
            <w:pPr>
              <w:pStyle w:val="TableContents"/>
              <w:spacing w:before="0" w:after="283"/>
              <w:jc w:val="center"/>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58"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83"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583"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shd w:fill="auto" w:val="clear"/>
            <w:vAlign w:val="center"/>
          </w:tcPr>
          <w:p>
            <w:pPr>
              <w:pStyle w:val="TableContents"/>
              <w:spacing w:before="0" w:after="283"/>
              <w:jc w:val="center"/>
              <w:rPr/>
            </w:pPr>
            <w:r>
              <w:rPr/>
              <w:t> </w:t>
            </w:r>
          </w:p>
        </w:tc>
        <w:tc>
          <w:tcPr>
            <w:tcW w:w="97" w:type="dxa"/>
            <w:tcBorders/>
            <w:shd w:fill="auto" w:val="clear"/>
            <w:vAlign w:val="center"/>
          </w:tcPr>
          <w:p>
            <w:pPr>
              <w:pStyle w:val="TableContents"/>
              <w:spacing w:before="0" w:after="283"/>
              <w:rPr/>
            </w:pPr>
            <w:r>
              <w:rPr/>
              <w:t> </w:t>
            </w:r>
          </w:p>
        </w:tc>
      </w:tr>
      <w:tr>
        <w:trPr/>
        <w:tc>
          <w:tcPr>
            <w:tcW w:w="29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Assets</w:t>
            </w:r>
          </w:p>
        </w:tc>
        <w:tc>
          <w:tcPr>
            <w:tcW w:w="60" w:type="dxa"/>
            <w:tcBorders/>
            <w:shd w:fill="auto" w:val="clear"/>
            <w:vAlign w:val="center"/>
          </w:tcPr>
          <w:p>
            <w:pPr>
              <w:pStyle w:val="TableContents"/>
              <w:spacing w:before="0" w:after="283"/>
              <w:rPr/>
            </w:pPr>
            <w:r>
              <w:rPr/>
              <w:t> </w:t>
            </w:r>
          </w:p>
        </w:tc>
        <w:tc>
          <w:tcPr>
            <w:tcW w:w="858" w:type="dxa"/>
            <w:gridSpan w:val="2"/>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50" w:type="dxa"/>
            <w:gridSpan w:val="2"/>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32" w:type="dxa"/>
            <w:gridSpan w:val="2"/>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58"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83"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583"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07" w:type="dxa"/>
            <w:gridSpan w:val="2"/>
            <w:tcBorders/>
            <w:shd w:fill="auto" w:val="cle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ind w:left="0" w:right="0" w:hanging="180"/>
              <w:rPr/>
            </w:pPr>
            <w:r>
              <w:rPr/>
              <w:t> </w:t>
            </w:r>
          </w:p>
        </w:tc>
      </w:tr>
      <w:tr>
        <w:trPr/>
        <w:tc>
          <w:tcPr>
            <w:tcW w:w="297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Mutual funds (included in cash and cash equivalents)</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178</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283"/>
              <w:ind w:left="0" w:right="0" w:hanging="180"/>
              <w:rPr/>
            </w:pPr>
            <w:r>
              <w:rPr/>
              <w:t> </w:t>
            </w:r>
          </w:p>
        </w:tc>
      </w:tr>
      <w:tr>
        <w:trPr/>
        <w:tc>
          <w:tcPr>
            <w:tcW w:w="2974" w:type="dxa"/>
            <w:tcBorders/>
            <w:shd w:fill="auto" w:val="clear"/>
            <w:vAlign w:val="center"/>
          </w:tcPr>
          <w:p>
            <w:pPr>
              <w:pStyle w:val="TableContents"/>
              <w:spacing w:before="0" w:after="283"/>
              <w:rPr>
                <w:sz w:val="20"/>
              </w:rPr>
            </w:pPr>
            <w:r>
              <w:rPr>
                <w:sz w:val="20"/>
              </w:rPr>
              <w:t xml:space="preserve">Held to maturity </w:t>
            </w:r>
            <w:r>
              <w:rPr>
                <w:rFonts w:ascii="Times New Roman;Times;Serif" w:hAnsi="Times New Roman;Times;Serif"/>
                <w:sz w:val="20"/>
              </w:rPr>
              <w:t>securities</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ind w:left="0" w:right="0" w:hanging="180"/>
              <w:rPr/>
            </w:pPr>
            <w:r>
              <w:rPr/>
              <w:t> </w:t>
            </w:r>
          </w:p>
        </w:tc>
      </w:tr>
      <w:tr>
        <w:trPr/>
        <w:tc>
          <w:tcPr>
            <w:tcW w:w="297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Municipal bonds</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9,961</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439"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583"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9,961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283"/>
              <w:ind w:left="0" w:right="0" w:hanging="180"/>
              <w:rPr/>
            </w:pPr>
            <w:r>
              <w:rPr/>
              <w:t> </w:t>
            </w:r>
          </w:p>
        </w:tc>
      </w:tr>
      <w:tr>
        <w:trPr/>
        <w:tc>
          <w:tcPr>
            <w:tcW w:w="29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Corporate bonds</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rPr/>
            </w:pPr>
            <w:r>
              <w:rPr/>
              <w:t> </w:t>
            </w:r>
          </w:p>
        </w:tc>
        <w:tc>
          <w:tcPr>
            <w:tcW w:w="709"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34,589</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211" w:type="dxa"/>
            <w:tcBorders>
              <w:bottom w:val="single" w:sz="12" w:space="0" w:color="000000"/>
            </w:tcBorders>
            <w:shd w:fill="auto" w:val="clear"/>
            <w:tcMar>
              <w:bottom w:w="28" w:type="dxa"/>
            </w:tcMar>
            <w:vAlign w:val="center"/>
          </w:tcPr>
          <w:p>
            <w:pPr>
              <w:pStyle w:val="TableContents"/>
              <w:spacing w:before="0" w:after="283"/>
              <w:rPr/>
            </w:pPr>
            <w:r>
              <w:rPr/>
              <w:t> </w:t>
            </w:r>
          </w:p>
        </w:tc>
        <w:tc>
          <w:tcPr>
            <w:tcW w:w="439"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rPr/>
            </w:pPr>
            <w:r>
              <w:rPr/>
              <w:t> </w:t>
            </w:r>
          </w:p>
        </w:tc>
        <w:tc>
          <w:tcPr>
            <w:tcW w:w="58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rPr/>
            </w:pPr>
            <w:r>
              <w:rPr/>
              <w:t> </w:t>
            </w:r>
          </w:p>
        </w:tc>
        <w:tc>
          <w:tcPr>
            <w:tcW w:w="709"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34,589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 w:type="dxa"/>
            <w:tcBorders>
              <w:bottom w:val="single" w:sz="12" w:space="0" w:color="000000"/>
            </w:tcBorders>
            <w:shd w:fill="auto" w:val="clear"/>
            <w:tcMar>
              <w:bottom w:w="28" w:type="dxa"/>
            </w:tcMar>
            <w:vAlign w:val="center"/>
          </w:tcPr>
          <w:p>
            <w:pPr>
              <w:pStyle w:val="TableContents"/>
              <w:spacing w:before="0" w:after="283"/>
              <w:rPr/>
            </w:pPr>
            <w:r>
              <w:rPr/>
              <w:t> </w:t>
            </w:r>
          </w:p>
        </w:tc>
        <w:tc>
          <w:tcPr>
            <w:tcW w:w="38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98" w:type="dxa"/>
            <w:tcBorders>
              <w:bottom w:val="single" w:sz="12" w:space="0" w:color="000000"/>
            </w:tcBorders>
            <w:shd w:fill="auto" w:val="clear"/>
            <w:tcMar>
              <w:bottom w:w="28" w:type="dxa"/>
            </w:tcMar>
            <w:vAlign w:val="center"/>
          </w:tcPr>
          <w:p>
            <w:pPr>
              <w:pStyle w:val="TableContents"/>
              <w:spacing w:before="0" w:after="283"/>
              <w:rPr/>
            </w:pPr>
            <w:r>
              <w:rPr/>
              <w:t> </w:t>
            </w:r>
          </w:p>
        </w:tc>
        <w:tc>
          <w:tcPr>
            <w:tcW w:w="38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bottom w:val="single" w:sz="12" w:space="0" w:color="000000"/>
            </w:tcBorders>
            <w:shd w:fill="auto" w:val="clear"/>
            <w:tcMar>
              <w:bottom w:w="28" w:type="dxa"/>
            </w:tcMar>
            <w:vAlign w:val="center"/>
          </w:tcPr>
          <w:p>
            <w:pPr>
              <w:pStyle w:val="TableContents"/>
              <w:spacing w:before="0" w:after="283"/>
              <w:rPr/>
            </w:pPr>
            <w:r>
              <w:rPr/>
              <w:t> </w:t>
            </w:r>
          </w:p>
        </w:tc>
        <w:tc>
          <w:tcPr>
            <w:tcW w:w="749"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bottom w:val="single" w:sz="12" w:space="0" w:color="000000"/>
            </w:tcBorders>
            <w:shd w:fill="auto" w:val="clear"/>
            <w:tcMar>
              <w:bottom w:w="28" w:type="dxa"/>
            </w:tcMar>
            <w:vAlign w:val="center"/>
          </w:tcPr>
          <w:p>
            <w:pPr>
              <w:pStyle w:val="TableContents"/>
              <w:spacing w:before="0" w:after="283"/>
              <w:rPr/>
            </w:pPr>
            <w:r>
              <w:rPr/>
              <w:t> </w:t>
            </w:r>
          </w:p>
        </w:tc>
        <w:tc>
          <w:tcPr>
            <w:tcW w:w="749"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283"/>
              <w:ind w:left="0" w:right="0" w:hanging="180"/>
              <w:rPr/>
            </w:pPr>
            <w:r>
              <w:rPr/>
              <w:t> </w:t>
            </w:r>
          </w:p>
        </w:tc>
      </w:tr>
      <w:tr>
        <w:trPr/>
        <w:tc>
          <w:tcPr>
            <w:tcW w:w="2974" w:type="dxa"/>
            <w:tcBorders/>
            <w:shd w:fill="CCEEFF" w:val="clear"/>
            <w:vAlign w:val="center"/>
          </w:tcPr>
          <w:p>
            <w:pPr>
              <w:pStyle w:val="TableContents"/>
              <w:spacing w:before="0" w:after="283"/>
              <w:rPr/>
            </w:pPr>
            <w:r>
              <w:rPr>
                <w:rFonts w:ascii="Times New Roman;Times;Serif" w:hAnsi="Times New Roman;Times;Serif"/>
                <w:sz w:val="20"/>
              </w:rPr>
              <w:t xml:space="preserve">Total </w:t>
            </w:r>
            <w:r>
              <w:rPr>
                <w:sz w:val="20"/>
              </w:rPr>
              <w:t xml:space="preserve">held to maturity </w:t>
            </w:r>
            <w:r>
              <w:rPr>
                <w:rFonts w:ascii="Times New Roman;Times;Serif" w:hAnsi="Times New Roman;Times;Serif"/>
                <w:sz w:val="20"/>
              </w:rPr>
              <w:t>securities</w:t>
            </w:r>
          </w:p>
        </w:tc>
        <w:tc>
          <w:tcPr>
            <w:tcW w:w="60" w:type="dxa"/>
            <w:tcBorders/>
            <w:shd w:fill="CCEEFF" w:val="clear"/>
            <w:vAlign w:val="center"/>
          </w:tcPr>
          <w:p>
            <w:pPr>
              <w:pStyle w:val="TableContents"/>
              <w:spacing w:before="0" w:after="283"/>
              <w:rPr/>
            </w:pPr>
            <w:r>
              <w:rPr/>
              <w:t> </w:t>
            </w:r>
          </w:p>
        </w:tc>
        <w:tc>
          <w:tcPr>
            <w:tcW w:w="149"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44,728</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211"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83"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44,728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98"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bottom w:val="double" w:sz="10"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283"/>
              <w:ind w:left="0" w:right="0" w:hanging="180"/>
              <w:rPr/>
            </w:pPr>
            <w:r>
              <w:rPr/>
              <w:t> </w:t>
            </w:r>
          </w:p>
        </w:tc>
      </w:tr>
      <w:tr>
        <w:trPr/>
        <w:tc>
          <w:tcPr>
            <w:tcW w:w="29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Liabilities</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ind w:left="0" w:right="0" w:hanging="180"/>
              <w:rPr/>
            </w:pPr>
            <w:r>
              <w:rPr/>
              <w:t> </w:t>
            </w:r>
          </w:p>
        </w:tc>
      </w:tr>
      <w:tr>
        <w:trPr/>
        <w:tc>
          <w:tcPr>
            <w:tcW w:w="297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Notes payables, net of discount</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sz w:val="20"/>
              </w:rPr>
            </w:pPr>
            <w:r>
              <w:rPr>
                <w:sz w:val="20"/>
              </w:rPr>
              <w:t>$</w:t>
            </w:r>
          </w:p>
        </w:tc>
        <w:tc>
          <w:tcPr>
            <w:tcW w:w="709"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sz w:val="20"/>
              </w:rPr>
            </w:pPr>
            <w:r>
              <w:rPr>
                <w:sz w:val="20"/>
              </w:rPr>
              <w:t>$</w:t>
            </w:r>
          </w:p>
        </w:tc>
        <w:tc>
          <w:tcPr>
            <w:tcW w:w="439"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sz w:val="20"/>
              </w:rPr>
            </w:pPr>
            <w:r>
              <w:rPr>
                <w:sz w:val="20"/>
              </w:rPr>
              <w:t>$</w:t>
            </w:r>
          </w:p>
        </w:tc>
        <w:tc>
          <w:tcPr>
            <w:tcW w:w="583"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sz w:val="20"/>
              </w:rPr>
            </w:pPr>
            <w:r>
              <w:rPr>
                <w:sz w:val="20"/>
              </w:rPr>
              <w:t>$</w:t>
            </w:r>
          </w:p>
        </w:tc>
        <w:tc>
          <w:tcPr>
            <w:tcW w:w="70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sz w:val="20"/>
              </w:rPr>
            </w:pPr>
            <w:r>
              <w:rPr>
                <w:sz w:val="20"/>
              </w:rPr>
              <w:t>$</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sz w:val="20"/>
              </w:rPr>
            </w:pPr>
            <w:r>
              <w:rPr>
                <w:sz w:val="20"/>
              </w:rPr>
              <w:t>$</w:t>
            </w:r>
          </w:p>
        </w:tc>
        <w:tc>
          <w:tcPr>
            <w:tcW w:w="38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sz w:val="20"/>
              </w:rPr>
            </w:pPr>
            <w:r>
              <w:rPr>
                <w:sz w:val="20"/>
              </w:rPr>
              <w:t>$</w:t>
            </w:r>
          </w:p>
        </w:tc>
        <w:tc>
          <w:tcPr>
            <w:tcW w:w="74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12,493</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sz w:val="20"/>
              </w:rPr>
            </w:pPr>
            <w:r>
              <w:rPr>
                <w:sz w:val="20"/>
              </w:rPr>
              <w:t>$</w:t>
            </w:r>
          </w:p>
        </w:tc>
        <w:tc>
          <w:tcPr>
            <w:tcW w:w="74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12,493</w:t>
            </w:r>
          </w:p>
        </w:tc>
        <w:tc>
          <w:tcPr>
            <w:tcW w:w="97" w:type="dxa"/>
            <w:tcBorders/>
            <w:shd w:fill="CCEEFF" w:val="clear"/>
            <w:vAlign w:val="center"/>
          </w:tcPr>
          <w:p>
            <w:pPr>
              <w:pStyle w:val="TableContents"/>
              <w:spacing w:before="0" w:after="283"/>
              <w:ind w:left="0" w:right="0" w:hanging="180"/>
              <w:rPr/>
            </w:pPr>
            <w:r>
              <w:rPr/>
              <w:t> </w:t>
            </w:r>
          </w:p>
        </w:tc>
      </w:tr>
      <w:tr>
        <w:trPr/>
        <w:tc>
          <w:tcPr>
            <w:tcW w:w="29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7,141</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7,141</w:t>
            </w:r>
          </w:p>
        </w:tc>
        <w:tc>
          <w:tcPr>
            <w:tcW w:w="97" w:type="dxa"/>
            <w:tcBorders/>
            <w:shd w:fill="auto" w:val="clear"/>
            <w:vAlign w:val="center"/>
          </w:tcPr>
          <w:p>
            <w:pPr>
              <w:pStyle w:val="TableContents"/>
              <w:spacing w:before="0" w:after="283"/>
              <w:ind w:left="0" w:right="0" w:hanging="180"/>
              <w:rPr/>
            </w:pPr>
            <w:r>
              <w:rPr/>
              <w:t> </w:t>
            </w:r>
          </w:p>
        </w:tc>
      </w:tr>
      <w:tr>
        <w:trPr/>
        <w:tc>
          <w:tcPr>
            <w:tcW w:w="297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spacing w:before="0" w:after="283"/>
              <w:rPr/>
            </w:pPr>
            <w:r>
              <w:rPr/>
              <w:t> </w:t>
            </w:r>
          </w:p>
        </w:tc>
        <w:tc>
          <w:tcPr>
            <w:tcW w:w="14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0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211" w:type="dxa"/>
            <w:tcBorders>
              <w:bottom w:val="single" w:sz="12" w:space="0" w:color="000000"/>
            </w:tcBorders>
            <w:shd w:fill="CCEEFF" w:val="clear"/>
            <w:tcMar>
              <w:bottom w:w="28" w:type="dxa"/>
            </w:tcMar>
            <w:vAlign w:val="center"/>
          </w:tcPr>
          <w:p>
            <w:pPr>
              <w:pStyle w:val="TableContents"/>
              <w:spacing w:before="0" w:after="283"/>
              <w:rPr/>
            </w:pPr>
            <w:r>
              <w:rPr/>
              <w:t> </w:t>
            </w:r>
          </w:p>
        </w:tc>
        <w:tc>
          <w:tcPr>
            <w:tcW w:w="43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58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6,137</w:t>
            </w:r>
          </w:p>
        </w:tc>
        <w:tc>
          <w:tcPr>
            <w:tcW w:w="71"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49"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0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38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38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4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8"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4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7" w:type="dxa"/>
            <w:tcBorders/>
            <w:shd w:fill="CCEEFF" w:val="clear"/>
            <w:vAlign w:val="center"/>
          </w:tcPr>
          <w:p>
            <w:pPr>
              <w:pStyle w:val="TableContents"/>
              <w:spacing w:before="0" w:after="283"/>
              <w:ind w:left="0" w:right="0" w:hanging="180"/>
              <w:rPr/>
            </w:pPr>
            <w:r>
              <w:rPr/>
              <w:t> </w:t>
            </w:r>
          </w:p>
        </w:tc>
      </w:tr>
      <w:tr>
        <w:trPr/>
        <w:tc>
          <w:tcPr>
            <w:tcW w:w="29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 liabilities</w:t>
            </w:r>
          </w:p>
        </w:tc>
        <w:tc>
          <w:tcPr>
            <w:tcW w:w="60"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211"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83" w:type="dxa"/>
            <w:tcBorders>
              <w:bottom w:val="double" w:sz="10" w:space="0" w:color="000000"/>
            </w:tcBorders>
            <w:shd w:fill="auto" w:val="clear"/>
            <w:tcMar>
              <w:bottom w:w="28" w:type="dxa"/>
            </w:tcMar>
            <w:vAlign w:val="center"/>
          </w:tcPr>
          <w:p>
            <w:pPr>
              <w:pStyle w:val="TableContents"/>
              <w:spacing w:before="0" w:after="0"/>
              <w:jc w:val="right"/>
              <w:rPr/>
            </w:pPr>
            <w:r>
              <w:rPr>
                <w:rFonts w:ascii="Times New Roman;Times;Serif" w:hAnsi="Times New Roman;Times;Serif"/>
                <w:sz w:val="20"/>
              </w:rPr>
              <w:t>6,</w:t>
            </w:r>
            <w:r>
              <w:rPr>
                <w:sz w:val="20"/>
              </w:rPr>
              <w:t>137</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9" w:type="dxa"/>
            <w:tcBorders>
              <w:bottom w:val="double" w:sz="10" w:space="0" w:color="000000"/>
            </w:tcBorders>
            <w:shd w:fill="auto" w:val="clear"/>
            <w:tcMar>
              <w:bottom w:w="28" w:type="dxa"/>
            </w:tcMar>
            <w:vAlign w:val="center"/>
          </w:tcPr>
          <w:p>
            <w:pPr>
              <w:pStyle w:val="TableContents"/>
              <w:spacing w:before="0" w:after="0"/>
              <w:jc w:val="right"/>
              <w:rPr/>
            </w:pPr>
            <w:r>
              <w:rPr>
                <w:rFonts w:ascii="Times New Roman;Times;Serif" w:hAnsi="Times New Roman;Times;Serif"/>
                <w:sz w:val="20"/>
              </w:rPr>
              <w:t>6,</w:t>
            </w:r>
            <w:r>
              <w:rPr>
                <w:sz w:val="20"/>
              </w:rPr>
              <w:t>137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98"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38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bottom w:val="double" w:sz="10" w:space="0" w:color="000000"/>
            </w:tcBorders>
            <w:shd w:fill="auto" w:val="clear"/>
            <w:tcMar>
              <w:bottom w:w="28" w:type="dxa"/>
            </w:tcMar>
            <w:vAlign w:val="center"/>
          </w:tcPr>
          <w:p>
            <w:pPr>
              <w:pStyle w:val="TableContents"/>
              <w:spacing w:before="0" w:after="283"/>
              <w:jc w:val="right"/>
              <w:rPr>
                <w:sz w:val="20"/>
              </w:rPr>
            </w:pPr>
            <w:r>
              <w:rPr>
                <w:sz w:val="20"/>
              </w:rPr>
              <w:t>19,634</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58" w:type="dxa"/>
            <w:tcBorders>
              <w:bottom w:val="double" w:sz="10"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9" w:type="dxa"/>
            <w:tcBorders>
              <w:bottom w:val="double" w:sz="10" w:space="0" w:color="000000"/>
            </w:tcBorders>
            <w:shd w:fill="auto" w:val="clear"/>
            <w:tcMar>
              <w:bottom w:w="28" w:type="dxa"/>
            </w:tcMar>
            <w:vAlign w:val="center"/>
          </w:tcPr>
          <w:p>
            <w:pPr>
              <w:pStyle w:val="TableContents"/>
              <w:spacing w:before="0" w:after="283"/>
              <w:jc w:val="right"/>
              <w:rPr>
                <w:sz w:val="20"/>
              </w:rPr>
            </w:pPr>
            <w:r>
              <w:rPr>
                <w:sz w:val="20"/>
              </w:rPr>
              <w:t>19,634</w:t>
            </w:r>
          </w:p>
        </w:tc>
        <w:tc>
          <w:tcPr>
            <w:tcW w:w="97" w:type="dxa"/>
            <w:tcBorders/>
            <w:shd w:fill="auto" w:val="cle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financial instruments which consist of cash and cash equivalents, marketable securities, accounts receivable, loan receivable, accounts payable, notes payable, derivative liabilities, deferred revenue, and long-term debt. Fair value information for each of these instruments is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Cash and cash equivalents, accounts receivable, accounts payable and deferred revenue liabilities fair values approximate their carrying values, due to the expected duration of these instruments.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Marketable securities classified as held to maturity securities are recorded at amortized cost, which as of December 31, 2021, approximated fair value.</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Company had certain derivative instruments accounted for at fair value. The Company held a convertible promissory note with a preferential conversion feature which qualifies as a derivative instrument. The fair value assumptions consider the nature of the conversion feature and the expected timeline to a qualifying conversion event.</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Company’s deferred consideration was recorded in connection with acquisitions during the year ending December 31, 2021 using an estimated fair value discount at the time of the transaction. As of December 31, 2021, the carrying value of the deferred consideration approximated fair value.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Marketable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held investments consisting of mutual funds, municipal bonds, and corporate bonds. The mutual funds are recorded at fair value in the accompanying consolidated balance sheet as part of cash and cash equivalents. The municipal and corporate bonds are considered held to maturity and are recorded at amortized cost in the accompanying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the Company’s marketable securities are as follows:</w:t>
      </w:r>
    </w:p>
    <w:p>
      <w:pPr>
        <w:pStyle w:val="TextBody"/>
        <w:spacing w:before="0" w:after="0"/>
        <w:ind w:left="0" w:right="0" w:firstLine="360"/>
        <w:rPr>
          <w:caps w:val="false"/>
          <w:smallCaps w:val="false"/>
        </w:rPr>
      </w:pPr>
      <w:r>
        <w:rPr>
          <w:caps w:val="false"/>
          <w:smallCaps w:val="false"/>
        </w:rPr>
        <w:t> </w:t>
      </w:r>
    </w:p>
    <w:tbl>
      <w:tblPr>
        <w:tblW w:w="6419" w:type="dxa"/>
        <w:jc w:val="left"/>
        <w:tblInd w:w="0" w:type="dxa"/>
        <w:tblCellMar>
          <w:top w:w="0" w:type="dxa"/>
          <w:left w:w="0" w:type="dxa"/>
          <w:bottom w:w="28" w:type="dxa"/>
          <w:right w:w="0" w:type="dxa"/>
        </w:tblCellMar>
      </w:tblPr>
      <w:tblGrid>
        <w:gridCol w:w="3275"/>
        <w:gridCol w:w="60"/>
        <w:gridCol w:w="251"/>
        <w:gridCol w:w="1223"/>
        <w:gridCol w:w="60"/>
        <w:gridCol w:w="60"/>
        <w:gridCol w:w="495"/>
        <w:gridCol w:w="920"/>
        <w:gridCol w:w="75"/>
      </w:tblGrid>
      <w:tr>
        <w:trPr/>
        <w:tc>
          <w:tcPr>
            <w:tcW w:w="327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75" w:type="dxa"/>
            <w:tcBorders/>
            <w:shd w:fill="auto" w:val="clear"/>
            <w:tcMar>
              <w:bottom w:w="0" w:type="dxa"/>
            </w:tcMar>
            <w:vAlign w:val="center"/>
          </w:tcPr>
          <w:p>
            <w:pPr>
              <w:pStyle w:val="TableContents"/>
              <w:spacing w:before="0" w:after="283"/>
              <w:rPr/>
            </w:pPr>
            <w:r>
              <w:rPr/>
              <w:t> </w:t>
            </w:r>
          </w:p>
        </w:tc>
      </w:tr>
      <w:tr>
        <w:trPr/>
        <w:tc>
          <w:tcPr>
            <w:tcW w:w="3275" w:type="dxa"/>
            <w:tcBorders/>
            <w:shd w:fill="auto" w:val="clear"/>
            <w:tcMar>
              <w:bottom w:w="0" w:type="dxa"/>
            </w:tcMar>
            <w:vAlign w:val="center"/>
          </w:tcPr>
          <w:p>
            <w:pPr>
              <w:pStyle w:val="TableContents"/>
              <w:spacing w:before="0" w:after="283"/>
              <w:rPr>
                <w:b/>
              </w:rPr>
            </w:pPr>
            <w:r>
              <w:rPr>
                <w:b/>
              </w:rPr>
              <w:t>Current marketable securities: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3275" w:type="dxa"/>
            <w:tcBorders/>
            <w:shd w:fill="CCEEFF" w:val="clear"/>
            <w:tcMar>
              <w:bottom w:w="0" w:type="dxa"/>
            </w:tcMar>
            <w:vAlign w:val="center"/>
          </w:tcPr>
          <w:p>
            <w:pPr>
              <w:pStyle w:val="TableContents"/>
              <w:spacing w:before="0" w:after="283"/>
              <w:jc w:val="left"/>
              <w:rPr/>
            </w:pPr>
            <w:r>
              <w:rPr/>
              <w:t>Municipal bonds</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3" w:type="dxa"/>
            <w:tcBorders/>
            <w:shd w:fill="CCEEFF" w:val="clear"/>
            <w:tcMar>
              <w:bottom w:w="0" w:type="dxa"/>
            </w:tcMar>
            <w:vAlign w:val="center"/>
          </w:tcPr>
          <w:p>
            <w:pPr>
              <w:pStyle w:val="TableContents"/>
              <w:spacing w:before="0" w:after="283"/>
              <w:jc w:val="right"/>
              <w:rPr/>
            </w:pPr>
            <w:r>
              <w:rPr/>
              <w:t>9,961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495" w:type="dxa"/>
            <w:tcBorders/>
            <w:shd w:fill="CCEEFF" w:val="clear"/>
            <w:tcMar>
              <w:bottom w:w="0" w:type="dxa"/>
            </w:tcMar>
            <w:vAlign w:val="center"/>
          </w:tcPr>
          <w:p>
            <w:pPr>
              <w:pStyle w:val="TableContents"/>
              <w:spacing w:before="0" w:after="283"/>
              <w:jc w:val="left"/>
              <w:rPr/>
            </w:pPr>
            <w:r>
              <w:rPr/>
              <w:t>$</w:t>
            </w:r>
          </w:p>
        </w:tc>
        <w:tc>
          <w:tcPr>
            <w:tcW w:w="920"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275" w:type="dxa"/>
            <w:tcBorders/>
            <w:shd w:fill="auto" w:val="clear"/>
            <w:tcMar>
              <w:bottom w:w="0" w:type="dxa"/>
            </w:tcMar>
            <w:vAlign w:val="center"/>
          </w:tcPr>
          <w:p>
            <w:pPr>
              <w:pStyle w:val="TableContents"/>
              <w:spacing w:before="0" w:after="283"/>
              <w:jc w:val="left"/>
              <w:rPr/>
            </w:pPr>
            <w:r>
              <w:rPr/>
              <w:t>Corporate bonds</w:t>
            </w:r>
          </w:p>
        </w:tc>
        <w:tc>
          <w:tcPr>
            <w:tcW w:w="60" w:type="dxa"/>
            <w:tcBorders/>
            <w:shd w:fill="auto" w:val="clear"/>
            <w:tcMar>
              <w:bottom w:w="0" w:type="dxa"/>
            </w:tcMar>
            <w:vAlign w:val="center"/>
          </w:tcPr>
          <w:p>
            <w:pPr>
              <w:pStyle w:val="TableContents"/>
              <w:spacing w:before="0" w:after="283"/>
              <w:rPr/>
            </w:pPr>
            <w:r>
              <w:rPr/>
              <w:t> </w:t>
            </w:r>
          </w:p>
        </w:tc>
        <w:tc>
          <w:tcPr>
            <w:tcW w:w="251" w:type="dxa"/>
            <w:tcBorders>
              <w:bottom w:val="single" w:sz="12" w:space="0" w:color="000000"/>
            </w:tcBorders>
            <w:shd w:fill="auto" w:val="clear"/>
            <w:vAlign w:val="center"/>
          </w:tcPr>
          <w:p>
            <w:pPr>
              <w:pStyle w:val="TableContents"/>
              <w:spacing w:before="0" w:after="283"/>
              <w:jc w:val="left"/>
              <w:rPr/>
            </w:pPr>
            <w:r>
              <w:rPr/>
              <w:t> </w:t>
            </w:r>
          </w:p>
        </w:tc>
        <w:tc>
          <w:tcPr>
            <w:tcW w:w="1223" w:type="dxa"/>
            <w:tcBorders>
              <w:bottom w:val="single" w:sz="12" w:space="0" w:color="000000"/>
            </w:tcBorders>
            <w:shd w:fill="auto" w:val="clear"/>
            <w:vAlign w:val="center"/>
          </w:tcPr>
          <w:p>
            <w:pPr>
              <w:pStyle w:val="TableContents"/>
              <w:spacing w:before="0" w:after="283"/>
              <w:jc w:val="right"/>
              <w:rPr/>
            </w:pPr>
            <w:r>
              <w:rPr/>
              <w:t>34,589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5" w:type="dxa"/>
            <w:tcBorders>
              <w:bottom w:val="single" w:sz="12" w:space="0" w:color="000000"/>
            </w:tcBorders>
            <w:shd w:fill="auto" w:val="clear"/>
            <w:vAlign w:val="center"/>
          </w:tcPr>
          <w:p>
            <w:pPr>
              <w:pStyle w:val="TableContents"/>
              <w:spacing w:before="0" w:after="283"/>
              <w:jc w:val="left"/>
              <w:rPr/>
            </w:pPr>
            <w:r>
              <w:rPr/>
              <w:t> </w:t>
            </w:r>
          </w:p>
        </w:tc>
        <w:tc>
          <w:tcPr>
            <w:tcW w:w="920" w:type="dxa"/>
            <w:tcBorders>
              <w:bottom w:val="single" w:sz="12" w:space="0" w:color="000000"/>
            </w:tcBorders>
            <w:shd w:fill="auto" w:val="cle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75" w:type="dxa"/>
            <w:tcBorders/>
            <w:shd w:fill="CCEEFF" w:val="clear"/>
            <w:tcMar>
              <w:bottom w:w="0" w:type="dxa"/>
            </w:tcMar>
            <w:vAlign w:val="center"/>
          </w:tcPr>
          <w:p>
            <w:pPr>
              <w:pStyle w:val="TableContents"/>
              <w:spacing w:before="0" w:after="283"/>
              <w:jc w:val="left"/>
              <w:rPr/>
            </w:pPr>
            <w:r>
              <w:rPr/>
              <w:t>Total current marketable securities</w:t>
            </w:r>
          </w:p>
        </w:tc>
        <w:tc>
          <w:tcPr>
            <w:tcW w:w="60" w:type="dxa"/>
            <w:tcBorders/>
            <w:shd w:fill="CCEEFF" w:val="clear"/>
            <w:tcMar>
              <w:bottom w:w="0" w:type="dxa"/>
            </w:tcMar>
            <w:vAlign w:val="center"/>
          </w:tcPr>
          <w:p>
            <w:pPr>
              <w:pStyle w:val="TableContents"/>
              <w:spacing w:before="0" w:after="283"/>
              <w:rPr/>
            </w:pPr>
            <w:r>
              <w:rPr/>
              <w:t> </w:t>
            </w:r>
          </w:p>
        </w:tc>
        <w:tc>
          <w:tcPr>
            <w:tcW w:w="251" w:type="dxa"/>
            <w:tcBorders>
              <w:bottom w:val="double" w:sz="10" w:space="0" w:color="000000"/>
            </w:tcBorders>
            <w:shd w:fill="CCEEFF" w:val="clear"/>
            <w:vAlign w:val="center"/>
          </w:tcPr>
          <w:p>
            <w:pPr>
              <w:pStyle w:val="TableContents"/>
              <w:spacing w:before="0" w:after="283"/>
              <w:jc w:val="left"/>
              <w:rPr/>
            </w:pPr>
            <w:r>
              <w:rPr/>
              <w:t>$</w:t>
            </w:r>
          </w:p>
        </w:tc>
        <w:tc>
          <w:tcPr>
            <w:tcW w:w="1223" w:type="dxa"/>
            <w:tcBorders>
              <w:bottom w:val="double" w:sz="10" w:space="0" w:color="000000"/>
            </w:tcBorders>
            <w:shd w:fill="CCEEFF" w:val="clear"/>
            <w:vAlign w:val="center"/>
          </w:tcPr>
          <w:p>
            <w:pPr>
              <w:pStyle w:val="TableContents"/>
              <w:spacing w:before="0" w:after="283"/>
              <w:jc w:val="right"/>
              <w:rPr/>
            </w:pPr>
            <w:r>
              <w:rPr/>
              <w:t>44,550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495" w:type="dxa"/>
            <w:tcBorders>
              <w:bottom w:val="double" w:sz="10" w:space="0" w:color="000000"/>
            </w:tcBorders>
            <w:shd w:fill="CCEEFF" w:val="clear"/>
            <w:vAlign w:val="center"/>
          </w:tcPr>
          <w:p>
            <w:pPr>
              <w:pStyle w:val="TableContents"/>
              <w:spacing w:before="0" w:after="283"/>
              <w:jc w:val="left"/>
              <w:rPr/>
            </w:pPr>
            <w:r>
              <w:rPr/>
              <w:t>$</w:t>
            </w:r>
          </w:p>
        </w:tc>
        <w:tc>
          <w:tcPr>
            <w:tcW w:w="920" w:type="dxa"/>
            <w:tcBorders>
              <w:bottom w:val="double" w:sz="10" w:space="0" w:color="000000"/>
            </w:tcBorders>
            <w:shd w:fill="CCEEFF" w:val="cle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held to maturity securities as of December 31, 2021, are as follows:</w:t>
      </w:r>
    </w:p>
    <w:p>
      <w:pPr>
        <w:pStyle w:val="TextBody"/>
        <w:spacing w:before="0" w:after="0"/>
        <w:ind w:left="0" w:right="0" w:hanging="0"/>
        <w:rPr>
          <w:caps w:val="false"/>
          <w:smallCaps w:val="false"/>
        </w:rPr>
      </w:pPr>
      <w:r>
        <w:rPr>
          <w:caps w:val="false"/>
          <w:smallCaps w:val="false"/>
        </w:rPr>
        <w:t> </w:t>
      </w:r>
    </w:p>
    <w:tbl>
      <w:tblPr>
        <w:tblW w:w="8740" w:type="dxa"/>
        <w:jc w:val="left"/>
        <w:tblInd w:w="0" w:type="dxa"/>
        <w:tblCellMar>
          <w:top w:w="0" w:type="dxa"/>
          <w:left w:w="0" w:type="dxa"/>
          <w:bottom w:w="28" w:type="dxa"/>
          <w:right w:w="0" w:type="dxa"/>
        </w:tblCellMar>
      </w:tblPr>
      <w:tblGrid>
        <w:gridCol w:w="5060"/>
        <w:gridCol w:w="60"/>
        <w:gridCol w:w="187"/>
        <w:gridCol w:w="913"/>
        <w:gridCol w:w="60"/>
        <w:gridCol w:w="60"/>
        <w:gridCol w:w="333"/>
        <w:gridCol w:w="797"/>
        <w:gridCol w:w="95"/>
        <w:gridCol w:w="60"/>
        <w:gridCol w:w="177"/>
        <w:gridCol w:w="863"/>
        <w:gridCol w:w="75"/>
      </w:tblGrid>
      <w:tr>
        <w:trPr/>
        <w:tc>
          <w:tcPr>
            <w:tcW w:w="5060" w:type="dxa"/>
            <w:tcBorders>
              <w:bottom w:val="single" w:sz="12" w:space="0" w:color="000000"/>
            </w:tcBorders>
            <w:shd w:fill="auto" w:val="clear"/>
            <w:vAlign w:val="center"/>
          </w:tcPr>
          <w:p>
            <w:pPr>
              <w:pStyle w:val="TableContents"/>
              <w:spacing w:before="0" w:after="0"/>
              <w:ind w:left="0" w:right="0" w:hanging="0"/>
              <w:jc w:val="left"/>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100" w:type="dxa"/>
            <w:gridSpan w:val="2"/>
            <w:tcBorders>
              <w:bottom w:val="single" w:sz="12" w:space="0" w:color="000000"/>
            </w:tcBorders>
            <w:shd w:fill="auto" w:val="clear"/>
            <w:vAlign w:val="center"/>
          </w:tcPr>
          <w:p>
            <w:pPr>
              <w:pStyle w:val="TableContents"/>
              <w:spacing w:before="0" w:after="283"/>
              <w:jc w:val="center"/>
              <w:rPr>
                <w:b/>
              </w:rPr>
            </w:pPr>
            <w:r>
              <w:rPr>
                <w:b/>
              </w:rPr>
              <w:t>Amortized</w:t>
              <w:br/>
              <w:t>cost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30" w:type="dxa"/>
            <w:gridSpan w:val="2"/>
            <w:tcBorders>
              <w:bottom w:val="single" w:sz="12" w:space="0" w:color="000000"/>
            </w:tcBorders>
            <w:shd w:fill="auto" w:val="clear"/>
            <w:vAlign w:val="center"/>
          </w:tcPr>
          <w:p>
            <w:pPr>
              <w:pStyle w:val="TableContents"/>
              <w:spacing w:before="0" w:after="283"/>
              <w:jc w:val="center"/>
              <w:rPr>
                <w:b/>
              </w:rPr>
            </w:pPr>
            <w:r>
              <w:rPr>
                <w:b/>
              </w:rPr>
              <w:t>Unrealized</w:t>
              <w:br/>
              <w:t>loss</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40" w:type="dxa"/>
            <w:gridSpan w:val="2"/>
            <w:tcBorders>
              <w:bottom w:val="single" w:sz="12" w:space="0" w:color="000000"/>
            </w:tcBorders>
            <w:shd w:fill="auto" w:val="clear"/>
            <w:vAlign w:val="center"/>
          </w:tcPr>
          <w:p>
            <w:pPr>
              <w:pStyle w:val="TableContents"/>
              <w:spacing w:before="0" w:after="283"/>
              <w:jc w:val="center"/>
              <w:rPr>
                <w:b/>
              </w:rPr>
            </w:pPr>
            <w:r>
              <w:rPr>
                <w:b/>
              </w:rPr>
              <w:t>Estimated</w:t>
              <w:br/>
              <w:t>fair value</w:t>
            </w:r>
          </w:p>
        </w:tc>
        <w:tc>
          <w:tcPr>
            <w:tcW w:w="75" w:type="dxa"/>
            <w:tcBorders/>
            <w:shd w:fill="auto" w:val="clear"/>
            <w:tcMar>
              <w:bottom w:w="0" w:type="dxa"/>
            </w:tcMar>
            <w:vAlign w:val="center"/>
          </w:tcPr>
          <w:p>
            <w:pPr>
              <w:pStyle w:val="TableContents"/>
              <w:spacing w:before="0" w:after="283"/>
              <w:rPr/>
            </w:pPr>
            <w:r>
              <w:rPr/>
              <w:t> </w:t>
            </w:r>
          </w:p>
        </w:tc>
      </w:tr>
      <w:tr>
        <w:trPr/>
        <w:tc>
          <w:tcPr>
            <w:tcW w:w="5060" w:type="dxa"/>
            <w:tcBorders/>
            <w:shd w:fill="auto" w:val="clear"/>
            <w:tcMar>
              <w:bottom w:w="0" w:type="dxa"/>
            </w:tcMar>
            <w:vAlign w:val="center"/>
          </w:tcPr>
          <w:p>
            <w:pPr>
              <w:pStyle w:val="TableContents"/>
              <w:spacing w:before="0" w:after="283"/>
              <w:rPr>
                <w:b/>
              </w:rPr>
            </w:pPr>
            <w:r>
              <w:rPr>
                <w:b/>
              </w:rPr>
              <w:t>Current marketable securities (due within 1 year)</w:t>
            </w:r>
          </w:p>
        </w:tc>
        <w:tc>
          <w:tcPr>
            <w:tcW w:w="60" w:type="dxa"/>
            <w:tcBorders/>
            <w:shd w:fill="auto" w:val="clear"/>
            <w:tcMar>
              <w:bottom w:w="0" w:type="dxa"/>
            </w:tcMar>
            <w:vAlign w:val="center"/>
          </w:tcPr>
          <w:p>
            <w:pPr>
              <w:pStyle w:val="TableContents"/>
              <w:spacing w:before="0" w:after="283"/>
              <w:rPr/>
            </w:pPr>
            <w:r>
              <w:rPr/>
              <w:t> </w:t>
            </w:r>
          </w:p>
        </w:tc>
        <w:tc>
          <w:tcPr>
            <w:tcW w:w="110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30" w:type="dxa"/>
            <w:gridSpan w:val="2"/>
            <w:tcBorders/>
            <w:shd w:fill="auto" w:val="clear"/>
            <w:tcMar>
              <w:bottom w:w="0" w:type="dxa"/>
            </w:tcMar>
            <w:vAlign w:val="center"/>
          </w:tcPr>
          <w:p>
            <w:pPr>
              <w:pStyle w:val="TableContents"/>
              <w:spacing w:before="0" w:after="283"/>
              <w:rPr/>
            </w:pPr>
            <w:r>
              <w:rPr/>
              <w:t> </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40" w:type="dxa"/>
            <w:gridSpan w:val="2"/>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5060" w:type="dxa"/>
            <w:tcBorders/>
            <w:shd w:fill="CCEEFF" w:val="clear"/>
            <w:tcMar>
              <w:bottom w:w="0" w:type="dxa"/>
            </w:tcMar>
            <w:vAlign w:val="center"/>
          </w:tcPr>
          <w:p>
            <w:pPr>
              <w:pStyle w:val="TableContents"/>
              <w:spacing w:before="0" w:after="283"/>
              <w:jc w:val="left"/>
              <w:rPr/>
            </w:pPr>
            <w:r>
              <w:rPr/>
              <w:t>Municipal bonds</w:t>
            </w:r>
          </w:p>
        </w:tc>
        <w:tc>
          <w:tcPr>
            <w:tcW w:w="60" w:type="dxa"/>
            <w:tcBorders/>
            <w:shd w:fill="CCEEFF" w:val="clear"/>
            <w:tcMar>
              <w:bottom w:w="0" w:type="dxa"/>
            </w:tcMar>
            <w:vAlign w:val="center"/>
          </w:tcPr>
          <w:p>
            <w:pPr>
              <w:pStyle w:val="TableContents"/>
              <w:spacing w:before="0" w:after="283"/>
              <w:rPr/>
            </w:pPr>
            <w:r>
              <w:rPr/>
              <w:t> </w:t>
            </w:r>
          </w:p>
        </w:tc>
        <w:tc>
          <w:tcPr>
            <w:tcW w:w="187" w:type="dxa"/>
            <w:tcBorders/>
            <w:shd w:fill="CCEEFF" w:val="clear"/>
            <w:tcMar>
              <w:bottom w:w="0" w:type="dxa"/>
            </w:tcMar>
            <w:vAlign w:val="center"/>
          </w:tcPr>
          <w:p>
            <w:pPr>
              <w:pStyle w:val="TableContents"/>
              <w:spacing w:before="0" w:after="283"/>
              <w:jc w:val="left"/>
              <w:rPr/>
            </w:pPr>
            <w:r>
              <w:rPr/>
              <w:t>$</w:t>
            </w:r>
          </w:p>
        </w:tc>
        <w:tc>
          <w:tcPr>
            <w:tcW w:w="913" w:type="dxa"/>
            <w:tcBorders/>
            <w:shd w:fill="CCEEFF" w:val="clear"/>
            <w:tcMar>
              <w:bottom w:w="0" w:type="dxa"/>
            </w:tcMar>
            <w:vAlign w:val="center"/>
          </w:tcPr>
          <w:p>
            <w:pPr>
              <w:pStyle w:val="TableContents"/>
              <w:spacing w:before="0" w:after="283"/>
              <w:jc w:val="right"/>
              <w:rPr/>
            </w:pPr>
            <w:r>
              <w:rPr/>
              <w:t>9,961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33" w:type="dxa"/>
            <w:tcBorders/>
            <w:shd w:fill="CCEEFF" w:val="clear"/>
            <w:tcMar>
              <w:bottom w:w="0" w:type="dxa"/>
            </w:tcMar>
            <w:vAlign w:val="center"/>
          </w:tcPr>
          <w:p>
            <w:pPr>
              <w:pStyle w:val="TableContents"/>
              <w:spacing w:before="0" w:after="283"/>
              <w:jc w:val="left"/>
              <w:rPr/>
            </w:pPr>
            <w:r>
              <w:rPr/>
              <w:t>$</w:t>
            </w:r>
          </w:p>
        </w:tc>
        <w:tc>
          <w:tcPr>
            <w:tcW w:w="797" w:type="dxa"/>
            <w:tcBorders/>
            <w:shd w:fill="CCEEFF" w:val="clear"/>
            <w:tcMar>
              <w:bottom w:w="0" w:type="dxa"/>
            </w:tcMar>
            <w:vAlign w:val="center"/>
          </w:tcPr>
          <w:p>
            <w:pPr>
              <w:pStyle w:val="TableContents"/>
              <w:spacing w:before="0" w:after="283"/>
              <w:jc w:val="right"/>
              <w:rPr/>
            </w:pPr>
            <w:r>
              <w:rPr/>
              <w:t>(9</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77" w:type="dxa"/>
            <w:tcBorders/>
            <w:shd w:fill="CCEEFF" w:val="clear"/>
            <w:tcMar>
              <w:bottom w:w="0" w:type="dxa"/>
            </w:tcMar>
            <w:vAlign w:val="center"/>
          </w:tcPr>
          <w:p>
            <w:pPr>
              <w:pStyle w:val="TableContents"/>
              <w:spacing w:before="0" w:after="283"/>
              <w:jc w:val="left"/>
              <w:rPr/>
            </w:pPr>
            <w:r>
              <w:rPr/>
              <w:t>$</w:t>
            </w:r>
          </w:p>
        </w:tc>
        <w:tc>
          <w:tcPr>
            <w:tcW w:w="863" w:type="dxa"/>
            <w:tcBorders/>
            <w:shd w:fill="CCEEFF" w:val="clear"/>
            <w:tcMar>
              <w:bottom w:w="0" w:type="dxa"/>
            </w:tcMar>
            <w:vAlign w:val="center"/>
          </w:tcPr>
          <w:p>
            <w:pPr>
              <w:pStyle w:val="TableContents"/>
              <w:spacing w:before="0" w:after="283"/>
              <w:jc w:val="right"/>
              <w:rPr/>
            </w:pPr>
            <w:r>
              <w:rPr/>
              <w:t>9,952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060" w:type="dxa"/>
            <w:tcBorders/>
            <w:shd w:fill="auto" w:val="clear"/>
            <w:tcMar>
              <w:bottom w:w="0" w:type="dxa"/>
            </w:tcMar>
            <w:vAlign w:val="center"/>
          </w:tcPr>
          <w:p>
            <w:pPr>
              <w:pStyle w:val="TableContents"/>
              <w:spacing w:before="0" w:after="283"/>
              <w:jc w:val="left"/>
              <w:rPr/>
            </w:pPr>
            <w:r>
              <w:rPr/>
              <w:t>Corporate bonds</w:t>
            </w:r>
          </w:p>
        </w:tc>
        <w:tc>
          <w:tcPr>
            <w:tcW w:w="60" w:type="dxa"/>
            <w:tcBorders/>
            <w:shd w:fill="auto" w:val="clear"/>
            <w:tcMar>
              <w:bottom w:w="0" w:type="dxa"/>
            </w:tcMar>
            <w:vAlign w:val="center"/>
          </w:tcPr>
          <w:p>
            <w:pPr>
              <w:pStyle w:val="TableContents"/>
              <w:spacing w:before="0" w:after="283"/>
              <w:rPr/>
            </w:pPr>
            <w:r>
              <w:rPr/>
              <w:t> </w:t>
            </w:r>
          </w:p>
        </w:tc>
        <w:tc>
          <w:tcPr>
            <w:tcW w:w="187" w:type="dxa"/>
            <w:tcBorders>
              <w:bottom w:val="single" w:sz="12" w:space="0" w:color="000000"/>
            </w:tcBorders>
            <w:shd w:fill="auto" w:val="clear"/>
            <w:vAlign w:val="center"/>
          </w:tcPr>
          <w:p>
            <w:pPr>
              <w:pStyle w:val="TableContents"/>
              <w:spacing w:before="0" w:after="283"/>
              <w:jc w:val="left"/>
              <w:rPr/>
            </w:pPr>
            <w:r>
              <w:rPr/>
              <w:t> </w:t>
            </w:r>
          </w:p>
        </w:tc>
        <w:tc>
          <w:tcPr>
            <w:tcW w:w="913" w:type="dxa"/>
            <w:tcBorders>
              <w:bottom w:val="single" w:sz="12" w:space="0" w:color="000000"/>
            </w:tcBorders>
            <w:shd w:fill="auto" w:val="clear"/>
            <w:vAlign w:val="center"/>
          </w:tcPr>
          <w:p>
            <w:pPr>
              <w:pStyle w:val="TableContents"/>
              <w:spacing w:before="0" w:after="283"/>
              <w:jc w:val="right"/>
              <w:rPr/>
            </w:pPr>
            <w:r>
              <w:rPr/>
              <w:t>34,589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33" w:type="dxa"/>
            <w:tcBorders>
              <w:bottom w:val="single" w:sz="12" w:space="0" w:color="000000"/>
            </w:tcBorders>
            <w:shd w:fill="auto" w:val="clear"/>
            <w:vAlign w:val="center"/>
          </w:tcPr>
          <w:p>
            <w:pPr>
              <w:pStyle w:val="TableContents"/>
              <w:spacing w:before="0" w:after="283"/>
              <w:jc w:val="left"/>
              <w:rPr/>
            </w:pPr>
            <w:r>
              <w:rPr/>
              <w:t> </w:t>
            </w:r>
          </w:p>
        </w:tc>
        <w:tc>
          <w:tcPr>
            <w:tcW w:w="797" w:type="dxa"/>
            <w:tcBorders>
              <w:bottom w:val="single" w:sz="12" w:space="0" w:color="000000"/>
            </w:tcBorders>
            <w:shd w:fill="auto" w:val="clear"/>
            <w:vAlign w:val="center"/>
          </w:tcPr>
          <w:p>
            <w:pPr>
              <w:pStyle w:val="TableContents"/>
              <w:spacing w:before="0" w:after="283"/>
              <w:jc w:val="right"/>
              <w:rPr/>
            </w:pPr>
            <w:r>
              <w:rPr/>
              <w:t>(72</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177" w:type="dxa"/>
            <w:tcBorders>
              <w:bottom w:val="single" w:sz="12" w:space="0" w:color="000000"/>
            </w:tcBorders>
            <w:shd w:fill="auto" w:val="clear"/>
            <w:vAlign w:val="center"/>
          </w:tcPr>
          <w:p>
            <w:pPr>
              <w:pStyle w:val="TableContents"/>
              <w:spacing w:before="0" w:after="283"/>
              <w:jc w:val="left"/>
              <w:rPr/>
            </w:pPr>
            <w:r>
              <w:rPr/>
              <w:t> </w:t>
            </w:r>
          </w:p>
        </w:tc>
        <w:tc>
          <w:tcPr>
            <w:tcW w:w="863" w:type="dxa"/>
            <w:tcBorders>
              <w:bottom w:val="single" w:sz="12" w:space="0" w:color="000000"/>
            </w:tcBorders>
            <w:shd w:fill="auto" w:val="clear"/>
            <w:vAlign w:val="center"/>
          </w:tcPr>
          <w:p>
            <w:pPr>
              <w:pStyle w:val="TableContents"/>
              <w:spacing w:before="0" w:after="283"/>
              <w:jc w:val="right"/>
              <w:rPr/>
            </w:pPr>
            <w:r>
              <w:rPr/>
              <w:t>34,517</w:t>
            </w:r>
          </w:p>
        </w:tc>
        <w:tc>
          <w:tcPr>
            <w:tcW w:w="75" w:type="dxa"/>
            <w:tcBorders/>
            <w:shd w:fill="auto" w:val="clear"/>
            <w:tcMar>
              <w:bottom w:w="0" w:type="dxa"/>
            </w:tcMar>
            <w:vAlign w:val="center"/>
          </w:tcPr>
          <w:p>
            <w:pPr>
              <w:pStyle w:val="TableContents"/>
              <w:spacing w:before="0" w:after="283"/>
              <w:jc w:val="left"/>
              <w:rPr/>
            </w:pPr>
            <w:r>
              <w:rPr/>
              <w:t> </w:t>
            </w:r>
          </w:p>
        </w:tc>
      </w:tr>
      <w:tr>
        <w:trPr/>
        <w:tc>
          <w:tcPr>
            <w:tcW w:w="50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7" w:type="dxa"/>
            <w:tcBorders>
              <w:bottom w:val="double" w:sz="10" w:space="0" w:color="000000"/>
            </w:tcBorders>
            <w:shd w:fill="CCEEFF" w:val="clear"/>
            <w:vAlign w:val="center"/>
          </w:tcPr>
          <w:p>
            <w:pPr>
              <w:pStyle w:val="TableContents"/>
              <w:spacing w:before="0" w:after="283"/>
              <w:jc w:val="left"/>
              <w:rPr/>
            </w:pPr>
            <w:r>
              <w:rPr/>
              <w:t>$</w:t>
            </w:r>
          </w:p>
        </w:tc>
        <w:tc>
          <w:tcPr>
            <w:tcW w:w="913" w:type="dxa"/>
            <w:tcBorders>
              <w:bottom w:val="double" w:sz="10" w:space="0" w:color="000000"/>
            </w:tcBorders>
            <w:shd w:fill="CCEEFF" w:val="clear"/>
            <w:vAlign w:val="center"/>
          </w:tcPr>
          <w:p>
            <w:pPr>
              <w:pStyle w:val="TableContents"/>
              <w:spacing w:before="0" w:after="283"/>
              <w:jc w:val="right"/>
              <w:rPr/>
            </w:pPr>
            <w:r>
              <w:rPr/>
              <w:t>44,550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33" w:type="dxa"/>
            <w:tcBorders>
              <w:bottom w:val="double" w:sz="10" w:space="0" w:color="000000"/>
            </w:tcBorders>
            <w:shd w:fill="CCEEFF" w:val="clear"/>
            <w:vAlign w:val="center"/>
          </w:tcPr>
          <w:p>
            <w:pPr>
              <w:pStyle w:val="TableContents"/>
              <w:spacing w:before="0" w:after="283"/>
              <w:jc w:val="left"/>
              <w:rPr/>
            </w:pPr>
            <w:r>
              <w:rPr/>
              <w:t>$</w:t>
            </w:r>
          </w:p>
        </w:tc>
        <w:tc>
          <w:tcPr>
            <w:tcW w:w="797" w:type="dxa"/>
            <w:tcBorders>
              <w:bottom w:val="double" w:sz="10" w:space="0" w:color="000000"/>
            </w:tcBorders>
            <w:shd w:fill="CCEEFF" w:val="clear"/>
            <w:vAlign w:val="center"/>
          </w:tcPr>
          <w:p>
            <w:pPr>
              <w:pStyle w:val="TableContents"/>
              <w:spacing w:before="0" w:after="283"/>
              <w:jc w:val="right"/>
              <w:rPr/>
            </w:pPr>
            <w:r>
              <w:rPr/>
              <w:t>(81</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177" w:type="dxa"/>
            <w:tcBorders>
              <w:bottom w:val="double" w:sz="10" w:space="0" w:color="000000"/>
            </w:tcBorders>
            <w:shd w:fill="CCEEFF" w:val="clear"/>
            <w:vAlign w:val="center"/>
          </w:tcPr>
          <w:p>
            <w:pPr>
              <w:pStyle w:val="TableContents"/>
              <w:spacing w:before="0" w:after="283"/>
              <w:jc w:val="left"/>
              <w:rPr/>
            </w:pPr>
            <w:r>
              <w:rPr/>
              <w:t>$</w:t>
            </w:r>
          </w:p>
        </w:tc>
        <w:tc>
          <w:tcPr>
            <w:tcW w:w="863" w:type="dxa"/>
            <w:tcBorders>
              <w:bottom w:val="double" w:sz="10" w:space="0" w:color="000000"/>
            </w:tcBorders>
            <w:shd w:fill="CCEEFF" w:val="clear"/>
            <w:vAlign w:val="center"/>
          </w:tcPr>
          <w:p>
            <w:pPr>
              <w:pStyle w:val="TableContents"/>
              <w:spacing w:before="0" w:after="283"/>
              <w:jc w:val="right"/>
              <w:rPr/>
            </w:pPr>
            <w:r>
              <w:rPr/>
              <w:t>44,469</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Consideration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its net liability for contingent earnout considerations relating to the two acquisitions completed in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in Fiscal 2021 is included within Note 13 – Business Combinations included elsewhere in the notes to the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earnout payments for each acquisition are based on the achievement of certain revenue thresholds. During the fourth quarter of 2021, the fair value of the contingent earnout consideration increased by $1.4 million due to the actual revenue achievement for the period ended December 31, 2021, being greater than the initially projected revenue achievement incorporated into our initial purchase price allocation. This amount, as required by ASC 805, was recorded as part of our operating expenses in the fourth quarter of 2021.</w:t>
      </w:r>
    </w:p>
    <w:p>
      <w:pPr>
        <w:pStyle w:val="TextBody"/>
        <w:spacing w:before="0" w:after="0"/>
        <w:ind w:left="0" w:right="0" w:firstLine="495"/>
        <w:rPr>
          <w:caps w:val="false"/>
          <w:smallCaps w:val="false"/>
        </w:rPr>
      </w:pPr>
      <w:r>
        <w:rPr>
          <w:caps w:val="false"/>
          <w:smallCaps w:val="false"/>
        </w:rPr>
        <w:t> </w:t>
      </w:r>
    </w:p>
    <w:tbl>
      <w:tblPr>
        <w:tblW w:w="5920" w:type="dxa"/>
        <w:jc w:val="left"/>
        <w:tblInd w:w="0" w:type="dxa"/>
        <w:tblCellMar>
          <w:top w:w="0" w:type="dxa"/>
          <w:left w:w="0" w:type="dxa"/>
          <w:bottom w:w="28" w:type="dxa"/>
          <w:right w:w="0" w:type="dxa"/>
        </w:tblCellMar>
      </w:tblPr>
      <w:tblGrid>
        <w:gridCol w:w="4310"/>
        <w:gridCol w:w="60"/>
        <w:gridCol w:w="295"/>
        <w:gridCol w:w="1180"/>
        <w:gridCol w:w="75"/>
      </w:tblGrid>
      <w:tr>
        <w:trPr/>
        <w:tc>
          <w:tcPr>
            <w:tcW w:w="4310" w:type="dxa"/>
            <w:tcBorders>
              <w:bottom w:val="single" w:sz="12" w:space="0" w:color="000000"/>
            </w:tcBorders>
            <w:shd w:fill="auto" w:val="clear"/>
            <w:vAlign w:val="center"/>
          </w:tcPr>
          <w:p>
            <w:pPr>
              <w:pStyle w:val="TableContents"/>
              <w:spacing w:before="0" w:after="0"/>
              <w:ind w:left="0" w:right="0" w:hanging="0"/>
              <w:jc w:val="left"/>
              <w:rPr>
                <w:b/>
              </w:rPr>
            </w:pPr>
            <w:r>
              <w:rPr>
                <w:b/>
              </w:rPr>
              <w:t>(Dollar Amounts in Thousands)</w:t>
            </w:r>
          </w:p>
        </w:tc>
        <w:tc>
          <w:tcPr>
            <w:tcW w:w="60" w:type="dxa"/>
            <w:tcBorders/>
            <w:shd w:fill="auto" w:val="clear"/>
            <w:tcMar>
              <w:bottom w:w="0" w:type="dxa"/>
            </w:tcMar>
            <w:vAlign w:val="center"/>
          </w:tcPr>
          <w:p>
            <w:pPr>
              <w:pStyle w:val="TableContents"/>
              <w:spacing w:before="0" w:after="283"/>
              <w:jc w:val="center"/>
              <w:rPr/>
            </w:pPr>
            <w:r>
              <w:rPr/>
              <w:t> </w:t>
            </w:r>
          </w:p>
        </w:tc>
        <w:tc>
          <w:tcPr>
            <w:tcW w:w="1475"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75" w:type="dxa"/>
            <w:tcBorders/>
            <w:shd w:fill="auto" w:val="clear"/>
            <w:tcMar>
              <w:bottom w:w="0" w:type="dxa"/>
            </w:tcMar>
            <w:vAlign w:val="center"/>
          </w:tcPr>
          <w:p>
            <w:pPr>
              <w:pStyle w:val="TableContents"/>
              <w:spacing w:before="0" w:after="283"/>
              <w:jc w:val="center"/>
              <w:rPr/>
            </w:pPr>
            <w:r>
              <w:rPr/>
              <w:t> </w:t>
            </w:r>
          </w:p>
        </w:tc>
      </w:tr>
      <w:tr>
        <w:trPr/>
        <w:tc>
          <w:tcPr>
            <w:tcW w:w="4310" w:type="dxa"/>
            <w:tcBorders/>
            <w:shd w:fill="CCEEFF" w:val="clear"/>
            <w:tcMar>
              <w:bottom w:w="0" w:type="dxa"/>
            </w:tcMar>
            <w:vAlign w:val="center"/>
          </w:tcPr>
          <w:p>
            <w:pPr>
              <w:pStyle w:val="TableContents"/>
              <w:spacing w:before="0" w:after="283"/>
              <w:jc w:val="left"/>
              <w:rPr/>
            </w:pPr>
            <w:r>
              <w:rPr/>
              <w:t>Contingent consideration – beginning of year</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180"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310" w:type="dxa"/>
            <w:tcBorders/>
            <w:shd w:fill="auto" w:val="clear"/>
            <w:tcMar>
              <w:bottom w:w="0" w:type="dxa"/>
            </w:tcMar>
            <w:vAlign w:val="center"/>
          </w:tcPr>
          <w:p>
            <w:pPr>
              <w:pStyle w:val="TableContents"/>
              <w:spacing w:before="0" w:after="283"/>
              <w:jc w:val="left"/>
              <w:rPr/>
            </w:pPr>
            <w:r>
              <w:rPr/>
              <w:t>Accrued contingent consideration</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4,725</w:t>
            </w:r>
          </w:p>
        </w:tc>
        <w:tc>
          <w:tcPr>
            <w:tcW w:w="75" w:type="dxa"/>
            <w:tcBorders/>
            <w:shd w:fill="auto" w:val="clear"/>
            <w:tcMar>
              <w:bottom w:w="0" w:type="dxa"/>
            </w:tcMar>
            <w:vAlign w:val="center"/>
          </w:tcPr>
          <w:p>
            <w:pPr>
              <w:pStyle w:val="TableContents"/>
              <w:spacing w:before="0" w:after="283"/>
              <w:jc w:val="left"/>
              <w:rPr/>
            </w:pPr>
            <w:r>
              <w:rPr/>
              <w:t> </w:t>
            </w:r>
          </w:p>
        </w:tc>
      </w:tr>
      <w:tr>
        <w:trPr/>
        <w:tc>
          <w:tcPr>
            <w:tcW w:w="4310" w:type="dxa"/>
            <w:tcBorders/>
            <w:shd w:fill="CCEEFF" w:val="clear"/>
            <w:tcMar>
              <w:bottom w:w="0" w:type="dxa"/>
            </w:tcMar>
            <w:vAlign w:val="center"/>
          </w:tcPr>
          <w:p>
            <w:pPr>
              <w:pStyle w:val="TableContents"/>
              <w:spacing w:before="0" w:after="283"/>
              <w:jc w:val="left"/>
              <w:rPr/>
            </w:pPr>
            <w:r>
              <w:rPr/>
              <w:t>Change in estimated fair value</w:t>
            </w:r>
          </w:p>
        </w:tc>
        <w:tc>
          <w:tcPr>
            <w:tcW w:w="60" w:type="dxa"/>
            <w:tcBorders/>
            <w:shd w:fill="CCEEFF" w:val="clear"/>
            <w:tcMar>
              <w:bottom w:w="0" w:type="dxa"/>
            </w:tcMar>
            <w:vAlign w:val="center"/>
          </w:tcPr>
          <w:p>
            <w:pPr>
              <w:pStyle w:val="TableContents"/>
              <w:spacing w:before="0" w:after="283"/>
              <w:rPr/>
            </w:pPr>
            <w:r>
              <w:rPr/>
              <w:t> </w:t>
            </w:r>
          </w:p>
        </w:tc>
        <w:tc>
          <w:tcPr>
            <w:tcW w:w="295" w:type="dxa"/>
            <w:tcBorders>
              <w:bottom w:val="single" w:sz="12" w:space="0" w:color="000000"/>
            </w:tcBorders>
            <w:shd w:fill="CCEEFF" w:val="clear"/>
            <w:vAlign w:val="center"/>
          </w:tcPr>
          <w:p>
            <w:pPr>
              <w:pStyle w:val="TableContents"/>
              <w:spacing w:before="0" w:after="283"/>
              <w:jc w:val="left"/>
              <w:rPr/>
            </w:pPr>
            <w:r>
              <w:rPr/>
              <w:t> </w:t>
            </w:r>
          </w:p>
        </w:tc>
        <w:tc>
          <w:tcPr>
            <w:tcW w:w="1180" w:type="dxa"/>
            <w:tcBorders>
              <w:bottom w:val="single" w:sz="12" w:space="0" w:color="000000"/>
            </w:tcBorders>
            <w:shd w:fill="CCEEFF" w:val="clear"/>
            <w:vAlign w:val="center"/>
          </w:tcPr>
          <w:p>
            <w:pPr>
              <w:pStyle w:val="TableContents"/>
              <w:spacing w:before="0" w:after="283"/>
              <w:jc w:val="right"/>
              <w:rPr/>
            </w:pPr>
            <w:r>
              <w:rPr/>
              <w:t>1,412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310" w:type="dxa"/>
            <w:tcBorders/>
            <w:shd w:fill="auto" w:val="clear"/>
            <w:tcMar>
              <w:bottom w:w="0" w:type="dxa"/>
            </w:tcMar>
            <w:vAlign w:val="center"/>
          </w:tcPr>
          <w:p>
            <w:pPr>
              <w:pStyle w:val="TableContents"/>
              <w:spacing w:before="0" w:after="283"/>
              <w:jc w:val="left"/>
              <w:rPr/>
            </w:pPr>
            <w:r>
              <w:rPr/>
              <w:t>Contingent consideration – end of year</w:t>
            </w:r>
          </w:p>
        </w:tc>
        <w:tc>
          <w:tcPr>
            <w:tcW w:w="60" w:type="dxa"/>
            <w:tcBorders/>
            <w:shd w:fill="auto" w:val="clear"/>
            <w:tcMar>
              <w:bottom w:w="0" w:type="dxa"/>
            </w:tcMar>
            <w:vAlign w:val="center"/>
          </w:tcPr>
          <w:p>
            <w:pPr>
              <w:pStyle w:val="TableContents"/>
              <w:spacing w:before="0" w:after="283"/>
              <w:rPr/>
            </w:pPr>
            <w:r>
              <w:rPr/>
              <w:t> </w:t>
            </w:r>
          </w:p>
        </w:tc>
        <w:tc>
          <w:tcPr>
            <w:tcW w:w="295" w:type="dxa"/>
            <w:tcBorders>
              <w:bottom w:val="double" w:sz="10" w:space="0" w:color="000000"/>
            </w:tcBorders>
            <w:shd w:fill="auto" w:val="clear"/>
            <w:vAlign w:val="center"/>
          </w:tcPr>
          <w:p>
            <w:pPr>
              <w:pStyle w:val="TableContents"/>
              <w:spacing w:before="0" w:after="283"/>
              <w:jc w:val="left"/>
              <w:rPr/>
            </w:pPr>
            <w:r>
              <w:rPr/>
              <w:t>$</w:t>
            </w:r>
          </w:p>
        </w:tc>
        <w:tc>
          <w:tcPr>
            <w:tcW w:w="1180" w:type="dxa"/>
            <w:tcBorders>
              <w:bottom w:val="double" w:sz="10" w:space="0" w:color="000000"/>
            </w:tcBorders>
            <w:shd w:fill="auto" w:val="clear"/>
            <w:vAlign w:val="center"/>
          </w:tcPr>
          <w:p>
            <w:pPr>
              <w:pStyle w:val="TableContents"/>
              <w:spacing w:before="0" w:after="283"/>
              <w:jc w:val="right"/>
              <w:rPr/>
            </w:pPr>
            <w:r>
              <w:rPr/>
              <w:t>6,137</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495"/>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is included within accrued expense in the consolidated balance sheets as of December 31, 2021.</w:t>
      </w:r>
    </w:p>
    <w:p>
      <w:pPr>
        <w:pStyle w:val="TextBody"/>
        <w:spacing w:before="0" w:after="0"/>
        <w:ind w:left="0" w:right="0" w:firstLine="495"/>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Loan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capital raised from the Company’s 2021 public offering has been allocated to launch Agrify’s total turn-key solution (“TTK Solution”) program, the industry’s first end-to-end solution for the Company’s customers that provides access to capital for construction costs, equipment lease(s) to VFUs and other related operating equipment, subscription to the Company’s Agrify Insights software, and business consultation services, which will enable the Company’s customers to go to market sooner.</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allowable investment in the Agrify TTK Solution engagements is currently capped at $50.0 million, as approved by the Company’s Board of Directors. As of December 31, 2021, the Company has committed $20.3 million to the Agrify TTK Solution for five customers under contract and the remainder $1.9 million is related to non-TTK Solutions contracts. Of the five customers under the Agrify TTK Solution, Greenstone Holdings is a related party.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agreements entered into with customers receiving the Agrify TTK Solution generally provide for loans ranging from approximately $200 thousand up to $13.5 million with maturity dates of approximately two to three years after the completion of the construction projects. Typically, the TTK Solution construction loans have interest rates ranging from 12% to 18% per annum.</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loans receivable as of December 31, 2021 and December 31, 2020 is as follows:</w:t>
      </w:r>
    </w:p>
    <w:p>
      <w:pPr>
        <w:pStyle w:val="TextBody"/>
        <w:spacing w:before="0" w:after="0"/>
        <w:ind w:left="0" w:right="0" w:firstLine="360"/>
        <w:rPr>
          <w:caps w:val="false"/>
          <w:smallCaps w:val="false"/>
        </w:rPr>
      </w:pPr>
      <w:r>
        <w:rPr>
          <w:caps w:val="false"/>
          <w:smallCaps w:val="false"/>
        </w:rPr>
        <w:t> </w:t>
      </w:r>
    </w:p>
    <w:tbl>
      <w:tblPr>
        <w:tblW w:w="7004" w:type="dxa"/>
        <w:jc w:val="left"/>
        <w:tblInd w:w="0" w:type="dxa"/>
        <w:tblCellMar>
          <w:top w:w="0" w:type="dxa"/>
          <w:left w:w="0" w:type="dxa"/>
          <w:bottom w:w="28" w:type="dxa"/>
          <w:right w:w="0" w:type="dxa"/>
        </w:tblCellMar>
      </w:tblPr>
      <w:tblGrid>
        <w:gridCol w:w="4355"/>
        <w:gridCol w:w="60"/>
        <w:gridCol w:w="212"/>
        <w:gridCol w:w="1007"/>
        <w:gridCol w:w="60"/>
        <w:gridCol w:w="60"/>
        <w:gridCol w:w="197"/>
        <w:gridCol w:w="978"/>
        <w:gridCol w:w="75"/>
      </w:tblGrid>
      <w:tr>
        <w:trPr/>
        <w:tc>
          <w:tcPr>
            <w:tcW w:w="4355" w:type="dxa"/>
            <w:tcBorders>
              <w:bottom w:val="single" w:sz="12" w:space="0" w:color="000000"/>
            </w:tcBorders>
            <w:shd w:fill="auto" w:val="clear"/>
            <w:vAlign w:val="center"/>
          </w:tcPr>
          <w:p>
            <w:pPr>
              <w:pStyle w:val="TableContents"/>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219" w:type="dxa"/>
            <w:gridSpan w:val="2"/>
            <w:tcBorders>
              <w:bottom w:val="single" w:sz="12" w:space="0" w:color="000000"/>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2021</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175" w:type="dxa"/>
            <w:gridSpan w:val="2"/>
            <w:tcBorders>
              <w:bottom w:val="single" w:sz="12" w:space="0" w:color="000000"/>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2020</w:t>
            </w:r>
          </w:p>
        </w:tc>
        <w:tc>
          <w:tcPr>
            <w:tcW w:w="75"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r>
      <w:tr>
        <w:trPr/>
        <w:tc>
          <w:tcPr>
            <w:tcW w:w="43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 – TTK Solution</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5,542</w:t>
            </w:r>
          </w:p>
        </w:tc>
        <w:tc>
          <w:tcPr>
            <w:tcW w:w="6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Greenstone Holdings – TTK Solution – Related Party</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1007" w:type="dxa"/>
            <w:tcBorders/>
            <w:shd w:fill="auto"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11,177</w:t>
            </w:r>
          </w:p>
        </w:tc>
        <w:tc>
          <w:tcPr>
            <w:tcW w:w="60"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978" w:type="dxa"/>
            <w:tcBorders/>
            <w:shd w:fill="auto"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 – TTK Solution</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2,439</w:t>
            </w:r>
          </w:p>
        </w:tc>
        <w:tc>
          <w:tcPr>
            <w:tcW w:w="6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978"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 – TTK Solution</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1007" w:type="dxa"/>
            <w:tcBorders/>
            <w:shd w:fill="auto"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60"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978" w:type="dxa"/>
            <w:tcBorders/>
            <w:shd w:fill="auto"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E – TTK Solution</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978"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Non-TTK Solutions</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bottom w:val="single" w:sz="12" w:space="0" w:color="000000"/>
            </w:tcBorders>
            <w:shd w:fill="auto" w:val="clear"/>
            <w:vAlign w:val="center"/>
          </w:tcPr>
          <w:p>
            <w:pPr>
              <w:pStyle w:val="TableContents"/>
              <w:spacing w:before="0" w:after="283"/>
              <w:ind w:left="0" w:right="0" w:hanging="0"/>
              <w:jc w:val="left"/>
              <w:rPr>
                <w:caps w:val="false"/>
                <w:smallCaps w:val="false"/>
              </w:rPr>
            </w:pPr>
            <w:r>
              <w:rPr>
                <w:caps w:val="false"/>
                <w:smallCaps w:val="false"/>
              </w:rPr>
              <w:t> </w:t>
            </w:r>
          </w:p>
        </w:tc>
        <w:tc>
          <w:tcPr>
            <w:tcW w:w="1007" w:type="dxa"/>
            <w:tcBorders>
              <w:bottom w:val="single" w:sz="12" w:space="0" w:color="000000"/>
            </w:tcBorders>
            <w:shd w:fill="auto"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60"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bottom w:val="single" w:sz="12" w:space="0" w:color="000000"/>
            </w:tcBorders>
            <w:shd w:fill="auto" w:val="clear"/>
            <w:vAlign w:val="center"/>
          </w:tcPr>
          <w:p>
            <w:pPr>
              <w:pStyle w:val="TableContents"/>
              <w:spacing w:before="0" w:after="283"/>
              <w:ind w:left="0" w:right="0" w:hanging="0"/>
              <w:jc w:val="left"/>
              <w:rPr>
                <w:caps w:val="false"/>
                <w:smallCaps w:val="false"/>
              </w:rPr>
            </w:pPr>
            <w:r>
              <w:rPr>
                <w:caps w:val="false"/>
                <w:smallCaps w:val="false"/>
              </w:rPr>
              <w:t> </w:t>
            </w:r>
          </w:p>
        </w:tc>
        <w:tc>
          <w:tcPr>
            <w:tcW w:w="978" w:type="dxa"/>
            <w:tcBorders>
              <w:bottom w:val="single" w:sz="12" w:space="0" w:color="000000"/>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auto"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43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12" w:type="dxa"/>
            <w:tcBorders>
              <w:bottom w:val="double" w:sz="10" w:space="0" w:color="000000"/>
            </w:tcBorders>
            <w:shd w:fill="CCEEFF" w:val="cle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10" w:space="0" w:color="000000"/>
            </w:tcBorders>
            <w:shd w:fill="CCEEFF"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22,255</w:t>
            </w:r>
          </w:p>
        </w:tc>
        <w:tc>
          <w:tcPr>
            <w:tcW w:w="6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97" w:type="dxa"/>
            <w:tcBorders>
              <w:bottom w:val="double" w:sz="10" w:space="0" w:color="000000"/>
            </w:tcBorders>
            <w:shd w:fill="CCEEFF" w:val="cle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bottom w:val="double" w:sz="10" w:space="0" w:color="000000"/>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whether any of the above customers are a variable interest entity (a “VIE”) in accordance with ASC 810 and if so, whether the Company is the primary beneficiary requiring consolidation. Based on the Company’s analysis, the Company has determined that Greenstone Holdings is a VIE. As of December 31, 2021, two of the Company’s employees own approximately 36.6% of the equity of Greenstone Holdings, however, since the Company is not the primary beneficiary of Greenstone Holdings, the Company is not required to consolidate Greenstone Holdings.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consisted of the following as of December 31, 2021 and December 31, 2020: </w:t>
      </w:r>
    </w:p>
    <w:p>
      <w:pPr>
        <w:pStyle w:val="TextBody"/>
        <w:spacing w:before="0" w:after="0"/>
        <w:ind w:left="0" w:right="0" w:firstLine="360"/>
        <w:rPr>
          <w:caps w:val="false"/>
          <w:smallCaps w:val="false"/>
        </w:rPr>
      </w:pPr>
      <w:r>
        <w:rPr>
          <w:caps w:val="false"/>
          <w:smallCaps w:val="false"/>
        </w:rPr>
        <w:t> </w:t>
      </w:r>
    </w:p>
    <w:tbl>
      <w:tblPr>
        <w:tblW w:w="5739" w:type="dxa"/>
        <w:jc w:val="left"/>
        <w:tblInd w:w="0" w:type="dxa"/>
        <w:tblCellMar>
          <w:top w:w="0" w:type="dxa"/>
          <w:left w:w="0" w:type="dxa"/>
          <w:bottom w:w="28" w:type="dxa"/>
          <w:right w:w="0" w:type="dxa"/>
        </w:tblCellMar>
      </w:tblPr>
      <w:tblGrid>
        <w:gridCol w:w="3050"/>
        <w:gridCol w:w="60"/>
        <w:gridCol w:w="227"/>
        <w:gridCol w:w="992"/>
        <w:gridCol w:w="80"/>
        <w:gridCol w:w="60"/>
        <w:gridCol w:w="240"/>
        <w:gridCol w:w="935"/>
        <w:gridCol w:w="95"/>
      </w:tblGrid>
      <w:tr>
        <w:trPr/>
        <w:tc>
          <w:tcPr>
            <w:tcW w:w="3050" w:type="dxa"/>
            <w:tcBorders>
              <w:bottom w:val="single" w:sz="12" w:space="0" w:color="000000"/>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219" w:type="dxa"/>
            <w:gridSpan w:val="2"/>
            <w:tcBorders>
              <w:bottom w:val="single" w:sz="12" w:space="0" w:color="000000"/>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2021</w:t>
            </w:r>
          </w:p>
        </w:tc>
        <w:tc>
          <w:tcPr>
            <w:tcW w:w="8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1175" w:type="dxa"/>
            <w:gridSpan w:val="2"/>
            <w:tcBorders>
              <w:bottom w:val="single" w:sz="12" w:space="0" w:color="000000"/>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2020</w:t>
            </w:r>
          </w:p>
        </w:tc>
        <w:tc>
          <w:tcPr>
            <w:tcW w:w="95"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gross</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2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2"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8,637</w:t>
            </w:r>
          </w:p>
        </w:tc>
        <w:tc>
          <w:tcPr>
            <w:tcW w:w="8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4,068</w:t>
            </w:r>
          </w:p>
        </w:tc>
        <w:tc>
          <w:tcPr>
            <w:tcW w:w="95"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r>
      <w:tr>
        <w:trPr/>
        <w:tc>
          <w:tcPr>
            <w:tcW w:w="30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doubtful accounts</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27" w:type="dxa"/>
            <w:tcBorders>
              <w:bottom w:val="single" w:sz="12" w:space="0" w:color="000000"/>
            </w:tcBorders>
            <w:shd w:fill="auto" w:val="clear"/>
            <w:vAlign w:val="center"/>
          </w:tcPr>
          <w:p>
            <w:pPr>
              <w:pStyle w:val="TableContents"/>
              <w:spacing w:before="0" w:after="283"/>
              <w:ind w:left="0" w:right="0" w:hanging="0"/>
              <w:jc w:val="left"/>
              <w:rPr>
                <w:caps w:val="false"/>
                <w:smallCaps w:val="false"/>
              </w:rPr>
            </w:pPr>
            <w:r>
              <w:rPr>
                <w:caps w:val="false"/>
                <w:smallCaps w:val="false"/>
              </w:rPr>
              <w:t> </w:t>
            </w:r>
          </w:p>
        </w:tc>
        <w:tc>
          <w:tcPr>
            <w:tcW w:w="992" w:type="dxa"/>
            <w:tcBorders>
              <w:bottom w:val="single" w:sz="12" w:space="0" w:color="000000"/>
            </w:tcBorders>
            <w:shd w:fill="auto"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40" w:type="dxa"/>
            <w:tcBorders>
              <w:bottom w:val="single" w:sz="12" w:space="0" w:color="000000"/>
            </w:tcBorders>
            <w:shd w:fill="auto" w:val="clear"/>
            <w:vAlign w:val="center"/>
          </w:tcPr>
          <w:p>
            <w:pPr>
              <w:pStyle w:val="TableContents"/>
              <w:spacing w:before="0" w:after="283"/>
              <w:ind w:left="0" w:right="0" w:hanging="0"/>
              <w:jc w:val="left"/>
              <w:rPr>
                <w:caps w:val="false"/>
                <w:smallCaps w:val="false"/>
              </w:rPr>
            </w:pPr>
            <w:r>
              <w:rPr>
                <w:caps w:val="false"/>
                <w:smallCaps w:val="false"/>
              </w:rPr>
              <w:t> </w:t>
            </w:r>
          </w:p>
        </w:tc>
        <w:tc>
          <w:tcPr>
            <w:tcW w:w="935" w:type="dxa"/>
            <w:tcBorders>
              <w:bottom w:val="single" w:sz="12" w:space="0" w:color="000000"/>
            </w:tcBorders>
            <w:shd w:fill="auto"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27" w:type="dxa"/>
            <w:tcBorders>
              <w:bottom w:val="double" w:sz="10" w:space="0" w:color="000000"/>
            </w:tcBorders>
            <w:shd w:fill="CCEEFF" w:val="cle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2" w:type="dxa"/>
            <w:tcBorders>
              <w:bottom w:val="double" w:sz="10" w:space="0" w:color="000000"/>
            </w:tcBorders>
            <w:shd w:fill="CCEEFF"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7,222</w:t>
            </w:r>
          </w:p>
        </w:tc>
        <w:tc>
          <w:tcPr>
            <w:tcW w:w="80" w:type="dxa"/>
            <w:tcBorders/>
            <w:shd w:fill="CCEEFF" w:val="clear"/>
            <w:tcMar>
              <w:bottom w:w="0" w:type="dxa"/>
            </w:tcMar>
            <w:vAlign w:val="center"/>
          </w:tcPr>
          <w:p>
            <w:pPr>
              <w:pStyle w:val="TableContents"/>
              <w:spacing w:before="0" w:after="283"/>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ind w:left="0" w:right="0" w:hanging="0"/>
              <w:rPr>
                <w:caps w:val="false"/>
                <w:smallCaps w:val="false"/>
              </w:rPr>
            </w:pPr>
            <w:r>
              <w:rPr>
                <w:caps w:val="false"/>
                <w:smallCaps w:val="false"/>
              </w:rPr>
              <w:t> </w:t>
            </w:r>
          </w:p>
        </w:tc>
        <w:tc>
          <w:tcPr>
            <w:tcW w:w="240" w:type="dxa"/>
            <w:tcBorders>
              <w:bottom w:val="double" w:sz="10" w:space="0" w:color="000000"/>
            </w:tcBorders>
            <w:shd w:fill="CCEEFF" w:val="clear"/>
            <w:vAlign w:val="center"/>
          </w:tcPr>
          <w:p>
            <w:pPr>
              <w:pStyle w:val="TableContents"/>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10" w:space="0" w:color="000000"/>
            </w:tcBorders>
            <w:shd w:fill="CCEEFF" w:val="clear"/>
            <w:vAlign w:val="center"/>
          </w:tcPr>
          <w:p>
            <w:pPr>
              <w:pStyle w:val="TableContents"/>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NEIA, a related party, accounted for $3.5 million and $1.7 million of accounts receivable, net as of December 31, 2021 and December 31, 2020, respectively.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allowance for doubtful accounts consisted of the following:</w:t>
      </w:r>
    </w:p>
    <w:p>
      <w:pPr>
        <w:pStyle w:val="TextBody"/>
        <w:spacing w:before="0" w:after="0"/>
        <w:ind w:left="0" w:right="0" w:firstLine="360"/>
        <w:rPr>
          <w:caps w:val="false"/>
          <w:smallCaps w:val="false"/>
        </w:rPr>
      </w:pPr>
      <w:r>
        <w:rPr>
          <w:caps w:val="false"/>
          <w:smallCaps w:val="false"/>
        </w:rPr>
        <w:t> </w:t>
      </w:r>
    </w:p>
    <w:tbl>
      <w:tblPr>
        <w:tblW w:w="5180" w:type="dxa"/>
        <w:jc w:val="left"/>
        <w:tblInd w:w="0" w:type="dxa"/>
        <w:tblCellMar>
          <w:top w:w="0" w:type="dxa"/>
          <w:left w:w="0" w:type="dxa"/>
          <w:bottom w:w="0" w:type="dxa"/>
          <w:right w:w="0" w:type="dxa"/>
        </w:tblCellMar>
      </w:tblPr>
      <w:tblGrid>
        <w:gridCol w:w="3725"/>
        <w:gridCol w:w="60"/>
        <w:gridCol w:w="140"/>
        <w:gridCol w:w="560"/>
        <w:gridCol w:w="60"/>
        <w:gridCol w:w="60"/>
        <w:gridCol w:w="175"/>
        <w:gridCol w:w="325"/>
        <w:gridCol w:w="75"/>
      </w:tblGrid>
      <w:tr>
        <w:trPr/>
        <w:tc>
          <w:tcPr>
            <w:tcW w:w="3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Fiscal Year</w:t>
            </w:r>
          </w:p>
        </w:tc>
        <w:tc>
          <w:tcPr>
            <w:tcW w:w="75" w:type="dxa"/>
            <w:tcBorders/>
            <w:shd w:fill="auto" w:val="clear"/>
            <w:vAlign w:val="center"/>
          </w:tcPr>
          <w:p>
            <w:pPr>
              <w:pStyle w:val="TableContents"/>
              <w:spacing w:before="0" w:after="283"/>
              <w:rPr/>
            </w:pPr>
            <w:r>
              <w:rPr/>
              <w:t> </w:t>
            </w:r>
          </w:p>
        </w:tc>
      </w:tr>
      <w:tr>
        <w:trPr/>
        <w:tc>
          <w:tcPr>
            <w:tcW w:w="3725"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3725" w:type="dxa"/>
            <w:tcBorders/>
            <w:shd w:fill="CCEEFF" w:val="clear"/>
            <w:vAlign w:val="center"/>
          </w:tcPr>
          <w:p>
            <w:pPr>
              <w:pStyle w:val="TableContents"/>
              <w:spacing w:before="0" w:after="283"/>
              <w:jc w:val="left"/>
              <w:rPr/>
            </w:pPr>
            <w:r>
              <w:rPr/>
              <w:t>Balance as of the beginning of the year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w:t>
            </w:r>
          </w:p>
        </w:tc>
        <w:tc>
          <w:tcPr>
            <w:tcW w:w="325"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725" w:type="dxa"/>
            <w:tcBorders/>
            <w:shd w:fill="auto" w:val="clear"/>
            <w:vAlign w:val="center"/>
          </w:tcPr>
          <w:p>
            <w:pPr>
              <w:pStyle w:val="TableContents"/>
              <w:spacing w:before="0" w:after="283"/>
              <w:jc w:val="left"/>
              <w:rPr/>
            </w:pPr>
            <w:r>
              <w:rPr/>
              <w:t>Provision for doubtful accounts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1,187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jc w:val="left"/>
              <w:rPr/>
            </w:pPr>
            <w:r>
              <w:rPr/>
              <w:t> </w:t>
            </w:r>
          </w:p>
        </w:tc>
        <w:tc>
          <w:tcPr>
            <w:tcW w:w="325"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jc w:val="left"/>
              <w:rPr/>
            </w:pPr>
            <w:r>
              <w:rPr/>
              <w:t> </w:t>
            </w:r>
          </w:p>
        </w:tc>
      </w:tr>
      <w:tr>
        <w:trPr/>
        <w:tc>
          <w:tcPr>
            <w:tcW w:w="3725" w:type="dxa"/>
            <w:tcBorders/>
            <w:shd w:fill="CCEEFF" w:val="clear"/>
            <w:vAlign w:val="center"/>
          </w:tcPr>
          <w:p>
            <w:pPr>
              <w:pStyle w:val="TableContents"/>
              <w:spacing w:before="0" w:after="283"/>
              <w:jc w:val="left"/>
              <w:rPr/>
            </w:pPr>
            <w:r>
              <w:rPr/>
              <w:t>Other adjustments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174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725" w:type="dxa"/>
            <w:tcBorders/>
            <w:shd w:fill="auto" w:val="clear"/>
            <w:vAlign w:val="center"/>
          </w:tcPr>
          <w:p>
            <w:pPr>
              <w:pStyle w:val="TableContents"/>
              <w:spacing w:before="0" w:after="283"/>
              <w:jc w:val="left"/>
              <w:rPr/>
            </w:pPr>
            <w:r>
              <w:rPr/>
              <w:t>Balance as of the end of the year</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560" w:type="dxa"/>
            <w:tcBorders>
              <w:bottom w:val="double" w:sz="10" w:space="0" w:color="000000"/>
            </w:tcBorders>
            <w:shd w:fill="auto" w:val="clear"/>
            <w:tcMar>
              <w:bottom w:w="28" w:type="dxa"/>
            </w:tcMar>
            <w:vAlign w:val="center"/>
          </w:tcPr>
          <w:p>
            <w:pPr>
              <w:pStyle w:val="TableContents"/>
              <w:spacing w:before="0" w:after="283"/>
              <w:jc w:val="right"/>
              <w:rPr/>
            </w:pPr>
            <w:r>
              <w:rPr/>
              <w:t>1,415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5"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325" w:type="dxa"/>
            <w:tcBorders>
              <w:bottom w:val="double" w:sz="10" w:space="0" w:color="000000"/>
            </w:tcBorders>
            <w:shd w:fill="auto" w:val="clear"/>
            <w:tcMar>
              <w:bottom w:w="28" w:type="dxa"/>
            </w:tcM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Bad debt expense was $1.2 million and $54 thousand, for the year ended December 31, 2021 and 2020, respectively.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Inventory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with cost principally determined by the weighted average cost method on a first in first out basis. Such costs include the acquisition cost for raw materials and operating supplies. The Company’s standard payment terms with suppliers may require making payments in advance of delivery of the Company’s products. The prepaid inventory is short-term, non-bearing interest that is applied to the purchase of products once it is delivered. The Company reserves for slow-moving inventory and inventory that is being evaluated under the Company’s quality control process. The reserves are based upon management’s expected method of disposition.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 as of December 31, 2021 and December 31, 2020:</w:t>
      </w:r>
    </w:p>
    <w:p>
      <w:pPr>
        <w:pStyle w:val="TextBody"/>
        <w:spacing w:before="0" w:after="0"/>
        <w:ind w:left="0" w:right="0" w:firstLine="360"/>
        <w:rPr>
          <w:caps w:val="false"/>
          <w:smallCaps w:val="false"/>
        </w:rPr>
      </w:pPr>
      <w:r>
        <w:rPr>
          <w:caps w:val="false"/>
          <w:smallCaps w:val="false"/>
        </w:rPr>
        <w:t> </w:t>
      </w:r>
    </w:p>
    <w:tbl>
      <w:tblPr>
        <w:tblW w:w="6380" w:type="dxa"/>
        <w:jc w:val="left"/>
        <w:tblInd w:w="0" w:type="dxa"/>
        <w:tblCellMar>
          <w:top w:w="0" w:type="dxa"/>
          <w:left w:w="0" w:type="dxa"/>
          <w:bottom w:w="28" w:type="dxa"/>
          <w:right w:w="0" w:type="dxa"/>
        </w:tblCellMar>
      </w:tblPr>
      <w:tblGrid>
        <w:gridCol w:w="3260"/>
        <w:gridCol w:w="60"/>
        <w:gridCol w:w="241"/>
        <w:gridCol w:w="1174"/>
        <w:gridCol w:w="95"/>
        <w:gridCol w:w="60"/>
        <w:gridCol w:w="283"/>
        <w:gridCol w:w="1132"/>
        <w:gridCol w:w="75"/>
      </w:tblGrid>
      <w:tr>
        <w:trPr/>
        <w:tc>
          <w:tcPr>
            <w:tcW w:w="3260" w:type="dxa"/>
            <w:tcBorders>
              <w:bottom w:val="single" w:sz="12" w:space="0" w:color="000000"/>
            </w:tcBorders>
            <w:shd w:fill="auto" w:val="clear"/>
            <w:vAlign w:val="center"/>
          </w:tcPr>
          <w:p>
            <w:pPr>
              <w:pStyle w:val="TableContents"/>
              <w:spacing w:before="0" w:after="283"/>
              <w:jc w:val="left"/>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75" w:type="dxa"/>
            <w:tcBorders/>
            <w:shd w:fill="auto" w:val="clear"/>
            <w:tcMar>
              <w:bottom w:w="0" w:type="dxa"/>
            </w:tcMar>
            <w:vAlign w:val="center"/>
          </w:tcPr>
          <w:p>
            <w:pPr>
              <w:pStyle w:val="TableContents"/>
              <w:spacing w:before="0" w:after="283"/>
              <w:ind w:left="0" w:right="0" w:hanging="0"/>
              <w:rPr/>
            </w:pPr>
            <w:r>
              <w:rPr/>
              <w:t> </w:t>
            </w:r>
          </w:p>
        </w:tc>
      </w:tr>
      <w:tr>
        <w:trPr/>
        <w:tc>
          <w:tcPr>
            <w:tcW w:w="3260" w:type="dxa"/>
            <w:tcBorders/>
            <w:shd w:fill="CCEEFF" w:val="clear"/>
            <w:tcMar>
              <w:bottom w:w="0" w:type="dxa"/>
            </w:tcMar>
            <w:vAlign w:val="center"/>
          </w:tcPr>
          <w:p>
            <w:pPr>
              <w:pStyle w:val="TableContents"/>
              <w:spacing w:before="0" w:after="283"/>
              <w:jc w:val="left"/>
              <w:rPr/>
            </w:pPr>
            <w:r>
              <w:rPr/>
              <w:t>Raw materials</w:t>
            </w:r>
          </w:p>
        </w:tc>
        <w:tc>
          <w:tcPr>
            <w:tcW w:w="60" w:type="dxa"/>
            <w:tcBorders/>
            <w:shd w:fill="CCEEFF" w:val="clear"/>
            <w:tcMar>
              <w:bottom w:w="0" w:type="dxa"/>
            </w:tcMar>
            <w:vAlign w:val="center"/>
          </w:tcPr>
          <w:p>
            <w:pPr>
              <w:pStyle w:val="TableContents"/>
              <w:spacing w:before="0" w:after="283"/>
              <w:rPr/>
            </w:pPr>
            <w:r>
              <w:rPr/>
              <w:t> </w:t>
            </w:r>
          </w:p>
        </w:tc>
        <w:tc>
          <w:tcPr>
            <w:tcW w:w="241" w:type="dxa"/>
            <w:tcBorders/>
            <w:shd w:fill="CCEEFF" w:val="clear"/>
            <w:tcMar>
              <w:bottom w:w="0" w:type="dxa"/>
            </w:tcMar>
            <w:vAlign w:val="center"/>
          </w:tcPr>
          <w:p>
            <w:pPr>
              <w:pStyle w:val="TableContents"/>
              <w:spacing w:before="0" w:after="283"/>
              <w:jc w:val="left"/>
              <w:rPr/>
            </w:pPr>
            <w:r>
              <w:rPr/>
              <w:t>$</w:t>
            </w:r>
          </w:p>
        </w:tc>
        <w:tc>
          <w:tcPr>
            <w:tcW w:w="1174" w:type="dxa"/>
            <w:tcBorders/>
            <w:shd w:fill="CCEEFF" w:val="clear"/>
            <w:tcMar>
              <w:bottom w:w="0" w:type="dxa"/>
            </w:tcMar>
            <w:vAlign w:val="center"/>
          </w:tcPr>
          <w:p>
            <w:pPr>
              <w:pStyle w:val="TableContents"/>
              <w:spacing w:before="0" w:after="283"/>
              <w:jc w:val="right"/>
              <w:rPr/>
            </w:pPr>
            <w:r>
              <w:rPr/>
              <w:t>6,393</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283"/>
              <w:jc w:val="right"/>
              <w:rPr/>
            </w:pPr>
            <w:r>
              <w:rPr/>
              <w:t>4,337</w:t>
            </w:r>
          </w:p>
        </w:tc>
        <w:tc>
          <w:tcPr>
            <w:tcW w:w="75" w:type="dxa"/>
            <w:tcBorders/>
            <w:shd w:fill="CCEEFF" w:val="clear"/>
            <w:tcMar>
              <w:bottom w:w="0" w:type="dxa"/>
            </w:tcMar>
            <w:vAlign w:val="center"/>
          </w:tcPr>
          <w:p>
            <w:pPr>
              <w:pStyle w:val="TableContents"/>
              <w:spacing w:before="0" w:after="283"/>
              <w:ind w:left="0" w:right="0" w:hanging="0"/>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Prepaid inventory</w:t>
            </w:r>
          </w:p>
        </w:tc>
        <w:tc>
          <w:tcPr>
            <w:tcW w:w="60" w:type="dxa"/>
            <w:tcBorders/>
            <w:shd w:fill="auto" w:val="clear"/>
            <w:tcMar>
              <w:bottom w:w="0" w:type="dxa"/>
            </w:tcMar>
            <w:vAlign w:val="center"/>
          </w:tcPr>
          <w:p>
            <w:pPr>
              <w:pStyle w:val="TableContents"/>
              <w:spacing w:before="0" w:after="283"/>
              <w:rPr/>
            </w:pPr>
            <w:r>
              <w:rPr/>
              <w:t> </w:t>
            </w:r>
          </w:p>
        </w:tc>
        <w:tc>
          <w:tcPr>
            <w:tcW w:w="241" w:type="dxa"/>
            <w:tcBorders/>
            <w:shd w:fill="auto" w:val="clear"/>
            <w:tcMar>
              <w:bottom w:w="0" w:type="dxa"/>
            </w:tcMar>
            <w:vAlign w:val="center"/>
          </w:tcPr>
          <w:p>
            <w:pPr>
              <w:pStyle w:val="TableContents"/>
              <w:spacing w:before="0" w:after="283"/>
              <w:jc w:val="left"/>
              <w:rPr/>
            </w:pPr>
            <w:r>
              <w:rPr/>
              <w:t> </w:t>
            </w:r>
          </w:p>
        </w:tc>
        <w:tc>
          <w:tcPr>
            <w:tcW w:w="1174" w:type="dxa"/>
            <w:tcBorders/>
            <w:shd w:fill="auto" w:val="clear"/>
            <w:tcMar>
              <w:bottom w:w="0" w:type="dxa"/>
            </w:tcMar>
            <w:vAlign w:val="center"/>
          </w:tcPr>
          <w:p>
            <w:pPr>
              <w:pStyle w:val="TableContents"/>
              <w:spacing w:before="0" w:after="283"/>
              <w:jc w:val="right"/>
              <w:rPr/>
            </w:pPr>
            <w:r>
              <w:rPr/>
              <w:t>2,237</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833</w:t>
            </w:r>
          </w:p>
        </w:tc>
        <w:tc>
          <w:tcPr>
            <w:tcW w:w="75" w:type="dxa"/>
            <w:tcBorders/>
            <w:shd w:fill="auto" w:val="clear"/>
            <w:tcMar>
              <w:bottom w:w="0" w:type="dxa"/>
            </w:tcMar>
            <w:vAlign w:val="center"/>
          </w:tcPr>
          <w:p>
            <w:pPr>
              <w:pStyle w:val="TableContents"/>
              <w:spacing w:before="0" w:after="283"/>
              <w:ind w:left="0" w:right="0" w:hanging="0"/>
              <w:jc w:val="left"/>
              <w:rPr/>
            </w:pPr>
            <w:r>
              <w:rPr/>
              <w:t> </w:t>
            </w:r>
          </w:p>
        </w:tc>
      </w:tr>
      <w:tr>
        <w:trPr/>
        <w:tc>
          <w:tcPr>
            <w:tcW w:w="3260" w:type="dxa"/>
            <w:tcBorders/>
            <w:shd w:fill="CCEEFF" w:val="clear"/>
            <w:tcMar>
              <w:bottom w:w="0" w:type="dxa"/>
            </w:tcMar>
            <w:vAlign w:val="center"/>
          </w:tcPr>
          <w:p>
            <w:pPr>
              <w:pStyle w:val="TableContents"/>
              <w:spacing w:before="0" w:after="283"/>
              <w:jc w:val="left"/>
              <w:rPr/>
            </w:pPr>
            <w:r>
              <w:rPr/>
              <w:t>Finished goods</w:t>
            </w:r>
          </w:p>
        </w:tc>
        <w:tc>
          <w:tcPr>
            <w:tcW w:w="60" w:type="dxa"/>
            <w:tcBorders/>
            <w:shd w:fill="CCEEFF" w:val="clear"/>
            <w:tcMar>
              <w:bottom w:w="0" w:type="dxa"/>
            </w:tcMar>
            <w:vAlign w:val="center"/>
          </w:tcPr>
          <w:p>
            <w:pPr>
              <w:pStyle w:val="TableContents"/>
              <w:spacing w:before="0" w:after="283"/>
              <w:rPr/>
            </w:pPr>
            <w:r>
              <w:rPr/>
              <w:t> </w:t>
            </w:r>
          </w:p>
        </w:tc>
        <w:tc>
          <w:tcPr>
            <w:tcW w:w="241" w:type="dxa"/>
            <w:tcBorders>
              <w:bottom w:val="single" w:sz="12" w:space="0" w:color="000000"/>
            </w:tcBorders>
            <w:shd w:fill="CCEEFF" w:val="clear"/>
            <w:vAlign w:val="center"/>
          </w:tcPr>
          <w:p>
            <w:pPr>
              <w:pStyle w:val="TableContents"/>
              <w:spacing w:before="0" w:after="283"/>
              <w:jc w:val="left"/>
              <w:rPr/>
            </w:pPr>
            <w:r>
              <w:rPr/>
              <w:t> </w:t>
            </w:r>
          </w:p>
        </w:tc>
        <w:tc>
          <w:tcPr>
            <w:tcW w:w="1174" w:type="dxa"/>
            <w:tcBorders>
              <w:bottom w:val="single" w:sz="12" w:space="0" w:color="000000"/>
            </w:tcBorders>
            <w:shd w:fill="CCEEFF" w:val="clear"/>
            <w:vAlign w:val="center"/>
          </w:tcPr>
          <w:p>
            <w:pPr>
              <w:pStyle w:val="TableContents"/>
              <w:spacing w:before="0" w:after="0"/>
              <w:ind w:left="0" w:right="0" w:hanging="0"/>
              <w:jc w:val="right"/>
              <w:rPr/>
            </w:pPr>
            <w:r>
              <w:rPr/>
              <w:t>12,810</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single" w:sz="12" w:space="0" w:color="000000"/>
            </w:tcBorders>
            <w:shd w:fill="CCEEFF" w:val="clear"/>
            <w:vAlign w:val="center"/>
          </w:tcPr>
          <w:p>
            <w:pPr>
              <w:pStyle w:val="TableContents"/>
              <w:spacing w:before="0" w:after="283"/>
              <w:jc w:val="left"/>
              <w:rPr/>
            </w:pPr>
            <w:r>
              <w:rPr/>
              <w:t> </w:t>
            </w:r>
          </w:p>
        </w:tc>
        <w:tc>
          <w:tcPr>
            <w:tcW w:w="1132" w:type="dxa"/>
            <w:tcBorders>
              <w:bottom w:val="single" w:sz="12" w:space="0" w:color="000000"/>
            </w:tcBorders>
            <w:shd w:fill="CCEEFF" w:val="cle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ind w:left="0" w:right="0" w:hanging="0"/>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Gross inventory</w:t>
            </w:r>
          </w:p>
        </w:tc>
        <w:tc>
          <w:tcPr>
            <w:tcW w:w="60" w:type="dxa"/>
            <w:tcBorders/>
            <w:shd w:fill="auto" w:val="clear"/>
            <w:tcMar>
              <w:bottom w:w="0" w:type="dxa"/>
            </w:tcMar>
            <w:vAlign w:val="center"/>
          </w:tcPr>
          <w:p>
            <w:pPr>
              <w:pStyle w:val="TableContents"/>
              <w:spacing w:before="0" w:after="283"/>
              <w:rPr/>
            </w:pPr>
            <w:r>
              <w:rPr/>
              <w:t> </w:t>
            </w:r>
          </w:p>
        </w:tc>
        <w:tc>
          <w:tcPr>
            <w:tcW w:w="241" w:type="dxa"/>
            <w:tcBorders/>
            <w:shd w:fill="auto" w:val="clear"/>
            <w:tcMar>
              <w:bottom w:w="0" w:type="dxa"/>
            </w:tcMar>
            <w:vAlign w:val="center"/>
          </w:tcPr>
          <w:p>
            <w:pPr>
              <w:pStyle w:val="TableContents"/>
              <w:spacing w:before="0" w:after="283"/>
              <w:jc w:val="left"/>
              <w:rPr/>
            </w:pPr>
            <w:r>
              <w:rPr/>
              <w:t> </w:t>
            </w:r>
          </w:p>
        </w:tc>
        <w:tc>
          <w:tcPr>
            <w:tcW w:w="1174" w:type="dxa"/>
            <w:tcBorders/>
            <w:shd w:fill="auto" w:val="clear"/>
            <w:tcMar>
              <w:bottom w:w="0" w:type="dxa"/>
            </w:tcMar>
            <w:vAlign w:val="center"/>
          </w:tcPr>
          <w:p>
            <w:pPr>
              <w:pStyle w:val="TableContents"/>
              <w:spacing w:before="0" w:after="283"/>
              <w:jc w:val="right"/>
              <w:rPr/>
            </w:pPr>
            <w:r>
              <w:rPr/>
              <w:t>21,440</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5,170</w:t>
            </w:r>
          </w:p>
        </w:tc>
        <w:tc>
          <w:tcPr>
            <w:tcW w:w="75" w:type="dxa"/>
            <w:tcBorders/>
            <w:shd w:fill="auto" w:val="clear"/>
            <w:tcMar>
              <w:bottom w:w="0" w:type="dxa"/>
            </w:tcMar>
            <w:vAlign w:val="center"/>
          </w:tcPr>
          <w:p>
            <w:pPr>
              <w:pStyle w:val="TableContents"/>
              <w:spacing w:before="0" w:after="283"/>
              <w:ind w:left="0" w:right="0" w:hanging="0"/>
              <w:jc w:val="left"/>
              <w:rPr/>
            </w:pPr>
            <w:r>
              <w:rPr/>
              <w:t> </w:t>
            </w:r>
          </w:p>
        </w:tc>
      </w:tr>
      <w:tr>
        <w:trPr/>
        <w:tc>
          <w:tcPr>
            <w:tcW w:w="3260" w:type="dxa"/>
            <w:tcBorders/>
            <w:shd w:fill="CCEEFF" w:val="clear"/>
            <w:tcMar>
              <w:bottom w:w="0" w:type="dxa"/>
            </w:tcMar>
            <w:vAlign w:val="center"/>
          </w:tcPr>
          <w:p>
            <w:pPr>
              <w:pStyle w:val="TableContents"/>
              <w:spacing w:before="0" w:after="283"/>
              <w:jc w:val="left"/>
              <w:rPr/>
            </w:pPr>
            <w:r>
              <w:rPr/>
              <w:t>Inventory reserves</w:t>
            </w:r>
          </w:p>
        </w:tc>
        <w:tc>
          <w:tcPr>
            <w:tcW w:w="60" w:type="dxa"/>
            <w:tcBorders/>
            <w:shd w:fill="CCEEFF" w:val="clear"/>
            <w:tcMar>
              <w:bottom w:w="0" w:type="dxa"/>
            </w:tcMar>
            <w:vAlign w:val="center"/>
          </w:tcPr>
          <w:p>
            <w:pPr>
              <w:pStyle w:val="TableContents"/>
              <w:spacing w:before="0" w:after="283"/>
              <w:rPr/>
            </w:pPr>
            <w:r>
              <w:rPr/>
              <w:t> </w:t>
            </w:r>
          </w:p>
        </w:tc>
        <w:tc>
          <w:tcPr>
            <w:tcW w:w="241" w:type="dxa"/>
            <w:tcBorders>
              <w:bottom w:val="single" w:sz="12" w:space="0" w:color="000000"/>
            </w:tcBorders>
            <w:shd w:fill="CCEEFF" w:val="clear"/>
            <w:vAlign w:val="center"/>
          </w:tcPr>
          <w:p>
            <w:pPr>
              <w:pStyle w:val="TableContents"/>
              <w:spacing w:before="0" w:after="283"/>
              <w:jc w:val="left"/>
              <w:rPr/>
            </w:pPr>
            <w:r>
              <w:rPr/>
              <w:t> </w:t>
            </w:r>
          </w:p>
        </w:tc>
        <w:tc>
          <w:tcPr>
            <w:tcW w:w="1174" w:type="dxa"/>
            <w:tcBorders>
              <w:bottom w:val="single" w:sz="12" w:space="0" w:color="000000"/>
            </w:tcBorders>
            <w:shd w:fill="CCEEFF" w:val="clear"/>
            <w:vAlign w:val="center"/>
          </w:tcPr>
          <w:p>
            <w:pPr>
              <w:pStyle w:val="TableContents"/>
              <w:spacing w:before="0" w:after="283"/>
              <w:jc w:val="right"/>
              <w:rPr/>
            </w:pPr>
            <w:r>
              <w:rPr/>
              <w:t>(942</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single" w:sz="12" w:space="0" w:color="000000"/>
            </w:tcBorders>
            <w:shd w:fill="CCEEFF" w:val="clear"/>
            <w:vAlign w:val="center"/>
          </w:tcPr>
          <w:p>
            <w:pPr>
              <w:pStyle w:val="TableContents"/>
              <w:spacing w:before="0" w:after="283"/>
              <w:jc w:val="left"/>
              <w:rPr/>
            </w:pPr>
            <w:r>
              <w:rPr/>
              <w:t> </w:t>
            </w:r>
          </w:p>
        </w:tc>
        <w:tc>
          <w:tcPr>
            <w:tcW w:w="1132" w:type="dxa"/>
            <w:tcBorders>
              <w:bottom w:val="single" w:sz="12" w:space="0" w:color="000000"/>
            </w:tcBorders>
            <w:shd w:fill="CCEEFF" w:val="cle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ind w:left="0" w:right="0" w:hanging="0"/>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Total inventory, net</w:t>
            </w:r>
          </w:p>
        </w:tc>
        <w:tc>
          <w:tcPr>
            <w:tcW w:w="60" w:type="dxa"/>
            <w:tcBorders/>
            <w:shd w:fill="auto" w:val="clear"/>
            <w:tcMar>
              <w:bottom w:w="0" w:type="dxa"/>
            </w:tcMar>
            <w:vAlign w:val="center"/>
          </w:tcPr>
          <w:p>
            <w:pPr>
              <w:pStyle w:val="TableContents"/>
              <w:spacing w:before="0" w:after="283"/>
              <w:rPr/>
            </w:pPr>
            <w:r>
              <w:rPr/>
              <w:t> </w:t>
            </w:r>
          </w:p>
        </w:tc>
        <w:tc>
          <w:tcPr>
            <w:tcW w:w="241" w:type="dxa"/>
            <w:tcBorders>
              <w:bottom w:val="double" w:sz="10" w:space="0" w:color="000000"/>
            </w:tcBorders>
            <w:shd w:fill="auto" w:val="clear"/>
            <w:vAlign w:val="center"/>
          </w:tcPr>
          <w:p>
            <w:pPr>
              <w:pStyle w:val="TableContents"/>
              <w:spacing w:before="0" w:after="283"/>
              <w:jc w:val="left"/>
              <w:rPr/>
            </w:pPr>
            <w:r>
              <w:rPr/>
              <w:t>$</w:t>
            </w:r>
          </w:p>
        </w:tc>
        <w:tc>
          <w:tcPr>
            <w:tcW w:w="1174" w:type="dxa"/>
            <w:tcBorders>
              <w:bottom w:val="double" w:sz="10" w:space="0" w:color="000000"/>
            </w:tcBorders>
            <w:shd w:fill="auto" w:val="clear"/>
            <w:vAlign w:val="center"/>
          </w:tcPr>
          <w:p>
            <w:pPr>
              <w:pStyle w:val="TableContents"/>
              <w:spacing w:before="0" w:after="283"/>
              <w:jc w:val="right"/>
              <w:rPr/>
            </w:pPr>
            <w:r>
              <w:rPr/>
              <w:t>20,498</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double" w:sz="10" w:space="0" w:color="000000"/>
            </w:tcBorders>
            <w:shd w:fill="auto" w:val="clear"/>
            <w:vAlign w:val="center"/>
          </w:tcPr>
          <w:p>
            <w:pPr>
              <w:pStyle w:val="TableContents"/>
              <w:spacing w:before="0" w:after="283"/>
              <w:jc w:val="left"/>
              <w:rPr/>
            </w:pPr>
            <w:r>
              <w:rPr/>
              <w:t>$</w:t>
            </w:r>
          </w:p>
        </w:tc>
        <w:tc>
          <w:tcPr>
            <w:tcW w:w="1132" w:type="dxa"/>
            <w:tcBorders>
              <w:bottom w:val="double" w:sz="10" w:space="0" w:color="000000"/>
            </w:tcBorders>
            <w:shd w:fill="auto" w:val="clear"/>
            <w:vAlign w:val="center"/>
          </w:tcPr>
          <w:p>
            <w:pPr>
              <w:pStyle w:val="TableContents"/>
              <w:spacing w:before="0" w:after="283"/>
              <w:jc w:val="right"/>
              <w:rPr/>
            </w:pPr>
            <w:r>
              <w:rPr/>
              <w:t>5,170</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Reserves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inventory reserves for obsolete, slow moving and defective items. Inventory reserves for obsolete, slow moving or defective items are calculated as the difference between the cost of inventory and its estimated net realizable value. Changes in inventory reserve are as follows:</w:t>
      </w:r>
    </w:p>
    <w:p>
      <w:pPr>
        <w:pStyle w:val="TextBody"/>
        <w:spacing w:before="0" w:after="0"/>
        <w:ind w:left="0" w:right="0" w:firstLine="360"/>
        <w:rPr>
          <w:caps w:val="false"/>
          <w:smallCaps w:val="false"/>
        </w:rPr>
      </w:pPr>
      <w:r>
        <w:rPr>
          <w:caps w:val="false"/>
          <w:smallCaps w:val="false"/>
        </w:rPr>
        <w:t> </w:t>
      </w:r>
    </w:p>
    <w:tbl>
      <w:tblPr>
        <w:tblW w:w="7169" w:type="dxa"/>
        <w:jc w:val="left"/>
        <w:tblInd w:w="0" w:type="dxa"/>
        <w:tblCellMar>
          <w:top w:w="0" w:type="dxa"/>
          <w:left w:w="0" w:type="dxa"/>
          <w:bottom w:w="28" w:type="dxa"/>
          <w:right w:w="0" w:type="dxa"/>
        </w:tblCellMar>
      </w:tblPr>
      <w:tblGrid>
        <w:gridCol w:w="4025"/>
        <w:gridCol w:w="60"/>
        <w:gridCol w:w="396"/>
        <w:gridCol w:w="1078"/>
        <w:gridCol w:w="60"/>
        <w:gridCol w:w="60"/>
        <w:gridCol w:w="283"/>
        <w:gridCol w:w="1132"/>
        <w:gridCol w:w="75"/>
      </w:tblGrid>
      <w:tr>
        <w:trPr/>
        <w:tc>
          <w:tcPr>
            <w:tcW w:w="402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75" w:type="dxa"/>
            <w:tcBorders/>
            <w:shd w:fill="auto" w:val="clear"/>
            <w:tcMar>
              <w:bottom w:w="0" w:type="dxa"/>
            </w:tcMar>
            <w:vAlign w:val="center"/>
          </w:tcPr>
          <w:p>
            <w:pPr>
              <w:pStyle w:val="TableContents"/>
              <w:spacing w:before="0" w:after="283"/>
              <w:ind w:left="0" w:right="0" w:hanging="0"/>
              <w:rPr/>
            </w:pPr>
            <w:r>
              <w:rPr/>
              <w:t> </w:t>
            </w:r>
          </w:p>
        </w:tc>
      </w:tr>
      <w:tr>
        <w:trPr/>
        <w:tc>
          <w:tcPr>
            <w:tcW w:w="4025" w:type="dxa"/>
            <w:tcBorders/>
            <w:shd w:fill="CCEEFF" w:val="clear"/>
            <w:tcMar>
              <w:bottom w:w="0" w:type="dxa"/>
            </w:tcMar>
            <w:vAlign w:val="center"/>
          </w:tcPr>
          <w:p>
            <w:pPr>
              <w:pStyle w:val="TableContents"/>
              <w:spacing w:before="0" w:after="283"/>
              <w:jc w:val="left"/>
              <w:rPr/>
            </w:pPr>
            <w:r>
              <w:rPr/>
              <w:t>Inventory reserves – beginning of the year</w:t>
            </w:r>
          </w:p>
        </w:tc>
        <w:tc>
          <w:tcPr>
            <w:tcW w:w="60" w:type="dxa"/>
            <w:tcBorders/>
            <w:shd w:fill="CCEEFF" w:val="clear"/>
            <w:tcMar>
              <w:bottom w:w="0" w:type="dxa"/>
            </w:tcMar>
            <w:vAlign w:val="center"/>
          </w:tcPr>
          <w:p>
            <w:pPr>
              <w:pStyle w:val="TableContents"/>
              <w:spacing w:before="0" w:after="283"/>
              <w:rPr/>
            </w:pPr>
            <w:r>
              <w:rPr/>
              <w:t> </w:t>
            </w:r>
          </w:p>
        </w:tc>
        <w:tc>
          <w:tcPr>
            <w:tcW w:w="396" w:type="dxa"/>
            <w:tcBorders/>
            <w:shd w:fill="CCEEFF" w:val="clear"/>
            <w:tcMar>
              <w:bottom w:w="0" w:type="dxa"/>
            </w:tcMar>
            <w:vAlign w:val="center"/>
          </w:tcPr>
          <w:p>
            <w:pPr>
              <w:pStyle w:val="TableContents"/>
              <w:spacing w:before="0" w:after="283"/>
              <w:jc w:val="left"/>
              <w:rPr/>
            </w:pPr>
            <w:r>
              <w:rPr/>
              <w:t>$</w:t>
            </w:r>
          </w:p>
        </w:tc>
        <w:tc>
          <w:tcPr>
            <w:tcW w:w="1078"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ind w:left="0" w:right="0" w:hanging="0"/>
              <w:jc w:val="left"/>
              <w:rPr/>
            </w:pPr>
            <w:r>
              <w:rPr/>
              <w:t> </w:t>
            </w:r>
          </w:p>
        </w:tc>
      </w:tr>
      <w:tr>
        <w:trPr/>
        <w:tc>
          <w:tcPr>
            <w:tcW w:w="4025" w:type="dxa"/>
            <w:tcBorders/>
            <w:shd w:fill="auto" w:val="clear"/>
            <w:tcMar>
              <w:bottom w:w="0" w:type="dxa"/>
            </w:tcMar>
            <w:vAlign w:val="center"/>
          </w:tcPr>
          <w:p>
            <w:pPr>
              <w:pStyle w:val="TableContents"/>
              <w:spacing w:before="0" w:after="283"/>
              <w:jc w:val="left"/>
              <w:rPr/>
            </w:pPr>
            <w:r>
              <w:rPr/>
              <w:t>Increase in inventory reserves</w:t>
            </w:r>
          </w:p>
        </w:tc>
        <w:tc>
          <w:tcPr>
            <w:tcW w:w="60" w:type="dxa"/>
            <w:tcBorders/>
            <w:shd w:fill="auto" w:val="clear"/>
            <w:tcMar>
              <w:bottom w:w="0" w:type="dxa"/>
            </w:tcMar>
            <w:vAlign w:val="center"/>
          </w:tcPr>
          <w:p>
            <w:pPr>
              <w:pStyle w:val="TableContents"/>
              <w:spacing w:before="0" w:after="283"/>
              <w:rPr/>
            </w:pPr>
            <w:r>
              <w:rPr/>
              <w:t> </w:t>
            </w:r>
          </w:p>
        </w:tc>
        <w:tc>
          <w:tcPr>
            <w:tcW w:w="396" w:type="dxa"/>
            <w:tcBorders/>
            <w:shd w:fill="auto" w:val="clear"/>
            <w:tcMar>
              <w:bottom w:w="0" w:type="dxa"/>
            </w:tcMar>
            <w:vAlign w:val="center"/>
          </w:tcPr>
          <w:p>
            <w:pPr>
              <w:pStyle w:val="TableContents"/>
              <w:spacing w:before="0" w:after="283"/>
              <w:jc w:val="left"/>
              <w:rPr/>
            </w:pPr>
            <w:r>
              <w:rPr/>
              <w:t> </w:t>
            </w:r>
          </w:p>
        </w:tc>
        <w:tc>
          <w:tcPr>
            <w:tcW w:w="1078" w:type="dxa"/>
            <w:tcBorders/>
            <w:shd w:fill="auto" w:val="clear"/>
            <w:tcMar>
              <w:bottom w:w="0" w:type="dxa"/>
            </w:tcMar>
            <w:vAlign w:val="center"/>
          </w:tcPr>
          <w:p>
            <w:pPr>
              <w:pStyle w:val="TableContents"/>
              <w:spacing w:before="0" w:after="283"/>
              <w:jc w:val="right"/>
              <w:rPr/>
            </w:pPr>
            <w:r>
              <w:rPr/>
              <w:t>942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ind w:left="0" w:right="0" w:hanging="0"/>
              <w:jc w:val="left"/>
              <w:rPr/>
            </w:pPr>
            <w:r>
              <w:rPr/>
              <w:t> </w:t>
            </w:r>
          </w:p>
        </w:tc>
      </w:tr>
      <w:tr>
        <w:trPr/>
        <w:tc>
          <w:tcPr>
            <w:tcW w:w="4025" w:type="dxa"/>
            <w:tcBorders/>
            <w:shd w:fill="CCEEFF" w:val="clear"/>
            <w:tcMar>
              <w:bottom w:w="0" w:type="dxa"/>
            </w:tcMar>
            <w:vAlign w:val="center"/>
          </w:tcPr>
          <w:p>
            <w:pPr>
              <w:pStyle w:val="TableContents"/>
              <w:spacing w:before="0" w:after="283"/>
              <w:jc w:val="left"/>
              <w:rPr/>
            </w:pPr>
            <w:r>
              <w:rPr/>
              <w:t>Inventory write-offs</w:t>
            </w:r>
          </w:p>
        </w:tc>
        <w:tc>
          <w:tcPr>
            <w:tcW w:w="60" w:type="dxa"/>
            <w:tcBorders/>
            <w:shd w:fill="CCEEFF" w:val="clear"/>
            <w:tcMar>
              <w:bottom w:w="0" w:type="dxa"/>
            </w:tcMar>
            <w:vAlign w:val="center"/>
          </w:tcPr>
          <w:p>
            <w:pPr>
              <w:pStyle w:val="TableContents"/>
              <w:spacing w:before="0" w:after="283"/>
              <w:rPr/>
            </w:pPr>
            <w:r>
              <w:rPr/>
              <w:t> </w:t>
            </w:r>
          </w:p>
        </w:tc>
        <w:tc>
          <w:tcPr>
            <w:tcW w:w="396" w:type="dxa"/>
            <w:tcBorders>
              <w:bottom w:val="single" w:sz="12" w:space="0" w:color="000000"/>
            </w:tcBorders>
            <w:shd w:fill="CCEEFF" w:val="clear"/>
            <w:vAlign w:val="center"/>
          </w:tcPr>
          <w:p>
            <w:pPr>
              <w:pStyle w:val="TableContents"/>
              <w:spacing w:before="0" w:after="283"/>
              <w:jc w:val="left"/>
              <w:rPr/>
            </w:pPr>
            <w:r>
              <w:rPr/>
              <w:t> </w:t>
            </w:r>
          </w:p>
        </w:tc>
        <w:tc>
          <w:tcPr>
            <w:tcW w:w="1078" w:type="dxa"/>
            <w:tcBorders>
              <w:bottom w:val="single" w:sz="12" w:space="0" w:color="000000"/>
            </w:tcBorders>
            <w:shd w:fill="CCEEFF" w:val="cle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single" w:sz="12" w:space="0" w:color="000000"/>
            </w:tcBorders>
            <w:shd w:fill="CCEEFF" w:val="clear"/>
            <w:vAlign w:val="center"/>
          </w:tcPr>
          <w:p>
            <w:pPr>
              <w:pStyle w:val="TableContents"/>
              <w:spacing w:before="0" w:after="283"/>
              <w:jc w:val="left"/>
              <w:rPr/>
            </w:pPr>
            <w:r>
              <w:rPr/>
              <w:t> </w:t>
            </w:r>
          </w:p>
        </w:tc>
        <w:tc>
          <w:tcPr>
            <w:tcW w:w="1132" w:type="dxa"/>
            <w:tcBorders>
              <w:bottom w:val="single" w:sz="12" w:space="0" w:color="000000"/>
            </w:tcBorders>
            <w:shd w:fill="CCEEFF" w:val="cle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ind w:left="0" w:right="0" w:hanging="0"/>
              <w:jc w:val="left"/>
              <w:rPr/>
            </w:pPr>
            <w:r>
              <w:rPr/>
              <w:t> </w:t>
            </w:r>
          </w:p>
        </w:tc>
      </w:tr>
      <w:tr>
        <w:trPr/>
        <w:tc>
          <w:tcPr>
            <w:tcW w:w="4025" w:type="dxa"/>
            <w:tcBorders/>
            <w:shd w:fill="auto" w:val="clear"/>
            <w:tcMar>
              <w:bottom w:w="0" w:type="dxa"/>
            </w:tcMar>
            <w:vAlign w:val="center"/>
          </w:tcPr>
          <w:p>
            <w:pPr>
              <w:pStyle w:val="TableContents"/>
              <w:spacing w:before="0" w:after="283"/>
              <w:jc w:val="left"/>
              <w:rPr/>
            </w:pPr>
            <w:r>
              <w:rPr/>
              <w:t>Inventory reserves – end of year</w:t>
            </w:r>
          </w:p>
        </w:tc>
        <w:tc>
          <w:tcPr>
            <w:tcW w:w="60" w:type="dxa"/>
            <w:tcBorders/>
            <w:shd w:fill="auto" w:val="clear"/>
            <w:tcMar>
              <w:bottom w:w="0" w:type="dxa"/>
            </w:tcMar>
            <w:vAlign w:val="center"/>
          </w:tcPr>
          <w:p>
            <w:pPr>
              <w:pStyle w:val="TableContents"/>
              <w:spacing w:before="0" w:after="283"/>
              <w:rPr/>
            </w:pPr>
            <w:r>
              <w:rPr/>
              <w:t> </w:t>
            </w:r>
          </w:p>
        </w:tc>
        <w:tc>
          <w:tcPr>
            <w:tcW w:w="396" w:type="dxa"/>
            <w:tcBorders>
              <w:bottom w:val="double" w:sz="10" w:space="0" w:color="000000"/>
            </w:tcBorders>
            <w:shd w:fill="auto" w:val="clear"/>
            <w:vAlign w:val="center"/>
          </w:tcPr>
          <w:p>
            <w:pPr>
              <w:pStyle w:val="TableContents"/>
              <w:spacing w:before="0" w:after="283"/>
              <w:jc w:val="left"/>
              <w:rPr/>
            </w:pPr>
            <w:r>
              <w:rPr/>
              <w:t>$</w:t>
            </w:r>
          </w:p>
        </w:tc>
        <w:tc>
          <w:tcPr>
            <w:tcW w:w="1078" w:type="dxa"/>
            <w:tcBorders>
              <w:bottom w:val="double" w:sz="10" w:space="0" w:color="000000"/>
            </w:tcBorders>
            <w:shd w:fill="auto" w:val="clear"/>
            <w:vAlign w:val="center"/>
          </w:tcPr>
          <w:p>
            <w:pPr>
              <w:pStyle w:val="TableContents"/>
              <w:spacing w:before="0" w:after="283"/>
              <w:jc w:val="right"/>
              <w:rPr/>
            </w:pPr>
            <w:r>
              <w:rPr/>
              <w:t>942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double" w:sz="10" w:space="0" w:color="000000"/>
            </w:tcBorders>
            <w:shd w:fill="auto" w:val="clear"/>
            <w:vAlign w:val="center"/>
          </w:tcPr>
          <w:p>
            <w:pPr>
              <w:pStyle w:val="TableContents"/>
              <w:spacing w:before="0" w:after="283"/>
              <w:jc w:val="left"/>
              <w:rPr/>
            </w:pPr>
            <w:r>
              <w:rPr/>
              <w:t>$</w:t>
            </w:r>
          </w:p>
        </w:tc>
        <w:tc>
          <w:tcPr>
            <w:tcW w:w="1132" w:type="dxa"/>
            <w:tcBorders>
              <w:bottom w:val="double" w:sz="10" w:space="0" w:color="000000"/>
            </w:tcBorders>
            <w:shd w:fill="auto" w:val="clear"/>
            <w:vAlign w:val="center"/>
          </w:tcPr>
          <w:p>
            <w:pPr>
              <w:pStyle w:val="TableContents"/>
              <w:spacing w:before="0" w:after="0"/>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Prepaid Expenses and Other Current Assets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 2021 and December 31, 2020:</w:t>
      </w:r>
    </w:p>
    <w:p>
      <w:pPr>
        <w:pStyle w:val="TextBody"/>
        <w:spacing w:before="0" w:after="0"/>
        <w:ind w:left="0" w:right="0" w:firstLine="360"/>
        <w:rPr>
          <w:caps w:val="false"/>
          <w:smallCaps w:val="false"/>
        </w:rPr>
      </w:pPr>
      <w:r>
        <w:rPr>
          <w:caps w:val="false"/>
          <w:smallCaps w:val="false"/>
        </w:rPr>
        <w:t> </w:t>
      </w:r>
    </w:p>
    <w:tbl>
      <w:tblPr>
        <w:tblW w:w="7080" w:type="dxa"/>
        <w:jc w:val="left"/>
        <w:tblInd w:w="0" w:type="dxa"/>
        <w:tblCellMar>
          <w:top w:w="0" w:type="dxa"/>
          <w:left w:w="0" w:type="dxa"/>
          <w:bottom w:w="28" w:type="dxa"/>
          <w:right w:w="0" w:type="dxa"/>
        </w:tblCellMar>
      </w:tblPr>
      <w:tblGrid>
        <w:gridCol w:w="3935"/>
        <w:gridCol w:w="60"/>
        <w:gridCol w:w="295"/>
        <w:gridCol w:w="1180"/>
        <w:gridCol w:w="60"/>
        <w:gridCol w:w="60"/>
        <w:gridCol w:w="380"/>
        <w:gridCol w:w="1035"/>
        <w:gridCol w:w="75"/>
      </w:tblGrid>
      <w:tr>
        <w:trPr/>
        <w:tc>
          <w:tcPr>
            <w:tcW w:w="393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5"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75" w:type="dxa"/>
            <w:tcBorders/>
            <w:shd w:fill="auto" w:val="clear"/>
            <w:tcMar>
              <w:bottom w:w="0" w:type="dxa"/>
            </w:tcMar>
            <w:vAlign w:val="center"/>
          </w:tcPr>
          <w:p>
            <w:pPr>
              <w:pStyle w:val="TableContents"/>
              <w:spacing w:before="0" w:after="283"/>
              <w:rPr/>
            </w:pPr>
            <w:r>
              <w:rPr/>
              <w:t> </w:t>
            </w:r>
          </w:p>
        </w:tc>
      </w:tr>
      <w:tr>
        <w:trPr/>
        <w:tc>
          <w:tcPr>
            <w:tcW w:w="3935" w:type="dxa"/>
            <w:tcBorders/>
            <w:shd w:fill="CCEEFF" w:val="clear"/>
            <w:tcMar>
              <w:bottom w:w="0" w:type="dxa"/>
            </w:tcMar>
            <w:vAlign w:val="center"/>
          </w:tcPr>
          <w:p>
            <w:pPr>
              <w:pStyle w:val="TableContents"/>
              <w:spacing w:before="0" w:after="283"/>
              <w:jc w:val="left"/>
              <w:rPr/>
            </w:pPr>
            <w:r>
              <w:rPr/>
              <w:t>Prepaid insurance</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180" w:type="dxa"/>
            <w:tcBorders/>
            <w:shd w:fill="CCEEFF" w:val="clear"/>
            <w:tcMar>
              <w:bottom w:w="0" w:type="dxa"/>
            </w:tcMar>
            <w:vAlign w:val="center"/>
          </w:tcPr>
          <w:p>
            <w:pPr>
              <w:pStyle w:val="TableContents"/>
              <w:spacing w:before="0" w:after="283"/>
              <w:jc w:val="right"/>
              <w:rPr/>
            </w:pPr>
            <w:r>
              <w:rPr/>
              <w:t>492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w:t>
            </w:r>
          </w:p>
        </w:tc>
        <w:tc>
          <w:tcPr>
            <w:tcW w:w="1035"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35" w:type="dxa"/>
            <w:tcBorders/>
            <w:shd w:fill="auto" w:val="clear"/>
            <w:tcMar>
              <w:bottom w:w="0" w:type="dxa"/>
            </w:tcMar>
            <w:vAlign w:val="center"/>
          </w:tcPr>
          <w:p>
            <w:pPr>
              <w:pStyle w:val="TableContents"/>
              <w:spacing w:before="0" w:after="283"/>
              <w:jc w:val="left"/>
              <w:rPr/>
            </w:pPr>
            <w:r>
              <w:rPr/>
              <w:t>Prepaid software</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173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shd w:fill="auto" w:val="clear"/>
            <w:tcMar>
              <w:bottom w:w="0" w:type="dxa"/>
            </w:tcMar>
            <w:vAlign w:val="center"/>
          </w:tcPr>
          <w:p>
            <w:pPr>
              <w:pStyle w:val="TableContents"/>
              <w:spacing w:before="0" w:after="283"/>
              <w:jc w:val="left"/>
              <w:rPr/>
            </w:pPr>
            <w:r>
              <w:rPr/>
              <w:t> </w:t>
            </w:r>
          </w:p>
        </w:tc>
        <w:tc>
          <w:tcPr>
            <w:tcW w:w="1035" w:type="dxa"/>
            <w:tcBorders/>
            <w:shd w:fill="auto" w:val="clear"/>
            <w:tcMar>
              <w:bottom w:w="0" w:type="dxa"/>
            </w:tcMar>
            <w:vAlign w:val="center"/>
          </w:tcPr>
          <w:p>
            <w:pPr>
              <w:pStyle w:val="TableContents"/>
              <w:spacing w:before="0" w:after="283"/>
              <w:jc w:val="right"/>
              <w:rPr/>
            </w:pPr>
            <w:r>
              <w:rPr/>
              <w:t>48</w:t>
            </w:r>
          </w:p>
        </w:tc>
        <w:tc>
          <w:tcPr>
            <w:tcW w:w="75" w:type="dxa"/>
            <w:tcBorders/>
            <w:shd w:fill="auto" w:val="clear"/>
            <w:tcMar>
              <w:bottom w:w="0" w:type="dxa"/>
            </w:tcMar>
            <w:vAlign w:val="center"/>
          </w:tcPr>
          <w:p>
            <w:pPr>
              <w:pStyle w:val="TableContents"/>
              <w:spacing w:before="0" w:after="283"/>
              <w:jc w:val="left"/>
              <w:rPr/>
            </w:pPr>
            <w:r>
              <w:rPr/>
              <w:t> </w:t>
            </w:r>
          </w:p>
        </w:tc>
      </w:tr>
      <w:tr>
        <w:trPr/>
        <w:tc>
          <w:tcPr>
            <w:tcW w:w="3935" w:type="dxa"/>
            <w:tcBorders/>
            <w:shd w:fill="CCEEFF" w:val="clear"/>
            <w:tcMar>
              <w:bottom w:w="0" w:type="dxa"/>
            </w:tcMar>
            <w:vAlign w:val="center"/>
          </w:tcPr>
          <w:p>
            <w:pPr>
              <w:pStyle w:val="TableContents"/>
              <w:spacing w:before="0" w:after="283"/>
              <w:jc w:val="left"/>
              <w:rPr/>
            </w:pPr>
            <w:r>
              <w:rPr/>
              <w:t>Prepaid expenses, other</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541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 </w:t>
            </w:r>
          </w:p>
        </w:tc>
        <w:tc>
          <w:tcPr>
            <w:tcW w:w="1035" w:type="dxa"/>
            <w:tcBorders/>
            <w:shd w:fill="CCEEFF" w:val="clear"/>
            <w:tcMar>
              <w:bottom w:w="0" w:type="dxa"/>
            </w:tcMar>
            <w:vAlign w:val="center"/>
          </w:tcPr>
          <w:p>
            <w:pPr>
              <w:pStyle w:val="TableContents"/>
              <w:spacing w:before="0" w:after="283"/>
              <w:jc w:val="right"/>
              <w:rPr/>
            </w:pPr>
            <w:r>
              <w:rPr/>
              <w:t>148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35" w:type="dxa"/>
            <w:tcBorders/>
            <w:shd w:fill="auto" w:val="clear"/>
            <w:tcMar>
              <w:bottom w:w="0" w:type="dxa"/>
            </w:tcMar>
            <w:vAlign w:val="center"/>
          </w:tcPr>
          <w:p>
            <w:pPr>
              <w:pStyle w:val="TableContents"/>
              <w:spacing w:before="0" w:after="283"/>
              <w:jc w:val="left"/>
              <w:rPr/>
            </w:pPr>
            <w:r>
              <w:rPr/>
              <w:t>Deferred costs</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353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shd w:fill="auto" w:val="clear"/>
            <w:tcMar>
              <w:bottom w:w="0" w:type="dxa"/>
            </w:tcMar>
            <w:vAlign w:val="center"/>
          </w:tcPr>
          <w:p>
            <w:pPr>
              <w:pStyle w:val="TableContents"/>
              <w:spacing w:before="0" w:after="283"/>
              <w:jc w:val="left"/>
              <w:rPr/>
            </w:pPr>
            <w:r>
              <w:rPr/>
              <w:t> </w:t>
            </w:r>
          </w:p>
        </w:tc>
        <w:tc>
          <w:tcPr>
            <w:tcW w:w="1035"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3935" w:type="dxa"/>
            <w:tcBorders/>
            <w:shd w:fill="CCEEFF" w:val="clear"/>
            <w:tcMar>
              <w:bottom w:w="0" w:type="dxa"/>
            </w:tcMar>
            <w:vAlign w:val="center"/>
          </w:tcPr>
          <w:p>
            <w:pPr>
              <w:pStyle w:val="TableContents"/>
              <w:spacing w:before="0" w:after="283"/>
              <w:jc w:val="left"/>
              <w:rPr/>
            </w:pPr>
            <w:r>
              <w:rPr/>
              <w:t>Other note receivables (1)</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807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 </w:t>
            </w:r>
          </w:p>
        </w:tc>
        <w:tc>
          <w:tcPr>
            <w:tcW w:w="1035"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935" w:type="dxa"/>
            <w:tcBorders/>
            <w:shd w:fill="auto" w:val="clear"/>
            <w:tcMar>
              <w:bottom w:w="0" w:type="dxa"/>
            </w:tcMar>
            <w:vAlign w:val="center"/>
          </w:tcPr>
          <w:p>
            <w:pPr>
              <w:pStyle w:val="TableContents"/>
              <w:spacing w:before="0" w:after="283"/>
              <w:jc w:val="left"/>
              <w:rPr/>
            </w:pPr>
            <w:r>
              <w:rPr/>
              <w:t>Other receivables, other</w:t>
            </w:r>
          </w:p>
        </w:tc>
        <w:tc>
          <w:tcPr>
            <w:tcW w:w="60" w:type="dxa"/>
            <w:tcBorders/>
            <w:shd w:fill="auto" w:val="clear"/>
            <w:tcMar>
              <w:bottom w:w="0" w:type="dxa"/>
            </w:tcMar>
            <w:vAlign w:val="center"/>
          </w:tcPr>
          <w:p>
            <w:pPr>
              <w:pStyle w:val="TableContents"/>
              <w:spacing w:before="0" w:after="283"/>
              <w:rPr/>
            </w:pPr>
            <w:r>
              <w:rPr/>
              <w:t> </w:t>
            </w:r>
          </w:p>
        </w:tc>
        <w:tc>
          <w:tcPr>
            <w:tcW w:w="295" w:type="dxa"/>
            <w:tcBorders>
              <w:bottom w:val="single" w:sz="12" w:space="0" w:color="000000"/>
            </w:tcBorders>
            <w:shd w:fill="auto" w:val="clear"/>
            <w:vAlign w:val="center"/>
          </w:tcPr>
          <w:p>
            <w:pPr>
              <w:pStyle w:val="TableContents"/>
              <w:spacing w:before="0" w:after="283"/>
              <w:jc w:val="left"/>
              <w:rPr/>
            </w:pPr>
            <w:r>
              <w:rPr/>
              <w:t> </w:t>
            </w:r>
          </w:p>
        </w:tc>
        <w:tc>
          <w:tcPr>
            <w:tcW w:w="1180" w:type="dxa"/>
            <w:tcBorders>
              <w:bottom w:val="single" w:sz="12" w:space="0" w:color="000000"/>
            </w:tcBorders>
            <w:shd w:fill="auto" w:val="clear"/>
            <w:vAlign w:val="center"/>
          </w:tcPr>
          <w:p>
            <w:pPr>
              <w:pStyle w:val="TableContents"/>
              <w:spacing w:before="0" w:after="283"/>
              <w:jc w:val="right"/>
              <w:rPr/>
            </w:pPr>
            <w:r>
              <w:rPr/>
              <w:t>86</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bottom w:val="single" w:sz="12" w:space="0" w:color="000000"/>
            </w:tcBorders>
            <w:shd w:fill="auto" w:val="clear"/>
            <w:vAlign w:val="center"/>
          </w:tcPr>
          <w:p>
            <w:pPr>
              <w:pStyle w:val="TableContents"/>
              <w:spacing w:before="0" w:after="283"/>
              <w:jc w:val="left"/>
              <w:rPr/>
            </w:pPr>
            <w:r>
              <w:rPr/>
              <w:t> </w:t>
            </w:r>
          </w:p>
        </w:tc>
        <w:tc>
          <w:tcPr>
            <w:tcW w:w="1035" w:type="dxa"/>
            <w:tcBorders>
              <w:bottom w:val="single" w:sz="12" w:space="0" w:color="000000"/>
            </w:tcBorders>
            <w:shd w:fill="auto" w:val="clear"/>
            <w:vAlign w:val="center"/>
          </w:tcPr>
          <w:p>
            <w:pPr>
              <w:pStyle w:val="TableContents"/>
              <w:spacing w:before="0" w:after="283"/>
              <w:jc w:val="right"/>
              <w:rPr/>
            </w:pPr>
            <w:r>
              <w:rPr/>
              <w:t>168</w:t>
            </w:r>
          </w:p>
        </w:tc>
        <w:tc>
          <w:tcPr>
            <w:tcW w:w="75" w:type="dxa"/>
            <w:tcBorders/>
            <w:shd w:fill="auto" w:val="clear"/>
            <w:tcMar>
              <w:bottom w:w="0" w:type="dxa"/>
            </w:tcMar>
            <w:vAlign w:val="center"/>
          </w:tcPr>
          <w:p>
            <w:pPr>
              <w:pStyle w:val="TableContents"/>
              <w:spacing w:before="0" w:after="283"/>
              <w:jc w:val="left"/>
              <w:rPr/>
            </w:pPr>
            <w:r>
              <w:rPr/>
              <w:t> </w:t>
            </w:r>
          </w:p>
        </w:tc>
      </w:tr>
      <w:tr>
        <w:trPr/>
        <w:tc>
          <w:tcPr>
            <w:tcW w:w="3935" w:type="dxa"/>
            <w:tcBorders/>
            <w:shd w:fill="CCEEFF" w:val="clear"/>
            <w:tcMar>
              <w:bottom w:w="0" w:type="dxa"/>
            </w:tcMar>
            <w:vAlign w:val="center"/>
          </w:tcPr>
          <w:p>
            <w:pPr>
              <w:pStyle w:val="TableContents"/>
              <w:spacing w:before="0" w:after="283"/>
              <w:jc w:val="left"/>
              <w:rPr/>
            </w:pPr>
            <w:r>
              <w:rPr/>
              <w:t>Prepaid expenses and other current assets</w:t>
            </w:r>
          </w:p>
        </w:tc>
        <w:tc>
          <w:tcPr>
            <w:tcW w:w="60" w:type="dxa"/>
            <w:tcBorders/>
            <w:shd w:fill="CCEEFF" w:val="clear"/>
            <w:tcMar>
              <w:bottom w:w="0" w:type="dxa"/>
            </w:tcMar>
            <w:vAlign w:val="center"/>
          </w:tcPr>
          <w:p>
            <w:pPr>
              <w:pStyle w:val="TableContents"/>
              <w:spacing w:before="0" w:after="283"/>
              <w:rPr/>
            </w:pPr>
            <w:r>
              <w:rPr/>
              <w:t> </w:t>
            </w:r>
          </w:p>
        </w:tc>
        <w:tc>
          <w:tcPr>
            <w:tcW w:w="295" w:type="dxa"/>
            <w:tcBorders>
              <w:bottom w:val="double" w:sz="10" w:space="0" w:color="000000"/>
            </w:tcBorders>
            <w:shd w:fill="CCEEFF" w:val="clear"/>
            <w:vAlign w:val="center"/>
          </w:tcPr>
          <w:p>
            <w:pPr>
              <w:pStyle w:val="TableContents"/>
              <w:spacing w:before="0" w:after="283"/>
              <w:jc w:val="left"/>
              <w:rPr/>
            </w:pPr>
            <w:r>
              <w:rPr/>
              <w:t>$</w:t>
            </w:r>
          </w:p>
        </w:tc>
        <w:tc>
          <w:tcPr>
            <w:tcW w:w="1180" w:type="dxa"/>
            <w:tcBorders>
              <w:bottom w:val="double" w:sz="10" w:space="0" w:color="000000"/>
            </w:tcBorders>
            <w:shd w:fill="CCEEFF" w:val="clear"/>
            <w:vAlign w:val="center"/>
          </w:tcPr>
          <w:p>
            <w:pPr>
              <w:pStyle w:val="TableContents"/>
              <w:spacing w:before="0" w:after="283"/>
              <w:jc w:val="right"/>
              <w:rPr/>
            </w:pPr>
            <w:r>
              <w:rPr/>
              <w:t>2,452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bottom w:val="double" w:sz="10" w:space="0" w:color="000000"/>
            </w:tcBorders>
            <w:shd w:fill="CCEEFF" w:val="clear"/>
            <w:vAlign w:val="center"/>
          </w:tcPr>
          <w:p>
            <w:pPr>
              <w:pStyle w:val="TableContents"/>
              <w:spacing w:before="0" w:after="283"/>
              <w:jc w:val="left"/>
              <w:rPr/>
            </w:pPr>
            <w:r>
              <w:rPr/>
              <w:t>$</w:t>
            </w:r>
          </w:p>
        </w:tc>
        <w:tc>
          <w:tcPr>
            <w:tcW w:w="1035" w:type="dxa"/>
            <w:tcBorders>
              <w:bottom w:val="double" w:sz="10" w:space="0" w:color="000000"/>
            </w:tcBorders>
            <w:shd w:fill="CCEEFF" w:val="clear"/>
            <w:vAlign w:val="center"/>
          </w:tcPr>
          <w:p>
            <w:pPr>
              <w:pStyle w:val="TableContents"/>
              <w:spacing w:before="0" w:after="283"/>
              <w:jc w:val="right"/>
              <w:rPr/>
            </w:pPr>
            <w:r>
              <w:rPr/>
              <w:t>364</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8"/>
        <w:gridCol w:w="9880"/>
      </w:tblGrid>
      <w:tr>
        <w:trPr/>
        <w:tc>
          <w:tcPr>
            <w:tcW w:w="3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pPr>
            <w:r>
              <w:rPr/>
              <w:t>(1)</w:t>
            </w:r>
          </w:p>
        </w:tc>
        <w:tc>
          <w:tcPr>
            <w:tcW w:w="9880" w:type="dxa"/>
            <w:tcBorders/>
            <w:shd w:fill="auto" w:val="clear"/>
            <w:vAlign w:val="center"/>
          </w:tcPr>
          <w:p>
            <w:pPr>
              <w:pStyle w:val="TableContents"/>
              <w:spacing w:before="0" w:after="283"/>
              <w:rPr/>
            </w:pPr>
            <w:r>
              <w:rPr/>
              <w:t>Other note receivables relates to the current portion of one of our TTK Solutions loan receivable balances.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Property and Equipment, Net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as of December 31, 2021 and December 31, 2020:</w:t>
      </w:r>
    </w:p>
    <w:p>
      <w:pPr>
        <w:pStyle w:val="TextBody"/>
        <w:spacing w:before="0" w:after="0"/>
        <w:ind w:left="0" w:right="0" w:hanging="0"/>
        <w:rPr>
          <w:caps w:val="false"/>
          <w:smallCaps w:val="false"/>
        </w:rPr>
      </w:pPr>
      <w:r>
        <w:rPr>
          <w:caps w:val="false"/>
          <w:smallCaps w:val="false"/>
        </w:rPr>
        <w:t> </w:t>
      </w:r>
    </w:p>
    <w:tbl>
      <w:tblPr>
        <w:tblW w:w="7810" w:type="dxa"/>
        <w:jc w:val="left"/>
        <w:tblInd w:w="0" w:type="dxa"/>
        <w:tblCellMar>
          <w:top w:w="0" w:type="dxa"/>
          <w:left w:w="0" w:type="dxa"/>
          <w:bottom w:w="28" w:type="dxa"/>
          <w:right w:w="0" w:type="dxa"/>
        </w:tblCellMar>
      </w:tblPr>
      <w:tblGrid>
        <w:gridCol w:w="4655"/>
        <w:gridCol w:w="60"/>
        <w:gridCol w:w="283"/>
        <w:gridCol w:w="1132"/>
        <w:gridCol w:w="95"/>
        <w:gridCol w:w="60"/>
        <w:gridCol w:w="283"/>
        <w:gridCol w:w="1132"/>
        <w:gridCol w:w="110"/>
      </w:tblGrid>
      <w:tr>
        <w:trPr/>
        <w:tc>
          <w:tcPr>
            <w:tcW w:w="4655" w:type="dxa"/>
            <w:tcBorders>
              <w:bottom w:val="single" w:sz="12" w:space="0" w:color="000000"/>
            </w:tcBorders>
            <w:shd w:fill="auto" w:val="clear"/>
            <w:vAlign w:val="center"/>
          </w:tcPr>
          <w:p>
            <w:pPr>
              <w:pStyle w:val="TableContents"/>
              <w:spacing w:before="0" w:after="0"/>
              <w:ind w:left="0" w:right="0" w:hanging="0"/>
              <w:jc w:val="left"/>
              <w:rPr>
                <w:b/>
              </w:rPr>
            </w:pPr>
            <w:r>
              <w:rPr>
                <w:b/>
              </w:rPr>
              <w:t>(Dollar Amounts in Thousands)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110" w:type="dxa"/>
            <w:tcBorders/>
            <w:shd w:fill="auto" w:val="clear"/>
            <w:tcMar>
              <w:bottom w:w="0" w:type="dxa"/>
            </w:tcMar>
            <w:vAlign w:val="center"/>
          </w:tcPr>
          <w:p>
            <w:pPr>
              <w:pStyle w:val="TableContents"/>
              <w:spacing w:before="0" w:after="283"/>
              <w:rPr/>
            </w:pPr>
            <w:r>
              <w:rPr/>
              <w:t> </w:t>
            </w:r>
          </w:p>
        </w:tc>
      </w:tr>
      <w:tr>
        <w:trPr/>
        <w:tc>
          <w:tcPr>
            <w:tcW w:w="4655" w:type="dxa"/>
            <w:tcBorders/>
            <w:shd w:fill="CCEEFF" w:val="clear"/>
            <w:tcMar>
              <w:bottom w:w="0" w:type="dxa"/>
            </w:tcMar>
            <w:vAlign w:val="center"/>
          </w:tcPr>
          <w:p>
            <w:pPr>
              <w:pStyle w:val="TableContents"/>
              <w:spacing w:before="0" w:after="283"/>
              <w:jc w:val="left"/>
              <w:rPr/>
            </w:pPr>
            <w:r>
              <w:rPr/>
              <w:t>Computer and office equipment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283"/>
              <w:jc w:val="right"/>
              <w:rPr/>
            </w:pPr>
            <w:r>
              <w:rPr/>
              <w:t>473</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283"/>
              <w:jc w:val="right"/>
              <w:rPr/>
            </w:pPr>
            <w:r>
              <w:rPr/>
              <w:t>128</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655" w:type="dxa"/>
            <w:tcBorders/>
            <w:shd w:fill="auto" w:val="clear"/>
            <w:tcMar>
              <w:bottom w:w="0" w:type="dxa"/>
            </w:tcMar>
            <w:vAlign w:val="center"/>
          </w:tcPr>
          <w:p>
            <w:pPr>
              <w:pStyle w:val="TableContents"/>
              <w:spacing w:before="0" w:after="283"/>
              <w:jc w:val="left"/>
              <w:rPr/>
            </w:pPr>
            <w:r>
              <w:rPr/>
              <w:t>Furniture and fixtures</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385</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16</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jc w:val="left"/>
              <w:rPr/>
            </w:pPr>
            <w:r>
              <w:rPr/>
              <w:t>Leasehold improvements</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841</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10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655" w:type="dxa"/>
            <w:tcBorders/>
            <w:shd w:fill="auto" w:val="clear"/>
            <w:tcMar>
              <w:bottom w:w="0" w:type="dxa"/>
            </w:tcMar>
            <w:vAlign w:val="center"/>
          </w:tcPr>
          <w:p>
            <w:pPr>
              <w:pStyle w:val="TableContents"/>
              <w:spacing w:before="0" w:after="283"/>
              <w:jc w:val="left"/>
              <w:rPr/>
            </w:pPr>
            <w:r>
              <w:rPr/>
              <w:t>Machinery and equipment</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898</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868</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rPr/>
            </w:pPr>
            <w:r>
              <w:rPr/>
              <w:t>Software</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174</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0"/>
              <w:jc w:val="right"/>
              <w:rPr/>
            </w:pPr>
            <w:r>
              <w:rPr/>
              <w:t>—</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655" w:type="dxa"/>
            <w:tcBorders/>
            <w:shd w:fill="auto" w:val="clear"/>
            <w:tcMar>
              <w:bottom w:w="0" w:type="dxa"/>
            </w:tcMar>
            <w:vAlign w:val="center"/>
          </w:tcPr>
          <w:p>
            <w:pPr>
              <w:pStyle w:val="TableContents"/>
              <w:spacing w:before="0" w:after="283"/>
              <w:rPr/>
            </w:pPr>
            <w:r>
              <w:rPr/>
              <w:t>Vehicles</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143</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62</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jc w:val="left"/>
              <w:rPr/>
            </w:pPr>
            <w:r>
              <w:rPr/>
              <w:t>Research and development laboratory equipment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163</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0"/>
              <w:jc w:val="right"/>
              <w:rPr/>
            </w:pPr>
            <w:r>
              <w:rPr/>
              <w:t>—</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655" w:type="dxa"/>
            <w:tcBorders/>
            <w:shd w:fill="auto" w:val="clear"/>
            <w:tcMar>
              <w:bottom w:w="0" w:type="dxa"/>
            </w:tcMar>
            <w:vAlign w:val="center"/>
          </w:tcPr>
          <w:p>
            <w:pPr>
              <w:pStyle w:val="TableContents"/>
              <w:spacing w:before="0" w:after="283"/>
              <w:jc w:val="left"/>
              <w:rPr/>
            </w:pPr>
            <w:r>
              <w:rPr/>
              <w:t>Leased equipment at customer</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619</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0"/>
              <w:jc w:val="right"/>
              <w:rPr/>
            </w:pPr>
            <w:r>
              <w:rPr/>
              <w:t>—</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jc w:val="left"/>
              <w:rPr/>
            </w:pPr>
            <w:r>
              <w:rPr/>
              <w:t>Trade show assets</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single" w:sz="12" w:space="0" w:color="000000"/>
            </w:tcBorders>
            <w:shd w:fill="CCEEFF" w:val="clear"/>
            <w:vAlign w:val="center"/>
          </w:tcPr>
          <w:p>
            <w:pPr>
              <w:pStyle w:val="TableContents"/>
              <w:spacing w:before="0" w:after="283"/>
              <w:jc w:val="left"/>
              <w:rPr/>
            </w:pPr>
            <w:r>
              <w:rPr/>
              <w:t> </w:t>
            </w:r>
          </w:p>
        </w:tc>
        <w:tc>
          <w:tcPr>
            <w:tcW w:w="1132" w:type="dxa"/>
            <w:tcBorders>
              <w:bottom w:val="single" w:sz="12" w:space="0" w:color="000000"/>
            </w:tcBorders>
            <w:shd w:fill="CCEEFF" w:val="clear"/>
            <w:vAlign w:val="center"/>
          </w:tcPr>
          <w:p>
            <w:pPr>
              <w:pStyle w:val="TableContents"/>
              <w:spacing w:before="0" w:after="283"/>
              <w:jc w:val="right"/>
              <w:rPr/>
            </w:pPr>
            <w:r>
              <w:rPr/>
              <w:t>80</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single" w:sz="12" w:space="0" w:color="000000"/>
            </w:tcBorders>
            <w:shd w:fill="CCEEFF" w:val="clear"/>
            <w:vAlign w:val="center"/>
          </w:tcPr>
          <w:p>
            <w:pPr>
              <w:pStyle w:val="TableContents"/>
              <w:spacing w:before="0" w:after="283"/>
              <w:jc w:val="left"/>
              <w:rPr/>
            </w:pPr>
            <w:r>
              <w:rPr/>
              <w:t> </w:t>
            </w:r>
          </w:p>
        </w:tc>
        <w:tc>
          <w:tcPr>
            <w:tcW w:w="1132" w:type="dxa"/>
            <w:tcBorders>
              <w:bottom w:val="single" w:sz="12" w:space="0" w:color="000000"/>
            </w:tcBorders>
            <w:shd w:fill="CCEEFF" w:val="clear"/>
            <w:vAlign w:val="center"/>
          </w:tcPr>
          <w:p>
            <w:pPr>
              <w:pStyle w:val="TableContents"/>
              <w:spacing w:before="0" w:after="0"/>
              <w:jc w:val="right"/>
              <w:rPr/>
            </w:pPr>
            <w:r>
              <w:rPr/>
              <w:t>—</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655" w:type="dxa"/>
            <w:tcBorders/>
            <w:shd w:fill="auto" w:val="clear"/>
            <w:tcMar>
              <w:bottom w:w="0" w:type="dxa"/>
            </w:tcMar>
            <w:vAlign w:val="center"/>
          </w:tcPr>
          <w:p>
            <w:pPr>
              <w:pStyle w:val="TableContents"/>
              <w:spacing w:before="0" w:after="283"/>
              <w:jc w:val="left"/>
              <w:rPr/>
            </w:pPr>
            <w:r>
              <w:rPr/>
              <w:t>Total property and equipment, gross</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3,776</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1,084</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jc w:val="left"/>
              <w:rPr/>
            </w:pPr>
            <w:r>
              <w:rPr/>
              <w:t>Accumulated depreciation</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(780</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(211</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4655" w:type="dxa"/>
            <w:tcBorders/>
            <w:shd w:fill="auto" w:val="clear"/>
            <w:tcMar>
              <w:bottom w:w="0" w:type="dxa"/>
            </w:tcMar>
            <w:vAlign w:val="center"/>
          </w:tcPr>
          <w:p>
            <w:pPr>
              <w:pStyle w:val="TableContents"/>
              <w:spacing w:before="0" w:after="283"/>
              <w:jc w:val="left"/>
              <w:rPr/>
            </w:pPr>
            <w:r>
              <w:rPr/>
              <w:t>Construction in progress</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single" w:sz="12" w:space="0" w:color="000000"/>
            </w:tcBorders>
            <w:shd w:fill="auto" w:val="clear"/>
            <w:vAlign w:val="center"/>
          </w:tcPr>
          <w:p>
            <w:pPr>
              <w:pStyle w:val="TableContents"/>
              <w:spacing w:before="0" w:after="283"/>
              <w:jc w:val="left"/>
              <w:rPr/>
            </w:pPr>
            <w:r>
              <w:rPr/>
              <w:t> </w:t>
            </w:r>
          </w:p>
        </w:tc>
        <w:tc>
          <w:tcPr>
            <w:tcW w:w="1132" w:type="dxa"/>
            <w:tcBorders>
              <w:bottom w:val="single" w:sz="12" w:space="0" w:color="000000"/>
            </w:tcBorders>
            <w:shd w:fill="auto" w:val="clear"/>
            <w:vAlign w:val="center"/>
          </w:tcPr>
          <w:p>
            <w:pPr>
              <w:pStyle w:val="TableContents"/>
              <w:spacing w:before="0" w:after="283"/>
              <w:jc w:val="right"/>
              <w:rPr/>
            </w:pPr>
            <w:r>
              <w:rPr/>
              <w:t>3,236</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single" w:sz="12" w:space="0" w:color="000000"/>
            </w:tcBorders>
            <w:shd w:fill="auto" w:val="clear"/>
            <w:vAlign w:val="center"/>
          </w:tcPr>
          <w:p>
            <w:pPr>
              <w:pStyle w:val="TableContents"/>
              <w:spacing w:before="0" w:after="283"/>
              <w:jc w:val="left"/>
              <w:rPr/>
            </w:pPr>
            <w:r>
              <w:rPr/>
              <w:t> </w:t>
            </w:r>
          </w:p>
        </w:tc>
        <w:tc>
          <w:tcPr>
            <w:tcW w:w="1132" w:type="dxa"/>
            <w:tcBorders>
              <w:bottom w:val="single" w:sz="12" w:space="0" w:color="000000"/>
            </w:tcBorders>
            <w:shd w:fill="auto" w:val="clear"/>
            <w:vAlign w:val="center"/>
          </w:tcPr>
          <w:p>
            <w:pPr>
              <w:pStyle w:val="TableContents"/>
              <w:spacing w:before="0" w:after="0"/>
              <w:jc w:val="right"/>
              <w:rPr/>
            </w:pPr>
            <w:r>
              <w:rPr/>
              <w:t>—</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655" w:type="dxa"/>
            <w:tcBorders/>
            <w:shd w:fill="CCEEFF" w:val="clear"/>
            <w:tcMar>
              <w:bottom w:w="0" w:type="dxa"/>
            </w:tcMar>
            <w:vAlign w:val="center"/>
          </w:tcPr>
          <w:p>
            <w:pPr>
              <w:pStyle w:val="TableContents"/>
              <w:spacing w:before="0" w:after="283"/>
              <w:jc w:val="left"/>
              <w:rPr/>
            </w:pPr>
            <w:r>
              <w:rPr/>
              <w:t>Property and equipment, net</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double" w:sz="10" w:space="0" w:color="000000"/>
            </w:tcBorders>
            <w:shd w:fill="CCEEFF" w:val="clear"/>
            <w:vAlign w:val="center"/>
          </w:tcPr>
          <w:p>
            <w:pPr>
              <w:pStyle w:val="TableContents"/>
              <w:spacing w:before="0" w:after="283"/>
              <w:jc w:val="left"/>
              <w:rPr/>
            </w:pPr>
            <w:r>
              <w:rPr/>
              <w:t>$</w:t>
            </w:r>
          </w:p>
        </w:tc>
        <w:tc>
          <w:tcPr>
            <w:tcW w:w="1132" w:type="dxa"/>
            <w:tcBorders>
              <w:bottom w:val="double" w:sz="10" w:space="0" w:color="000000"/>
            </w:tcBorders>
            <w:shd w:fill="CCEEFF" w:val="clear"/>
            <w:vAlign w:val="center"/>
          </w:tcPr>
          <w:p>
            <w:pPr>
              <w:pStyle w:val="TableContents"/>
              <w:spacing w:before="0" w:after="283"/>
              <w:jc w:val="right"/>
              <w:rPr/>
            </w:pPr>
            <w:r>
              <w:rPr/>
              <w:t>6,232</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double" w:sz="10" w:space="0" w:color="000000"/>
            </w:tcBorders>
            <w:shd w:fill="CCEEFF" w:val="clear"/>
            <w:vAlign w:val="center"/>
          </w:tcPr>
          <w:p>
            <w:pPr>
              <w:pStyle w:val="TableContents"/>
              <w:spacing w:before="0" w:after="283"/>
              <w:jc w:val="left"/>
              <w:rPr/>
            </w:pPr>
            <w:r>
              <w:rPr/>
              <w:t>$</w:t>
            </w:r>
          </w:p>
        </w:tc>
        <w:tc>
          <w:tcPr>
            <w:tcW w:w="1132" w:type="dxa"/>
            <w:tcBorders>
              <w:bottom w:val="double" w:sz="10" w:space="0" w:color="000000"/>
            </w:tcBorders>
            <w:shd w:fill="CCEEFF" w:val="clear"/>
            <w:vAlign w:val="center"/>
          </w:tcPr>
          <w:p>
            <w:pPr>
              <w:pStyle w:val="TableContents"/>
              <w:spacing w:before="0" w:after="283"/>
              <w:jc w:val="right"/>
              <w:rPr/>
            </w:pPr>
            <w:r>
              <w:rPr/>
              <w:t>873</w:t>
            </w:r>
          </w:p>
        </w:tc>
        <w:tc>
          <w:tcPr>
            <w:tcW w:w="11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2021 and 2020 was $655 thousand and $188 thousand, respectively. During the year ended December 31, 2021, the Company retired $119 thousand of fixed assets, with an accompanying accumulated depreciation of $84 thousand, resulting in a loss on disposal of $36 thousand.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Intangible Assets and 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years ended December 31, 2021 and December 31, 2020.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were as follows:</w:t>
      </w:r>
    </w:p>
    <w:p>
      <w:pPr>
        <w:pStyle w:val="TextBody"/>
        <w:spacing w:before="0" w:after="0"/>
        <w:ind w:left="0" w:right="0" w:firstLine="360"/>
        <w:rPr>
          <w:caps w:val="false"/>
          <w:smallCaps w:val="false"/>
        </w:rPr>
      </w:pPr>
      <w:r>
        <w:rPr>
          <w:caps w:val="false"/>
          <w:smallCaps w:val="false"/>
        </w:rPr>
        <w:t> </w:t>
      </w:r>
    </w:p>
    <w:tbl>
      <w:tblPr>
        <w:tblW w:w="12225" w:type="dxa"/>
        <w:jc w:val="left"/>
        <w:tblInd w:w="0" w:type="dxa"/>
        <w:tblCellMar>
          <w:top w:w="0" w:type="dxa"/>
          <w:left w:w="0" w:type="dxa"/>
          <w:bottom w:w="0" w:type="dxa"/>
          <w:right w:w="0" w:type="dxa"/>
        </w:tblCellMar>
      </w:tblPr>
      <w:tblGrid>
        <w:gridCol w:w="1325"/>
        <w:gridCol w:w="60"/>
        <w:gridCol w:w="175"/>
        <w:gridCol w:w="700"/>
        <w:gridCol w:w="60"/>
        <w:gridCol w:w="60"/>
        <w:gridCol w:w="210"/>
        <w:gridCol w:w="1025"/>
        <w:gridCol w:w="60"/>
        <w:gridCol w:w="60"/>
        <w:gridCol w:w="241"/>
        <w:gridCol w:w="1174"/>
        <w:gridCol w:w="60"/>
        <w:gridCol w:w="60"/>
        <w:gridCol w:w="262"/>
        <w:gridCol w:w="853"/>
        <w:gridCol w:w="95"/>
        <w:gridCol w:w="60"/>
        <w:gridCol w:w="290"/>
        <w:gridCol w:w="945"/>
        <w:gridCol w:w="95"/>
        <w:gridCol w:w="60"/>
        <w:gridCol w:w="332"/>
        <w:gridCol w:w="1083"/>
        <w:gridCol w:w="95"/>
        <w:gridCol w:w="60"/>
        <w:gridCol w:w="223"/>
        <w:gridCol w:w="892"/>
        <w:gridCol w:w="60"/>
        <w:gridCol w:w="60"/>
        <w:gridCol w:w="241"/>
        <w:gridCol w:w="1174"/>
        <w:gridCol w:w="75"/>
      </w:tblGrid>
      <w:tr>
        <w:trPr/>
        <w:tc>
          <w:tcPr>
            <w:tcW w:w="132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376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Intangible Assets, Gross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7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Accumulated Amortization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5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Intangible Assets, Net</w:t>
            </w:r>
          </w:p>
        </w:tc>
        <w:tc>
          <w:tcPr>
            <w:tcW w:w="75" w:type="dxa"/>
            <w:tcBorders/>
            <w:shd w:fill="auto" w:val="clear"/>
            <w:vAlign w:val="center"/>
          </w:tcPr>
          <w:p>
            <w:pPr>
              <w:pStyle w:val="TableContents"/>
              <w:spacing w:before="0" w:after="283"/>
              <w:rPr/>
            </w:pPr>
            <w:r>
              <w:rPr/>
              <w:t> </w:t>
            </w:r>
          </w:p>
        </w:tc>
      </w:tr>
      <w:tr>
        <w:trPr/>
        <w:tc>
          <w:tcPr>
            <w:tcW w:w="1325" w:type="dxa"/>
            <w:tcBorders>
              <w:bottom w:val="single" w:sz="12" w:space="0" w:color="000000"/>
            </w:tcBorders>
            <w:shd w:fill="auto" w:val="clear"/>
            <w:tcMar>
              <w:bottom w:w="28" w:type="dxa"/>
            </w:tcMar>
            <w:vAlign w:val="center"/>
          </w:tcPr>
          <w:p>
            <w:pPr>
              <w:pStyle w:val="TableContents"/>
              <w:spacing w:before="0" w:after="0"/>
              <w:ind w:left="0" w:right="0" w:hanging="0"/>
              <w:jc w:val="left"/>
              <w:rPr>
                <w:b/>
              </w:rPr>
            </w:pPr>
            <w:r>
              <w:rPr>
                <w:b/>
              </w:rPr>
              <w:t>(Dollar Amounts in Thousands) </w:t>
            </w:r>
          </w:p>
        </w:tc>
        <w:tc>
          <w:tcPr>
            <w:tcW w:w="60" w:type="dxa"/>
            <w:tcBorders/>
            <w:shd w:fill="auto" w:val="clear"/>
            <w:vAlign w:val="center"/>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January 1,</w:t>
              <w:b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Additions</w:t>
              <w:br/>
              <w:t>and</w:t>
              <w:br/>
              <w:t>retirements,</w:t>
              <w:br/>
              <w:t>net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January 1,</w:t>
              <w:b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Expense</w:t>
              <w:br/>
              <w:t>and</w:t>
              <w:br/>
              <w:t>retirements,</w:t>
              <w:br/>
              <w:t>net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January 1,</w:t>
              <w:b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75" w:type="dxa"/>
            <w:tcBorders/>
            <w:shd w:fill="auto" w:val="clear"/>
            <w:vAlign w:val="center"/>
          </w:tcPr>
          <w:p>
            <w:pPr>
              <w:pStyle w:val="TableContents"/>
              <w:spacing w:before="0" w:after="283"/>
              <w:ind w:left="0" w:right="0" w:hanging="180"/>
              <w:rPr/>
            </w:pPr>
            <w:r>
              <w:rPr/>
              <w:t> </w:t>
            </w:r>
          </w:p>
        </w:tc>
      </w:tr>
      <w:tr>
        <w:trPr/>
        <w:tc>
          <w:tcPr>
            <w:tcW w:w="1325" w:type="dxa"/>
            <w:tcBorders/>
            <w:shd w:fill="CCEEFF" w:val="clear"/>
            <w:vAlign w:val="center"/>
          </w:tcPr>
          <w:p>
            <w:pPr>
              <w:pStyle w:val="TableContents"/>
              <w:spacing w:before="0" w:after="283"/>
              <w:jc w:val="left"/>
              <w:rPr/>
            </w:pPr>
            <w:r>
              <w:rPr/>
              <w:t>Trade names</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w:t>
            </w:r>
          </w:p>
        </w:tc>
        <w:tc>
          <w:tcPr>
            <w:tcW w:w="700" w:type="dxa"/>
            <w:tcBorders/>
            <w:shd w:fill="CCEEFF" w:val="clear"/>
            <w:vAlign w:val="center"/>
          </w:tcPr>
          <w:p>
            <w:pPr>
              <w:pStyle w:val="TableContents"/>
              <w:spacing w:before="0" w:after="283"/>
              <w:jc w:val="right"/>
              <w:rPr/>
            </w:pPr>
            <w:r>
              <w:rPr/>
              <w:t>930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w:t>
            </w:r>
          </w:p>
        </w:tc>
        <w:tc>
          <w:tcPr>
            <w:tcW w:w="1025" w:type="dxa"/>
            <w:tcBorders/>
            <w:shd w:fill="CCEEFF" w:val="clear"/>
            <w:vAlign w:val="center"/>
          </w:tcPr>
          <w:p>
            <w:pPr>
              <w:pStyle w:val="TableContents"/>
              <w:spacing w:before="0" w:after="283"/>
              <w:jc w:val="right"/>
              <w:rPr/>
            </w:pPr>
            <w:r>
              <w:rPr/>
              <w:t>1,488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w:t>
            </w:r>
          </w:p>
        </w:tc>
        <w:tc>
          <w:tcPr>
            <w:tcW w:w="1174" w:type="dxa"/>
            <w:tcBorders/>
            <w:shd w:fill="CCEEFF" w:val="clear"/>
            <w:vAlign w:val="center"/>
          </w:tcPr>
          <w:p>
            <w:pPr>
              <w:pStyle w:val="TableContents"/>
              <w:spacing w:before="0" w:after="283"/>
              <w:jc w:val="right"/>
              <w:rPr/>
            </w:pPr>
            <w:r>
              <w:rPr/>
              <w:t>2,418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left"/>
              <w:rPr/>
            </w:pPr>
            <w:r>
              <w:rPr/>
              <w:t>$</w:t>
            </w:r>
          </w:p>
        </w:tc>
        <w:tc>
          <w:tcPr>
            <w:tcW w:w="853" w:type="dxa"/>
            <w:tcBorders/>
            <w:shd w:fill="CCEEFF" w:val="clear"/>
            <w:vAlign w:val="center"/>
          </w:tcPr>
          <w:p>
            <w:pPr>
              <w:pStyle w:val="TableContents"/>
              <w:spacing w:before="0" w:after="283"/>
              <w:jc w:val="right"/>
              <w:rPr/>
            </w:pPr>
            <w:r>
              <w:rPr/>
              <w:t>(88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jc w:val="left"/>
              <w:rPr/>
            </w:pPr>
            <w:r>
              <w:rPr/>
              <w:t>$</w:t>
            </w:r>
          </w:p>
        </w:tc>
        <w:tc>
          <w:tcPr>
            <w:tcW w:w="945" w:type="dxa"/>
            <w:tcBorders/>
            <w:shd w:fill="CCEEFF" w:val="clear"/>
            <w:vAlign w:val="center"/>
          </w:tcPr>
          <w:p>
            <w:pPr>
              <w:pStyle w:val="TableContents"/>
              <w:spacing w:before="0" w:after="283"/>
              <w:jc w:val="right"/>
              <w:rPr/>
            </w:pPr>
            <w:r>
              <w:rPr/>
              <w:t>(139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w:t>
            </w:r>
          </w:p>
        </w:tc>
        <w:tc>
          <w:tcPr>
            <w:tcW w:w="1083" w:type="dxa"/>
            <w:tcBorders/>
            <w:shd w:fill="CCEEFF" w:val="clear"/>
            <w:vAlign w:val="center"/>
          </w:tcPr>
          <w:p>
            <w:pPr>
              <w:pStyle w:val="TableContents"/>
              <w:spacing w:before="0" w:after="283"/>
              <w:jc w:val="right"/>
              <w:rPr/>
            </w:pPr>
            <w:r>
              <w:rPr/>
              <w:t>(227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w:t>
            </w:r>
          </w:p>
        </w:tc>
        <w:tc>
          <w:tcPr>
            <w:tcW w:w="892" w:type="dxa"/>
            <w:tcBorders/>
            <w:shd w:fill="CCEEFF" w:val="clear"/>
            <w:vAlign w:val="center"/>
          </w:tcPr>
          <w:p>
            <w:pPr>
              <w:pStyle w:val="TableContents"/>
              <w:spacing w:before="0" w:after="283"/>
              <w:jc w:val="right"/>
              <w:rPr/>
            </w:pPr>
            <w:r>
              <w:rPr/>
              <w:t>842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w:t>
            </w:r>
          </w:p>
        </w:tc>
        <w:tc>
          <w:tcPr>
            <w:tcW w:w="1174" w:type="dxa"/>
            <w:tcBorders/>
            <w:shd w:fill="CCEEFF" w:val="clear"/>
            <w:vAlign w:val="center"/>
          </w:tcPr>
          <w:p>
            <w:pPr>
              <w:pStyle w:val="TableContents"/>
              <w:spacing w:before="0" w:after="283"/>
              <w:jc w:val="right"/>
              <w:rPr/>
            </w:pPr>
            <w:r>
              <w:rPr/>
              <w:t>2,191</w:t>
            </w:r>
          </w:p>
        </w:tc>
        <w:tc>
          <w:tcPr>
            <w:tcW w:w="75" w:type="dxa"/>
            <w:tcBorders/>
            <w:shd w:fill="CCEEFF" w:val="clear"/>
            <w:vAlign w:val="center"/>
          </w:tcPr>
          <w:p>
            <w:pPr>
              <w:pStyle w:val="TableContents"/>
              <w:spacing w:before="0" w:after="283"/>
              <w:ind w:left="0" w:right="0" w:hanging="180"/>
              <w:jc w:val="left"/>
              <w:rPr/>
            </w:pPr>
            <w:r>
              <w:rPr/>
              <w:t> </w:t>
            </w:r>
          </w:p>
        </w:tc>
      </w:tr>
      <w:tr>
        <w:trPr/>
        <w:tc>
          <w:tcPr>
            <w:tcW w:w="1325" w:type="dxa"/>
            <w:tcBorders/>
            <w:shd w:fill="auto" w:val="clear"/>
            <w:vAlign w:val="center"/>
          </w:tcPr>
          <w:p>
            <w:pPr>
              <w:pStyle w:val="TableContents"/>
              <w:spacing w:before="0" w:after="283"/>
              <w:jc w:val="left"/>
              <w:rPr/>
            </w:pPr>
            <w:r>
              <w:rPr/>
              <w:t>Customer Relationships</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850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jc w:val="right"/>
              <w:rPr/>
            </w:pPr>
            <w:r>
              <w:rPr/>
              <w:t>5,326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174" w:type="dxa"/>
            <w:tcBorders/>
            <w:shd w:fill="auto" w:val="clear"/>
            <w:vAlign w:val="center"/>
          </w:tcPr>
          <w:p>
            <w:pPr>
              <w:pStyle w:val="TableContents"/>
              <w:spacing w:before="0" w:after="283"/>
              <w:jc w:val="right"/>
              <w:rPr/>
            </w:pPr>
            <w:r>
              <w:rPr/>
              <w:t>6,176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left"/>
              <w:rPr/>
            </w:pPr>
            <w:r>
              <w:rPr/>
              <w:t> </w:t>
            </w:r>
          </w:p>
        </w:tc>
        <w:tc>
          <w:tcPr>
            <w:tcW w:w="853" w:type="dxa"/>
            <w:tcBorders/>
            <w:shd w:fill="auto" w:val="clear"/>
            <w:vAlign w:val="center"/>
          </w:tcPr>
          <w:p>
            <w:pPr>
              <w:pStyle w:val="TableContents"/>
              <w:spacing w:before="0" w:after="283"/>
              <w:jc w:val="right"/>
              <w:rPr/>
            </w:pPr>
            <w:r>
              <w:rPr/>
              <w:t>(89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jc w:val="right"/>
              <w:rPr/>
            </w:pPr>
            <w:r>
              <w:rPr/>
              <w:t>(213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jc w:val="left"/>
              <w:rPr/>
            </w:pPr>
            <w:r>
              <w:rPr/>
              <w:t> </w:t>
            </w:r>
          </w:p>
        </w:tc>
        <w:tc>
          <w:tcPr>
            <w:tcW w:w="1083" w:type="dxa"/>
            <w:tcBorders/>
            <w:shd w:fill="auto" w:val="clear"/>
            <w:vAlign w:val="center"/>
          </w:tcPr>
          <w:p>
            <w:pPr>
              <w:pStyle w:val="TableContents"/>
              <w:spacing w:before="0" w:after="283"/>
              <w:jc w:val="right"/>
              <w:rPr/>
            </w:pPr>
            <w:r>
              <w:rPr/>
              <w:t>(302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jc w:val="left"/>
              <w:rPr/>
            </w:pPr>
            <w:r>
              <w:rPr/>
              <w:t> </w:t>
            </w:r>
          </w:p>
        </w:tc>
        <w:tc>
          <w:tcPr>
            <w:tcW w:w="892" w:type="dxa"/>
            <w:tcBorders/>
            <w:shd w:fill="auto" w:val="clear"/>
            <w:vAlign w:val="center"/>
          </w:tcPr>
          <w:p>
            <w:pPr>
              <w:pStyle w:val="TableContents"/>
              <w:spacing w:before="0" w:after="283"/>
              <w:jc w:val="right"/>
              <w:rPr/>
            </w:pPr>
            <w:r>
              <w:rPr/>
              <w:t>761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174" w:type="dxa"/>
            <w:tcBorders/>
            <w:shd w:fill="auto" w:val="clear"/>
            <w:vAlign w:val="center"/>
          </w:tcPr>
          <w:p>
            <w:pPr>
              <w:pStyle w:val="TableContents"/>
              <w:spacing w:before="0" w:after="283"/>
              <w:jc w:val="right"/>
              <w:rPr/>
            </w:pPr>
            <w:r>
              <w:rPr/>
              <w:t>5,874</w:t>
            </w:r>
          </w:p>
        </w:tc>
        <w:tc>
          <w:tcPr>
            <w:tcW w:w="75" w:type="dxa"/>
            <w:tcBorders/>
            <w:shd w:fill="auto" w:val="clear"/>
            <w:vAlign w:val="center"/>
          </w:tcPr>
          <w:p>
            <w:pPr>
              <w:pStyle w:val="TableContents"/>
              <w:spacing w:before="0" w:after="283"/>
              <w:ind w:left="0" w:right="0" w:hanging="180"/>
              <w:jc w:val="left"/>
              <w:rPr/>
            </w:pPr>
            <w:r>
              <w:rPr/>
              <w:t> </w:t>
            </w:r>
          </w:p>
        </w:tc>
      </w:tr>
      <w:tr>
        <w:trPr/>
        <w:tc>
          <w:tcPr>
            <w:tcW w:w="1325" w:type="dxa"/>
            <w:tcBorders/>
            <w:shd w:fill="CCEEFF" w:val="clear"/>
            <w:vAlign w:val="center"/>
          </w:tcPr>
          <w:p>
            <w:pPr>
              <w:pStyle w:val="TableContents"/>
              <w:spacing w:before="0" w:after="283"/>
              <w:jc w:val="left"/>
              <w:rPr/>
            </w:pPr>
            <w:r>
              <w:rPr/>
              <w:t>Acquired developed Technology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7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jc w:val="left"/>
              <w:rPr/>
            </w:pPr>
            <w:r>
              <w:rPr/>
              <w:t> </w:t>
            </w:r>
          </w:p>
        </w:tc>
        <w:tc>
          <w:tcPr>
            <w:tcW w:w="1025" w:type="dxa"/>
            <w:tcBorders/>
            <w:shd w:fill="CCEEFF" w:val="clear"/>
            <w:vAlign w:val="center"/>
          </w:tcPr>
          <w:p>
            <w:pPr>
              <w:pStyle w:val="TableContents"/>
              <w:spacing w:before="0" w:after="283"/>
              <w:jc w:val="right"/>
              <w:rPr/>
            </w:pPr>
            <w:r>
              <w:rPr/>
              <w:t>4,911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 </w:t>
            </w:r>
          </w:p>
        </w:tc>
        <w:tc>
          <w:tcPr>
            <w:tcW w:w="1174" w:type="dxa"/>
            <w:tcBorders/>
            <w:shd w:fill="CCEEFF" w:val="clear"/>
            <w:vAlign w:val="center"/>
          </w:tcPr>
          <w:p>
            <w:pPr>
              <w:pStyle w:val="TableContents"/>
              <w:spacing w:before="0" w:after="283"/>
              <w:jc w:val="right"/>
              <w:rPr/>
            </w:pPr>
            <w:r>
              <w:rPr/>
              <w:t>4,911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left"/>
              <w:rPr/>
            </w:pPr>
            <w:r>
              <w:rPr/>
              <w:t> </w:t>
            </w:r>
          </w:p>
        </w:tc>
        <w:tc>
          <w:tcPr>
            <w:tcW w:w="853"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jc w:val="left"/>
              <w:rPr/>
            </w:pPr>
            <w:r>
              <w:rPr/>
              <w:t> </w:t>
            </w:r>
          </w:p>
        </w:tc>
        <w:tc>
          <w:tcPr>
            <w:tcW w:w="945" w:type="dxa"/>
            <w:tcBorders/>
            <w:shd w:fill="CCEEFF" w:val="clear"/>
            <w:vAlign w:val="center"/>
          </w:tcPr>
          <w:p>
            <w:pPr>
              <w:pStyle w:val="TableContents"/>
              <w:spacing w:before="0" w:after="283"/>
              <w:jc w:val="right"/>
              <w:rPr/>
            </w:pPr>
            <w:r>
              <w:rPr/>
              <w:t>(191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1083" w:type="dxa"/>
            <w:tcBorders/>
            <w:shd w:fill="CCEEFF" w:val="clear"/>
            <w:vAlign w:val="center"/>
          </w:tcPr>
          <w:p>
            <w:pPr>
              <w:pStyle w:val="TableContents"/>
              <w:spacing w:before="0" w:after="283"/>
              <w:jc w:val="right"/>
              <w:rPr/>
            </w:pPr>
            <w:r>
              <w:rPr/>
              <w:t>(191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jc w:val="left"/>
              <w:rPr/>
            </w:pPr>
            <w:r>
              <w:rPr/>
              <w:t> </w:t>
            </w:r>
          </w:p>
        </w:tc>
        <w:tc>
          <w:tcPr>
            <w:tcW w:w="892"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 </w:t>
            </w:r>
          </w:p>
        </w:tc>
        <w:tc>
          <w:tcPr>
            <w:tcW w:w="1174" w:type="dxa"/>
            <w:tcBorders/>
            <w:shd w:fill="CCEEFF" w:val="clear"/>
            <w:vAlign w:val="center"/>
          </w:tcPr>
          <w:p>
            <w:pPr>
              <w:pStyle w:val="TableContents"/>
              <w:spacing w:before="0" w:after="283"/>
              <w:jc w:val="right"/>
              <w:rPr/>
            </w:pPr>
            <w:r>
              <w:rPr/>
              <w:t>4,720</w:t>
            </w:r>
          </w:p>
        </w:tc>
        <w:tc>
          <w:tcPr>
            <w:tcW w:w="75" w:type="dxa"/>
            <w:tcBorders/>
            <w:shd w:fill="CCEEFF" w:val="clear"/>
            <w:vAlign w:val="center"/>
          </w:tcPr>
          <w:p>
            <w:pPr>
              <w:pStyle w:val="TableContents"/>
              <w:spacing w:before="0" w:after="283"/>
              <w:ind w:left="0" w:right="0" w:hanging="180"/>
              <w:jc w:val="left"/>
              <w:rPr/>
            </w:pPr>
            <w:r>
              <w:rPr/>
              <w:t> </w:t>
            </w:r>
          </w:p>
        </w:tc>
      </w:tr>
      <w:tr>
        <w:trPr/>
        <w:tc>
          <w:tcPr>
            <w:tcW w:w="1325" w:type="dxa"/>
            <w:tcBorders/>
            <w:shd w:fill="auto" w:val="clear"/>
            <w:vAlign w:val="center"/>
          </w:tcPr>
          <w:p>
            <w:pPr>
              <w:pStyle w:val="TableContents"/>
              <w:spacing w:before="0" w:after="283"/>
              <w:rPr/>
            </w:pPr>
            <w:r>
              <w:rPr/>
              <w:t>Non-compete</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jc w:val="left"/>
              <w:rPr/>
            </w:pPr>
            <w:r>
              <w:rPr/>
              <w:t> </w:t>
            </w:r>
          </w:p>
        </w:tc>
        <w:tc>
          <w:tcPr>
            <w:tcW w:w="1025" w:type="dxa"/>
            <w:tcBorders/>
            <w:shd w:fill="auto" w:val="clear"/>
            <w:vAlign w:val="center"/>
          </w:tcPr>
          <w:p>
            <w:pPr>
              <w:pStyle w:val="TableContents"/>
              <w:spacing w:before="0" w:after="283"/>
              <w:jc w:val="right"/>
              <w:rPr/>
            </w:pPr>
            <w:r>
              <w:rPr/>
              <w:t>1,202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174" w:type="dxa"/>
            <w:tcBorders/>
            <w:shd w:fill="auto" w:val="clear"/>
            <w:vAlign w:val="center"/>
          </w:tcPr>
          <w:p>
            <w:pPr>
              <w:pStyle w:val="TableContents"/>
              <w:spacing w:before="0" w:after="283"/>
              <w:jc w:val="right"/>
              <w:rPr/>
            </w:pPr>
            <w:r>
              <w:rPr/>
              <w:t>1,202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left"/>
              <w:rPr/>
            </w:pPr>
            <w:r>
              <w:rPr/>
              <w:t> </w:t>
            </w:r>
          </w:p>
        </w:tc>
        <w:tc>
          <w:tcPr>
            <w:tcW w:w="853"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 </w:t>
            </w:r>
          </w:p>
        </w:tc>
        <w:tc>
          <w:tcPr>
            <w:tcW w:w="945" w:type="dxa"/>
            <w:tcBorders/>
            <w:shd w:fill="auto" w:val="clear"/>
            <w:vAlign w:val="center"/>
          </w:tcPr>
          <w:p>
            <w:pPr>
              <w:pStyle w:val="TableContents"/>
              <w:spacing w:before="0" w:after="283"/>
              <w:jc w:val="right"/>
              <w:rPr/>
            </w:pPr>
            <w:r>
              <w:rPr/>
              <w:t>(60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jc w:val="left"/>
              <w:rPr/>
            </w:pPr>
            <w:r>
              <w:rPr/>
              <w:t> </w:t>
            </w:r>
          </w:p>
        </w:tc>
        <w:tc>
          <w:tcPr>
            <w:tcW w:w="1083" w:type="dxa"/>
            <w:tcBorders/>
            <w:shd w:fill="auto" w:val="clear"/>
            <w:vAlign w:val="center"/>
          </w:tcPr>
          <w:p>
            <w:pPr>
              <w:pStyle w:val="TableContents"/>
              <w:spacing w:before="0" w:after="283"/>
              <w:jc w:val="right"/>
              <w:rPr/>
            </w:pPr>
            <w:r>
              <w:rPr/>
              <w:t>(60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jc w:val="left"/>
              <w:rPr/>
            </w:pPr>
            <w:r>
              <w:rPr/>
              <w:t> </w:t>
            </w:r>
          </w:p>
        </w:tc>
        <w:tc>
          <w:tcPr>
            <w:tcW w:w="892"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174" w:type="dxa"/>
            <w:tcBorders/>
            <w:shd w:fill="auto" w:val="clear"/>
            <w:vAlign w:val="center"/>
          </w:tcPr>
          <w:p>
            <w:pPr>
              <w:pStyle w:val="TableContents"/>
              <w:spacing w:before="0" w:after="283"/>
              <w:jc w:val="right"/>
              <w:rPr/>
            </w:pPr>
            <w:r>
              <w:rPr/>
              <w:t>1,142</w:t>
            </w:r>
          </w:p>
        </w:tc>
        <w:tc>
          <w:tcPr>
            <w:tcW w:w="75" w:type="dxa"/>
            <w:tcBorders/>
            <w:shd w:fill="auto" w:val="clear"/>
            <w:vAlign w:val="center"/>
          </w:tcPr>
          <w:p>
            <w:pPr>
              <w:pStyle w:val="TableContents"/>
              <w:spacing w:before="0" w:after="283"/>
              <w:ind w:left="0" w:right="0" w:hanging="180"/>
              <w:jc w:val="left"/>
              <w:rPr/>
            </w:pPr>
            <w:r>
              <w:rPr/>
              <w:t> </w:t>
            </w:r>
          </w:p>
        </w:tc>
      </w:tr>
      <w:tr>
        <w:trPr/>
        <w:tc>
          <w:tcPr>
            <w:tcW w:w="1325" w:type="dxa"/>
            <w:tcBorders/>
            <w:shd w:fill="CCEEFF" w:val="clear"/>
            <w:vAlign w:val="center"/>
          </w:tcPr>
          <w:p>
            <w:pPr>
              <w:pStyle w:val="TableContents"/>
              <w:spacing w:before="0" w:after="283"/>
              <w:jc w:val="left"/>
              <w:rPr/>
            </w:pPr>
            <w:r>
              <w:rPr/>
              <w:t>Capitalized website costs</w:t>
            </w:r>
          </w:p>
        </w:tc>
        <w:tc>
          <w:tcPr>
            <w:tcW w:w="60" w:type="dxa"/>
            <w:tcBorders/>
            <w:shd w:fill="CCEEFF" w:val="clear"/>
            <w:vAlign w:val="center"/>
          </w:tcPr>
          <w:p>
            <w:pPr>
              <w:pStyle w:val="TableContents"/>
              <w:spacing w:before="0" w:after="283"/>
              <w:rPr/>
            </w:pPr>
            <w:r>
              <w:rPr/>
              <w:t> </w:t>
            </w:r>
          </w:p>
        </w:tc>
        <w:tc>
          <w:tcPr>
            <w:tcW w:w="17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spacing w:before="0" w:after="283"/>
              <w:jc w:val="right"/>
              <w:rPr/>
            </w:pPr>
            <w:r>
              <w:rPr/>
              <w:t>139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spacing w:before="0" w:after="283"/>
              <w:jc w:val="right"/>
              <w:rPr/>
            </w:pPr>
            <w:r>
              <w:rPr/>
              <w:t>106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spacing w:before="0" w:after="283"/>
              <w:jc w:val="right"/>
              <w:rPr/>
            </w:pPr>
            <w:r>
              <w:rPr/>
              <w:t>245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spacing w:before="0" w:after="283"/>
              <w:jc w:val="right"/>
              <w:rPr/>
            </w:pPr>
            <w:r>
              <w:rPr/>
              <w:t>(48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9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spacing w:before="0" w:after="283"/>
              <w:jc w:val="right"/>
              <w:rPr/>
            </w:pPr>
            <w:r>
              <w:rPr/>
              <w:t>(52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3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3" w:type="dxa"/>
            <w:tcBorders>
              <w:bottom w:val="single" w:sz="12" w:space="0" w:color="000000"/>
            </w:tcBorders>
            <w:shd w:fill="CCEEFF" w:val="clear"/>
            <w:tcMar>
              <w:bottom w:w="28" w:type="dxa"/>
            </w:tcMar>
            <w:vAlign w:val="center"/>
          </w:tcPr>
          <w:p>
            <w:pPr>
              <w:pStyle w:val="TableContents"/>
              <w:spacing w:before="0" w:after="283"/>
              <w:jc w:val="right"/>
              <w:rPr/>
            </w:pPr>
            <w:r>
              <w:rPr/>
              <w:t>(100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spacing w:before="0" w:after="283"/>
              <w:jc w:val="right"/>
              <w:rPr/>
            </w:pPr>
            <w:r>
              <w:rPr/>
              <w:t>91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spacing w:before="0" w:after="283"/>
              <w:jc w:val="right"/>
              <w:rPr/>
            </w:pPr>
            <w:r>
              <w:rPr/>
              <w:t>145</w:t>
            </w:r>
          </w:p>
        </w:tc>
        <w:tc>
          <w:tcPr>
            <w:tcW w:w="75" w:type="dxa"/>
            <w:tcBorders/>
            <w:shd w:fill="CCEEFF" w:val="clear"/>
            <w:vAlign w:val="center"/>
          </w:tcPr>
          <w:p>
            <w:pPr>
              <w:pStyle w:val="TableContents"/>
              <w:spacing w:before="0" w:after="283"/>
              <w:ind w:left="0" w:right="0" w:hanging="180"/>
              <w:jc w:val="left"/>
              <w:rPr/>
            </w:pPr>
            <w:r>
              <w:rPr/>
              <w:t> </w:t>
            </w:r>
          </w:p>
        </w:tc>
      </w:tr>
      <w:tr>
        <w:trPr/>
        <w:tc>
          <w:tcPr>
            <w:tcW w:w="1325" w:type="dxa"/>
            <w:tcBorders/>
            <w:shd w:fill="auto" w:val="clear"/>
            <w:vAlign w:val="center"/>
          </w:tcPr>
          <w:p>
            <w:pPr>
              <w:pStyle w:val="TableContents"/>
              <w:spacing w:before="0" w:after="283"/>
              <w:rPr/>
            </w:pPr>
            <w:r>
              <w:rPr/>
              <w:t>Total</w:t>
            </w:r>
          </w:p>
        </w:tc>
        <w:tc>
          <w:tcPr>
            <w:tcW w:w="60" w:type="dxa"/>
            <w:tcBorders/>
            <w:shd w:fill="auto" w:val="clear"/>
            <w:vAlign w:val="center"/>
          </w:tcPr>
          <w:p>
            <w:pPr>
              <w:pStyle w:val="TableContents"/>
              <w:spacing w:before="0" w:after="283"/>
              <w:rPr/>
            </w:pPr>
            <w:r>
              <w:rPr/>
              <w:t> </w:t>
            </w:r>
          </w:p>
        </w:tc>
        <w:tc>
          <w:tcPr>
            <w:tcW w:w="175"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700" w:type="dxa"/>
            <w:tcBorders>
              <w:bottom w:val="double" w:sz="10" w:space="0" w:color="000000"/>
            </w:tcBorders>
            <w:shd w:fill="auto" w:val="clear"/>
            <w:tcMar>
              <w:bottom w:w="28" w:type="dxa"/>
            </w:tcMar>
            <w:vAlign w:val="center"/>
          </w:tcPr>
          <w:p>
            <w:pPr>
              <w:pStyle w:val="TableContents"/>
              <w:spacing w:before="0" w:after="283"/>
              <w:jc w:val="right"/>
              <w:rPr/>
            </w:pPr>
            <w:r>
              <w:rPr/>
              <w:t>1,919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25" w:type="dxa"/>
            <w:tcBorders>
              <w:bottom w:val="double" w:sz="10" w:space="0" w:color="000000"/>
            </w:tcBorders>
            <w:shd w:fill="auto" w:val="clear"/>
            <w:tcMar>
              <w:bottom w:w="28" w:type="dxa"/>
            </w:tcMar>
            <w:vAlign w:val="center"/>
          </w:tcPr>
          <w:p>
            <w:pPr>
              <w:pStyle w:val="TableContents"/>
              <w:spacing w:before="0" w:after="283"/>
              <w:jc w:val="right"/>
              <w:rPr/>
            </w:pPr>
            <w:r>
              <w:rPr/>
              <w:t>13,033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4" w:type="dxa"/>
            <w:tcBorders>
              <w:bottom w:val="double" w:sz="10" w:space="0" w:color="000000"/>
            </w:tcBorders>
            <w:shd w:fill="auto" w:val="clear"/>
            <w:tcMar>
              <w:bottom w:w="28" w:type="dxa"/>
            </w:tcMar>
            <w:vAlign w:val="center"/>
          </w:tcPr>
          <w:p>
            <w:pPr>
              <w:pStyle w:val="TableContents"/>
              <w:spacing w:before="0" w:after="283"/>
              <w:jc w:val="right"/>
              <w:rPr/>
            </w:pPr>
            <w:r>
              <w:rPr/>
              <w:t>14,952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53" w:type="dxa"/>
            <w:tcBorders>
              <w:bottom w:val="double" w:sz="10" w:space="0" w:color="000000"/>
            </w:tcBorders>
            <w:shd w:fill="auto" w:val="clear"/>
            <w:tcMar>
              <w:bottom w:w="28" w:type="dxa"/>
            </w:tcMar>
            <w:vAlign w:val="center"/>
          </w:tcPr>
          <w:p>
            <w:pPr>
              <w:pStyle w:val="TableContents"/>
              <w:spacing w:before="0" w:after="283"/>
              <w:jc w:val="right"/>
              <w:rPr/>
            </w:pPr>
            <w:r>
              <w:rPr/>
              <w:t>(225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45" w:type="dxa"/>
            <w:tcBorders>
              <w:bottom w:val="double" w:sz="10" w:space="0" w:color="000000"/>
            </w:tcBorders>
            <w:shd w:fill="auto" w:val="clear"/>
            <w:tcMar>
              <w:bottom w:w="28" w:type="dxa"/>
            </w:tcMar>
            <w:vAlign w:val="center"/>
          </w:tcPr>
          <w:p>
            <w:pPr>
              <w:pStyle w:val="TableContents"/>
              <w:spacing w:before="0" w:after="283"/>
              <w:jc w:val="right"/>
              <w:rPr/>
            </w:pPr>
            <w:r>
              <w:rPr/>
              <w:t>(655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83" w:type="dxa"/>
            <w:tcBorders>
              <w:bottom w:val="double" w:sz="10" w:space="0" w:color="000000"/>
            </w:tcBorders>
            <w:shd w:fill="auto" w:val="clear"/>
            <w:tcMar>
              <w:bottom w:w="28" w:type="dxa"/>
            </w:tcMar>
            <w:vAlign w:val="center"/>
          </w:tcPr>
          <w:p>
            <w:pPr>
              <w:pStyle w:val="TableContents"/>
              <w:spacing w:before="0" w:after="283"/>
              <w:jc w:val="right"/>
              <w:rPr/>
            </w:pPr>
            <w:r>
              <w:rPr/>
              <w:t>(880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3"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92" w:type="dxa"/>
            <w:tcBorders>
              <w:bottom w:val="double" w:sz="10" w:space="0" w:color="000000"/>
            </w:tcBorders>
            <w:shd w:fill="auto" w:val="clear"/>
            <w:tcMar>
              <w:bottom w:w="28" w:type="dxa"/>
            </w:tcMar>
            <w:vAlign w:val="center"/>
          </w:tcPr>
          <w:p>
            <w:pPr>
              <w:pStyle w:val="TableContents"/>
              <w:spacing w:before="0" w:after="283"/>
              <w:jc w:val="right"/>
              <w:rPr/>
            </w:pPr>
            <w:r>
              <w:rPr/>
              <w:t>1,694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4" w:type="dxa"/>
            <w:tcBorders>
              <w:bottom w:val="double" w:sz="10" w:space="0" w:color="000000"/>
            </w:tcBorders>
            <w:shd w:fill="auto" w:val="clear"/>
            <w:tcMar>
              <w:bottom w:w="28" w:type="dxa"/>
            </w:tcMar>
            <w:vAlign w:val="center"/>
          </w:tcPr>
          <w:p>
            <w:pPr>
              <w:pStyle w:val="TableContents"/>
              <w:spacing w:before="0" w:after="283"/>
              <w:jc w:val="right"/>
              <w:rPr/>
            </w:pPr>
            <w:r>
              <w:rPr/>
              <w:t>14,072</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recorded in selling, general and administrative in the consolidated statements of operations were $655 thousand and $218 thousand for the years ended December 31, 2021 and 2020, respectively.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on finite-lived intangible assets is as follows:</w:t>
      </w:r>
    </w:p>
    <w:p>
      <w:pPr>
        <w:pStyle w:val="TextBody"/>
        <w:spacing w:before="0" w:after="0"/>
        <w:ind w:left="0" w:right="0" w:firstLine="360"/>
        <w:rPr>
          <w:caps w:val="false"/>
          <w:smallCaps w:val="false"/>
        </w:rPr>
      </w:pPr>
      <w:r>
        <w:rPr>
          <w:caps w:val="false"/>
          <w:smallCaps w:val="false"/>
        </w:rPr>
        <w:t> </w:t>
      </w:r>
    </w:p>
    <w:tbl>
      <w:tblPr>
        <w:tblW w:w="7240" w:type="dxa"/>
        <w:jc w:val="left"/>
        <w:tblInd w:w="0" w:type="dxa"/>
        <w:tblCellMar>
          <w:top w:w="0" w:type="dxa"/>
          <w:left w:w="0" w:type="dxa"/>
          <w:bottom w:w="28" w:type="dxa"/>
          <w:right w:w="0" w:type="dxa"/>
        </w:tblCellMar>
      </w:tblPr>
      <w:tblGrid>
        <w:gridCol w:w="6245"/>
        <w:gridCol w:w="60"/>
        <w:gridCol w:w="146"/>
        <w:gridCol w:w="714"/>
        <w:gridCol w:w="75"/>
      </w:tblGrid>
      <w:tr>
        <w:trPr/>
        <w:tc>
          <w:tcPr>
            <w:tcW w:w="6245" w:type="dxa"/>
            <w:tcBorders>
              <w:bottom w:val="single" w:sz="12" w:space="0" w:color="000000"/>
            </w:tcBorders>
            <w:shd w:fill="auto" w:val="clear"/>
            <w:vAlign w:val="center"/>
          </w:tcPr>
          <w:p>
            <w:pPr>
              <w:pStyle w:val="TableContents"/>
              <w:spacing w:before="0" w:after="283"/>
              <w:jc w:val="left"/>
              <w:rPr>
                <w:b/>
              </w:rPr>
            </w:pPr>
            <w:r>
              <w:rPr>
                <w:b/>
              </w:rPr>
              <w:t>Years Ending December 31 (Dollar Amounts in Thousands), </w:t>
            </w:r>
          </w:p>
        </w:tc>
        <w:tc>
          <w:tcPr>
            <w:tcW w:w="60" w:type="dxa"/>
            <w:tcBorders/>
            <w:shd w:fill="auto" w:val="clear"/>
            <w:tcMar>
              <w:bottom w:w="0" w:type="dxa"/>
            </w:tcMar>
            <w:vAlign w:val="center"/>
          </w:tcPr>
          <w:p>
            <w:pPr>
              <w:pStyle w:val="TableContents"/>
              <w:spacing w:before="0" w:after="283"/>
              <w:rPr/>
            </w:pPr>
            <w:r>
              <w:rPr/>
              <w:t> </w:t>
            </w:r>
          </w:p>
        </w:tc>
        <w:tc>
          <w:tcPr>
            <w:tcW w:w="860" w:type="dxa"/>
            <w:gridSpan w:val="2"/>
            <w:tcBorders>
              <w:bottom w:val="single" w:sz="12" w:space="0" w:color="000000"/>
            </w:tcBorders>
            <w:shd w:fill="auto" w:val="clear"/>
            <w:vAlign w:val="center"/>
          </w:tcPr>
          <w:p>
            <w:pPr>
              <w:pStyle w:val="TableContents"/>
              <w:spacing w:before="0" w:after="283"/>
              <w:jc w:val="center"/>
              <w:rPr>
                <w:b/>
              </w:rPr>
            </w:pPr>
            <w:r>
              <w:rPr>
                <w:b/>
              </w:rPr>
              <w:t>Amount</w:t>
            </w:r>
          </w:p>
        </w:tc>
        <w:tc>
          <w:tcPr>
            <w:tcW w:w="75" w:type="dxa"/>
            <w:tcBorders/>
            <w:shd w:fill="auto" w:val="clear"/>
            <w:tcMar>
              <w:bottom w:w="0" w:type="dxa"/>
            </w:tcMar>
            <w:vAlign w:val="center"/>
          </w:tcPr>
          <w:p>
            <w:pPr>
              <w:pStyle w:val="TableContents"/>
              <w:spacing w:before="0" w:after="283"/>
              <w:rPr/>
            </w:pPr>
            <w:r>
              <w:rPr/>
              <w:t> </w:t>
            </w:r>
          </w:p>
        </w:tc>
      </w:tr>
      <w:tr>
        <w:trPr/>
        <w:tc>
          <w:tcPr>
            <w:tcW w:w="6245" w:type="dxa"/>
            <w:tcBorders/>
            <w:shd w:fill="CCEEFF" w:val="clear"/>
            <w:tcMar>
              <w:bottom w:w="0" w:type="dxa"/>
            </w:tcMar>
            <w:vAlign w:val="center"/>
          </w:tcPr>
          <w:p>
            <w:pPr>
              <w:pStyle w:val="TableContents"/>
              <w:spacing w:before="0" w:after="283"/>
              <w:jc w:val="left"/>
              <w:rPr/>
            </w:pPr>
            <w:r>
              <w:rPr/>
              <w:t>2022</w:t>
            </w:r>
          </w:p>
        </w:tc>
        <w:tc>
          <w:tcPr>
            <w:tcW w:w="60"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center"/>
          </w:tcPr>
          <w:p>
            <w:pPr>
              <w:pStyle w:val="TableContents"/>
              <w:spacing w:before="0" w:after="283"/>
              <w:jc w:val="left"/>
              <w:rPr/>
            </w:pPr>
            <w:r>
              <w:rPr/>
              <w:t>$</w:t>
            </w:r>
          </w:p>
        </w:tc>
        <w:tc>
          <w:tcPr>
            <w:tcW w:w="714" w:type="dxa"/>
            <w:tcBorders/>
            <w:shd w:fill="CCEEFF" w:val="clear"/>
            <w:tcMar>
              <w:bottom w:w="0" w:type="dxa"/>
            </w:tcMar>
            <w:vAlign w:val="center"/>
          </w:tcPr>
          <w:p>
            <w:pPr>
              <w:pStyle w:val="TableContents"/>
              <w:spacing w:before="0" w:after="283"/>
              <w:jc w:val="right"/>
              <w:rPr/>
            </w:pPr>
            <w:r>
              <w:rPr/>
              <w:t>2,444</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6245" w:type="dxa"/>
            <w:tcBorders/>
            <w:shd w:fill="auto" w:val="clear"/>
            <w:tcMar>
              <w:bottom w:w="0" w:type="dxa"/>
            </w:tcMar>
            <w:vAlign w:val="center"/>
          </w:tcPr>
          <w:p>
            <w:pPr>
              <w:pStyle w:val="TableContents"/>
              <w:spacing w:before="0" w:after="283"/>
              <w:jc w:val="left"/>
              <w:rPr/>
            </w:pPr>
            <w:r>
              <w:rPr/>
              <w:t>2023</w:t>
            </w:r>
          </w:p>
        </w:tc>
        <w:tc>
          <w:tcPr>
            <w:tcW w:w="60" w:type="dxa"/>
            <w:tcBorders/>
            <w:shd w:fill="auto" w:val="clear"/>
            <w:tcMar>
              <w:bottom w:w="0" w:type="dxa"/>
            </w:tcMar>
            <w:vAlign w:val="center"/>
          </w:tcPr>
          <w:p>
            <w:pPr>
              <w:pStyle w:val="TableContents"/>
              <w:spacing w:before="0" w:after="283"/>
              <w:rPr/>
            </w:pPr>
            <w:r>
              <w:rPr/>
              <w:t> </w:t>
            </w:r>
          </w:p>
        </w:tc>
        <w:tc>
          <w:tcPr>
            <w:tcW w:w="146" w:type="dxa"/>
            <w:tcBorders/>
            <w:shd w:fill="auto" w:val="clear"/>
            <w:tcMar>
              <w:bottom w:w="0" w:type="dxa"/>
            </w:tcMar>
            <w:vAlign w:val="center"/>
          </w:tcPr>
          <w:p>
            <w:pPr>
              <w:pStyle w:val="TableContents"/>
              <w:spacing w:before="0" w:after="283"/>
              <w:jc w:val="left"/>
              <w:rPr/>
            </w:pPr>
            <w:r>
              <w:rPr/>
              <w:t> </w:t>
            </w:r>
          </w:p>
        </w:tc>
        <w:tc>
          <w:tcPr>
            <w:tcW w:w="714" w:type="dxa"/>
            <w:tcBorders/>
            <w:shd w:fill="auto" w:val="clear"/>
            <w:tcMar>
              <w:bottom w:w="0" w:type="dxa"/>
            </w:tcMar>
            <w:vAlign w:val="center"/>
          </w:tcPr>
          <w:p>
            <w:pPr>
              <w:pStyle w:val="TableContents"/>
              <w:spacing w:before="0" w:after="283"/>
              <w:jc w:val="right"/>
              <w:rPr/>
            </w:pPr>
            <w:r>
              <w:rPr/>
              <w:t>2,409</w:t>
            </w:r>
          </w:p>
        </w:tc>
        <w:tc>
          <w:tcPr>
            <w:tcW w:w="75" w:type="dxa"/>
            <w:tcBorders/>
            <w:shd w:fill="auto" w:val="clear"/>
            <w:tcMar>
              <w:bottom w:w="0" w:type="dxa"/>
            </w:tcMar>
            <w:vAlign w:val="center"/>
          </w:tcPr>
          <w:p>
            <w:pPr>
              <w:pStyle w:val="TableContents"/>
              <w:spacing w:before="0" w:after="283"/>
              <w:jc w:val="left"/>
              <w:rPr/>
            </w:pPr>
            <w:r>
              <w:rPr/>
              <w:t> </w:t>
            </w:r>
          </w:p>
        </w:tc>
      </w:tr>
      <w:tr>
        <w:trPr/>
        <w:tc>
          <w:tcPr>
            <w:tcW w:w="6245" w:type="dxa"/>
            <w:tcBorders/>
            <w:shd w:fill="CCEEFF" w:val="clear"/>
            <w:tcMar>
              <w:bottom w:w="0" w:type="dxa"/>
            </w:tcMar>
            <w:vAlign w:val="center"/>
          </w:tcPr>
          <w:p>
            <w:pPr>
              <w:pStyle w:val="TableContents"/>
              <w:spacing w:before="0" w:after="283"/>
              <w:jc w:val="left"/>
              <w:rPr/>
            </w:pPr>
            <w:r>
              <w:rPr/>
              <w:t>2024</w:t>
            </w:r>
          </w:p>
        </w:tc>
        <w:tc>
          <w:tcPr>
            <w:tcW w:w="60"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center"/>
          </w:tcPr>
          <w:p>
            <w:pPr>
              <w:pStyle w:val="TableContents"/>
              <w:spacing w:before="0" w:after="283"/>
              <w:jc w:val="left"/>
              <w:rPr/>
            </w:pPr>
            <w:r>
              <w:rPr/>
              <w:t> </w:t>
            </w:r>
          </w:p>
        </w:tc>
        <w:tc>
          <w:tcPr>
            <w:tcW w:w="714" w:type="dxa"/>
            <w:tcBorders/>
            <w:shd w:fill="CCEEFF" w:val="clear"/>
            <w:tcMar>
              <w:bottom w:w="0" w:type="dxa"/>
            </w:tcMar>
            <w:vAlign w:val="center"/>
          </w:tcPr>
          <w:p>
            <w:pPr>
              <w:pStyle w:val="TableContents"/>
              <w:spacing w:before="0" w:after="283"/>
              <w:jc w:val="right"/>
              <w:rPr/>
            </w:pPr>
            <w:r>
              <w:rPr/>
              <w:t>2,401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6245" w:type="dxa"/>
            <w:tcBorders/>
            <w:shd w:fill="auto" w:val="clear"/>
            <w:tcMar>
              <w:bottom w:w="0" w:type="dxa"/>
            </w:tcMar>
            <w:vAlign w:val="center"/>
          </w:tcPr>
          <w:p>
            <w:pPr>
              <w:pStyle w:val="TableContents"/>
              <w:spacing w:before="0" w:after="283"/>
              <w:jc w:val="left"/>
              <w:rPr/>
            </w:pPr>
            <w:r>
              <w:rPr/>
              <w:t>2025</w:t>
            </w:r>
          </w:p>
        </w:tc>
        <w:tc>
          <w:tcPr>
            <w:tcW w:w="60" w:type="dxa"/>
            <w:tcBorders/>
            <w:shd w:fill="auto" w:val="clear"/>
            <w:tcMar>
              <w:bottom w:w="0" w:type="dxa"/>
            </w:tcMar>
            <w:vAlign w:val="center"/>
          </w:tcPr>
          <w:p>
            <w:pPr>
              <w:pStyle w:val="TableContents"/>
              <w:spacing w:before="0" w:after="283"/>
              <w:rPr/>
            </w:pPr>
            <w:r>
              <w:rPr/>
              <w:t> </w:t>
            </w:r>
          </w:p>
        </w:tc>
        <w:tc>
          <w:tcPr>
            <w:tcW w:w="146" w:type="dxa"/>
            <w:tcBorders/>
            <w:shd w:fill="auto" w:val="clear"/>
            <w:tcMar>
              <w:bottom w:w="0" w:type="dxa"/>
            </w:tcMar>
            <w:vAlign w:val="center"/>
          </w:tcPr>
          <w:p>
            <w:pPr>
              <w:pStyle w:val="TableContents"/>
              <w:spacing w:before="0" w:after="283"/>
              <w:jc w:val="left"/>
              <w:rPr/>
            </w:pPr>
            <w:r>
              <w:rPr/>
              <w:t> </w:t>
            </w:r>
          </w:p>
        </w:tc>
        <w:tc>
          <w:tcPr>
            <w:tcW w:w="714" w:type="dxa"/>
            <w:tcBorders/>
            <w:shd w:fill="auto" w:val="clear"/>
            <w:tcMar>
              <w:bottom w:w="0" w:type="dxa"/>
            </w:tcMar>
            <w:vAlign w:val="center"/>
          </w:tcPr>
          <w:p>
            <w:pPr>
              <w:pStyle w:val="TableContents"/>
              <w:spacing w:before="0" w:after="283"/>
              <w:jc w:val="right"/>
              <w:rPr/>
            </w:pPr>
            <w:r>
              <w:rPr/>
              <w:t>2,375</w:t>
            </w:r>
          </w:p>
        </w:tc>
        <w:tc>
          <w:tcPr>
            <w:tcW w:w="75" w:type="dxa"/>
            <w:tcBorders/>
            <w:shd w:fill="auto" w:val="clear"/>
            <w:tcMar>
              <w:bottom w:w="0" w:type="dxa"/>
            </w:tcMar>
            <w:vAlign w:val="center"/>
          </w:tcPr>
          <w:p>
            <w:pPr>
              <w:pStyle w:val="TableContents"/>
              <w:spacing w:before="0" w:after="283"/>
              <w:jc w:val="left"/>
              <w:rPr/>
            </w:pPr>
            <w:r>
              <w:rPr/>
              <w:t> </w:t>
            </w:r>
          </w:p>
        </w:tc>
      </w:tr>
      <w:tr>
        <w:trPr/>
        <w:tc>
          <w:tcPr>
            <w:tcW w:w="6245" w:type="dxa"/>
            <w:tcBorders/>
            <w:shd w:fill="CCEEFF" w:val="clear"/>
            <w:tcMar>
              <w:bottom w:w="0" w:type="dxa"/>
            </w:tcMar>
            <w:vAlign w:val="center"/>
          </w:tcPr>
          <w:p>
            <w:pPr>
              <w:pStyle w:val="TableContents"/>
              <w:spacing w:before="0" w:after="283"/>
              <w:jc w:val="left"/>
              <w:rPr/>
            </w:pPr>
            <w:r>
              <w:rPr/>
              <w:t>2026</w:t>
            </w:r>
          </w:p>
        </w:tc>
        <w:tc>
          <w:tcPr>
            <w:tcW w:w="60"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center"/>
          </w:tcPr>
          <w:p>
            <w:pPr>
              <w:pStyle w:val="TableContents"/>
              <w:spacing w:before="0" w:after="283"/>
              <w:jc w:val="left"/>
              <w:rPr/>
            </w:pPr>
            <w:r>
              <w:rPr/>
              <w:t> </w:t>
            </w:r>
          </w:p>
        </w:tc>
        <w:tc>
          <w:tcPr>
            <w:tcW w:w="714" w:type="dxa"/>
            <w:tcBorders/>
            <w:shd w:fill="CCEEFF" w:val="clear"/>
            <w:tcMar>
              <w:bottom w:w="0" w:type="dxa"/>
            </w:tcMar>
            <w:vAlign w:val="center"/>
          </w:tcPr>
          <w:p>
            <w:pPr>
              <w:pStyle w:val="TableContents"/>
              <w:spacing w:before="0" w:after="283"/>
              <w:jc w:val="right"/>
              <w:rPr/>
            </w:pPr>
            <w:r>
              <w:rPr/>
              <w:t>2,124</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6245" w:type="dxa"/>
            <w:tcBorders/>
            <w:shd w:fill="auto" w:val="clear"/>
            <w:tcMar>
              <w:bottom w:w="0" w:type="dxa"/>
            </w:tcMar>
            <w:vAlign w:val="center"/>
          </w:tcPr>
          <w:p>
            <w:pPr>
              <w:pStyle w:val="TableContents"/>
              <w:spacing w:before="0" w:after="283"/>
              <w:jc w:val="left"/>
              <w:rPr/>
            </w:pPr>
            <w:r>
              <w:rPr/>
              <w:t>2027 and thereafter</w:t>
            </w:r>
          </w:p>
        </w:tc>
        <w:tc>
          <w:tcPr>
            <w:tcW w:w="60" w:type="dxa"/>
            <w:tcBorders/>
            <w:shd w:fill="auto" w:val="clear"/>
            <w:tcMar>
              <w:bottom w:w="0" w:type="dxa"/>
            </w:tcMar>
            <w:vAlign w:val="center"/>
          </w:tcPr>
          <w:p>
            <w:pPr>
              <w:pStyle w:val="TableContents"/>
              <w:spacing w:before="0" w:after="283"/>
              <w:rPr/>
            </w:pPr>
            <w:r>
              <w:rPr/>
              <w:t> </w:t>
            </w:r>
          </w:p>
        </w:tc>
        <w:tc>
          <w:tcPr>
            <w:tcW w:w="146" w:type="dxa"/>
            <w:tcBorders>
              <w:bottom w:val="single" w:sz="12" w:space="0" w:color="000000"/>
            </w:tcBorders>
            <w:shd w:fill="auto" w:val="clear"/>
            <w:vAlign w:val="center"/>
          </w:tcPr>
          <w:p>
            <w:pPr>
              <w:pStyle w:val="TableContents"/>
              <w:spacing w:before="0" w:after="283"/>
              <w:jc w:val="left"/>
              <w:rPr/>
            </w:pPr>
            <w:r>
              <w:rPr/>
              <w:t> </w:t>
            </w:r>
          </w:p>
        </w:tc>
        <w:tc>
          <w:tcPr>
            <w:tcW w:w="714" w:type="dxa"/>
            <w:tcBorders>
              <w:bottom w:val="single" w:sz="12" w:space="0" w:color="000000"/>
            </w:tcBorders>
            <w:shd w:fill="auto" w:val="clear"/>
            <w:vAlign w:val="center"/>
          </w:tcPr>
          <w:p>
            <w:pPr>
              <w:pStyle w:val="TableContents"/>
              <w:spacing w:before="0" w:after="283"/>
              <w:jc w:val="right"/>
              <w:rPr/>
            </w:pPr>
            <w:r>
              <w:rPr/>
              <w:t>2,319</w:t>
            </w:r>
          </w:p>
        </w:tc>
        <w:tc>
          <w:tcPr>
            <w:tcW w:w="75" w:type="dxa"/>
            <w:tcBorders/>
            <w:shd w:fill="auto" w:val="clear"/>
            <w:tcMar>
              <w:bottom w:w="0" w:type="dxa"/>
            </w:tcMar>
            <w:vAlign w:val="center"/>
          </w:tcPr>
          <w:p>
            <w:pPr>
              <w:pStyle w:val="TableContents"/>
              <w:spacing w:before="0" w:after="283"/>
              <w:jc w:val="left"/>
              <w:rPr/>
            </w:pPr>
            <w:r>
              <w:rPr/>
              <w:t> </w:t>
            </w:r>
          </w:p>
        </w:tc>
      </w:tr>
      <w:tr>
        <w:trPr/>
        <w:tc>
          <w:tcPr>
            <w:tcW w:w="6245" w:type="dxa"/>
            <w:tcBorders/>
            <w:shd w:fill="CCEEFF" w:val="clear"/>
            <w:tcMar>
              <w:bottom w:w="0" w:type="dxa"/>
            </w:tcMar>
            <w:vAlign w:val="center"/>
          </w:tcPr>
          <w:p>
            <w:pPr>
              <w:pStyle w:val="TableContents"/>
              <w:spacing w:before="0" w:after="283"/>
              <w:jc w:val="left"/>
              <w:rPr>
                <w:b/>
              </w:rPr>
            </w:pPr>
            <w:r>
              <w:rPr>
                <w:b/>
              </w:rPr>
              <w:t>Total</w:t>
            </w:r>
          </w:p>
        </w:tc>
        <w:tc>
          <w:tcPr>
            <w:tcW w:w="60" w:type="dxa"/>
            <w:tcBorders/>
            <w:shd w:fill="CCEEFF" w:val="clear"/>
            <w:tcMar>
              <w:bottom w:w="0" w:type="dxa"/>
            </w:tcMar>
            <w:vAlign w:val="center"/>
          </w:tcPr>
          <w:p>
            <w:pPr>
              <w:pStyle w:val="TableContents"/>
              <w:spacing w:before="0" w:after="283"/>
              <w:rPr/>
            </w:pPr>
            <w:r>
              <w:rPr/>
              <w:t> </w:t>
            </w:r>
          </w:p>
        </w:tc>
        <w:tc>
          <w:tcPr>
            <w:tcW w:w="146" w:type="dxa"/>
            <w:tcBorders>
              <w:bottom w:val="double" w:sz="10" w:space="0" w:color="000000"/>
            </w:tcBorders>
            <w:shd w:fill="CCEEFF" w:val="clear"/>
            <w:vAlign w:val="center"/>
          </w:tcPr>
          <w:p>
            <w:pPr>
              <w:pStyle w:val="TableContents"/>
              <w:spacing w:before="0" w:after="283"/>
              <w:jc w:val="left"/>
              <w:rPr/>
            </w:pPr>
            <w:r>
              <w:rPr/>
              <w:t>$</w:t>
            </w:r>
          </w:p>
        </w:tc>
        <w:tc>
          <w:tcPr>
            <w:tcW w:w="714" w:type="dxa"/>
            <w:tcBorders>
              <w:bottom w:val="double" w:sz="10" w:space="0" w:color="000000"/>
            </w:tcBorders>
            <w:shd w:fill="CCEEFF" w:val="clear"/>
            <w:vAlign w:val="center"/>
          </w:tcPr>
          <w:p>
            <w:pPr>
              <w:pStyle w:val="TableContents"/>
              <w:spacing w:before="0" w:after="283"/>
              <w:jc w:val="right"/>
              <w:rPr/>
            </w:pPr>
            <w:r>
              <w:rPr/>
              <w:t>14,072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goodwill are as follows:</w:t>
      </w:r>
    </w:p>
    <w:p>
      <w:pPr>
        <w:pStyle w:val="TextBody"/>
        <w:spacing w:before="0" w:after="0"/>
        <w:ind w:left="0" w:right="0" w:firstLine="360"/>
        <w:rPr>
          <w:caps w:val="false"/>
          <w:smallCaps w:val="false"/>
        </w:rPr>
      </w:pPr>
      <w:r>
        <w:rPr>
          <w:caps w:val="false"/>
          <w:smallCaps w:val="false"/>
        </w:rPr>
        <w:t> </w:t>
      </w:r>
    </w:p>
    <w:tbl>
      <w:tblPr>
        <w:tblW w:w="6463" w:type="dxa"/>
        <w:jc w:val="left"/>
        <w:tblInd w:w="0" w:type="dxa"/>
        <w:tblCellMar>
          <w:top w:w="0" w:type="dxa"/>
          <w:left w:w="0" w:type="dxa"/>
          <w:bottom w:w="28" w:type="dxa"/>
          <w:right w:w="0" w:type="dxa"/>
        </w:tblCellMar>
      </w:tblPr>
      <w:tblGrid>
        <w:gridCol w:w="3260"/>
        <w:gridCol w:w="60"/>
        <w:gridCol w:w="251"/>
        <w:gridCol w:w="1223"/>
        <w:gridCol w:w="60"/>
        <w:gridCol w:w="60"/>
        <w:gridCol w:w="396"/>
        <w:gridCol w:w="1078"/>
        <w:gridCol w:w="75"/>
      </w:tblGrid>
      <w:tr>
        <w:trPr/>
        <w:tc>
          <w:tcPr>
            <w:tcW w:w="3260" w:type="dxa"/>
            <w:tcBorders>
              <w:bottom w:val="single" w:sz="12" w:space="0" w:color="000000"/>
            </w:tcBorders>
            <w:shd w:fill="auto" w:val="clear"/>
            <w:vAlign w:val="center"/>
          </w:tcPr>
          <w:p>
            <w:pPr>
              <w:pStyle w:val="TableContents"/>
              <w:spacing w:before="0" w:after="283"/>
              <w:jc w:val="left"/>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2020</w:t>
            </w:r>
          </w:p>
        </w:tc>
        <w:tc>
          <w:tcPr>
            <w:tcW w:w="75" w:type="dxa"/>
            <w:tcBorders/>
            <w:shd w:fill="auto" w:val="clear"/>
            <w:tcMar>
              <w:bottom w:w="0" w:type="dxa"/>
            </w:tcMar>
            <w:vAlign w:val="center"/>
          </w:tcPr>
          <w:p>
            <w:pPr>
              <w:pStyle w:val="TableContents"/>
              <w:spacing w:before="0" w:after="283"/>
              <w:rPr/>
            </w:pPr>
            <w:r>
              <w:rPr/>
              <w:t> </w:t>
            </w:r>
          </w:p>
        </w:tc>
      </w:tr>
      <w:tr>
        <w:trPr/>
        <w:tc>
          <w:tcPr>
            <w:tcW w:w="3260" w:type="dxa"/>
            <w:tcBorders/>
            <w:shd w:fill="CCEEFF" w:val="clear"/>
            <w:tcMar>
              <w:bottom w:w="0" w:type="dxa"/>
            </w:tcMar>
            <w:vAlign w:val="center"/>
          </w:tcPr>
          <w:p>
            <w:pPr>
              <w:pStyle w:val="TableContents"/>
              <w:spacing w:before="0" w:after="283"/>
              <w:rPr/>
            </w:pPr>
            <w:r>
              <w:rPr/>
              <w:t>Balance, beginning of period</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3" w:type="dxa"/>
            <w:tcBorders/>
            <w:shd w:fill="CCEEFF" w:val="clear"/>
            <w:tcMar>
              <w:bottom w:w="0" w:type="dxa"/>
            </w:tcMar>
            <w:vAlign w:val="center"/>
          </w:tcPr>
          <w:p>
            <w:pPr>
              <w:pStyle w:val="TableContents"/>
              <w:spacing w:before="0" w:after="283"/>
              <w:jc w:val="right"/>
              <w:rPr/>
            </w:pPr>
            <w:r>
              <w:rPr/>
              <w:t>632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96" w:type="dxa"/>
            <w:tcBorders/>
            <w:shd w:fill="CCEEFF" w:val="clear"/>
            <w:tcMar>
              <w:bottom w:w="0" w:type="dxa"/>
            </w:tcMar>
            <w:vAlign w:val="center"/>
          </w:tcPr>
          <w:p>
            <w:pPr>
              <w:pStyle w:val="TableContents"/>
              <w:spacing w:before="0" w:after="283"/>
              <w:jc w:val="left"/>
              <w:rPr/>
            </w:pPr>
            <w:r>
              <w:rPr/>
              <w:t>$</w:t>
            </w:r>
          </w:p>
        </w:tc>
        <w:tc>
          <w:tcPr>
            <w:tcW w:w="1078"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Goodwill additions</w:t>
            </w:r>
          </w:p>
        </w:tc>
        <w:tc>
          <w:tcPr>
            <w:tcW w:w="60" w:type="dxa"/>
            <w:tcBorders/>
            <w:shd w:fill="auto" w:val="clear"/>
            <w:tcMar>
              <w:bottom w:w="0" w:type="dxa"/>
            </w:tcMar>
            <w:vAlign w:val="center"/>
          </w:tcPr>
          <w:p>
            <w:pPr>
              <w:pStyle w:val="TableContents"/>
              <w:spacing w:before="0" w:after="283"/>
              <w:rPr/>
            </w:pPr>
            <w:r>
              <w:rPr/>
              <w:t> </w:t>
            </w:r>
          </w:p>
        </w:tc>
        <w:tc>
          <w:tcPr>
            <w:tcW w:w="251" w:type="dxa"/>
            <w:tcBorders>
              <w:bottom w:val="single" w:sz="12" w:space="0" w:color="000000"/>
            </w:tcBorders>
            <w:shd w:fill="auto" w:val="clear"/>
            <w:vAlign w:val="center"/>
          </w:tcPr>
          <w:p>
            <w:pPr>
              <w:pStyle w:val="TableContents"/>
              <w:spacing w:before="0" w:after="283"/>
              <w:jc w:val="left"/>
              <w:rPr/>
            </w:pPr>
            <w:r>
              <w:rPr/>
              <w:t> </w:t>
            </w:r>
          </w:p>
        </w:tc>
        <w:tc>
          <w:tcPr>
            <w:tcW w:w="1223" w:type="dxa"/>
            <w:tcBorders>
              <w:bottom w:val="single" w:sz="12" w:space="0" w:color="000000"/>
            </w:tcBorders>
            <w:shd w:fill="auto" w:val="clear"/>
            <w:vAlign w:val="center"/>
          </w:tcPr>
          <w:p>
            <w:pPr>
              <w:pStyle w:val="TableContents"/>
              <w:spacing w:before="0" w:after="283"/>
              <w:jc w:val="right"/>
              <w:rPr/>
            </w:pPr>
            <w:r>
              <w:rPr/>
              <w:t>49,458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96" w:type="dxa"/>
            <w:tcBorders>
              <w:bottom w:val="single" w:sz="12" w:space="0" w:color="000000"/>
            </w:tcBorders>
            <w:shd w:fill="auto" w:val="clear"/>
            <w:vAlign w:val="center"/>
          </w:tcPr>
          <w:p>
            <w:pPr>
              <w:pStyle w:val="TableContents"/>
              <w:spacing w:before="0" w:after="283"/>
              <w:jc w:val="left"/>
              <w:rPr/>
            </w:pPr>
            <w:r>
              <w:rPr/>
              <w:t> </w:t>
            </w:r>
          </w:p>
        </w:tc>
        <w:tc>
          <w:tcPr>
            <w:tcW w:w="1078" w:type="dxa"/>
            <w:tcBorders>
              <w:bottom w:val="single" w:sz="12" w:space="0" w:color="000000"/>
            </w:tcBorders>
            <w:shd w:fill="auto" w:val="clear"/>
            <w:vAlign w:val="center"/>
          </w:tcPr>
          <w:p>
            <w:pPr>
              <w:pStyle w:val="TableContents"/>
              <w:spacing w:before="0" w:after="283"/>
              <w:jc w:val="right"/>
              <w:rPr/>
            </w:pPr>
            <w:r>
              <w:rPr/>
              <w:t>632</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60" w:type="dxa"/>
            <w:tcBorders/>
            <w:shd w:fill="CCEEFF" w:val="clear"/>
            <w:tcMar>
              <w:bottom w:w="0" w:type="dxa"/>
            </w:tcMar>
            <w:vAlign w:val="center"/>
          </w:tcPr>
          <w:p>
            <w:pPr>
              <w:pStyle w:val="TableContents"/>
              <w:spacing w:before="0" w:after="283"/>
              <w:rPr/>
            </w:pPr>
            <w:r>
              <w:rPr/>
              <w:t>Balance, end of period</w:t>
            </w:r>
          </w:p>
        </w:tc>
        <w:tc>
          <w:tcPr>
            <w:tcW w:w="60" w:type="dxa"/>
            <w:tcBorders/>
            <w:shd w:fill="CCEEFF" w:val="clear"/>
            <w:tcMar>
              <w:bottom w:w="0" w:type="dxa"/>
            </w:tcMar>
            <w:vAlign w:val="center"/>
          </w:tcPr>
          <w:p>
            <w:pPr>
              <w:pStyle w:val="TableContents"/>
              <w:spacing w:before="0" w:after="283"/>
              <w:rPr/>
            </w:pPr>
            <w:r>
              <w:rPr/>
              <w:t> </w:t>
            </w:r>
          </w:p>
        </w:tc>
        <w:tc>
          <w:tcPr>
            <w:tcW w:w="251" w:type="dxa"/>
            <w:tcBorders>
              <w:bottom w:val="double" w:sz="10" w:space="0" w:color="000000"/>
            </w:tcBorders>
            <w:shd w:fill="CCEEFF" w:val="clear"/>
            <w:vAlign w:val="center"/>
          </w:tcPr>
          <w:p>
            <w:pPr>
              <w:pStyle w:val="TableContents"/>
              <w:spacing w:before="0" w:after="283"/>
              <w:jc w:val="left"/>
              <w:rPr/>
            </w:pPr>
            <w:r>
              <w:rPr/>
              <w:t>$</w:t>
            </w:r>
          </w:p>
        </w:tc>
        <w:tc>
          <w:tcPr>
            <w:tcW w:w="1223" w:type="dxa"/>
            <w:tcBorders>
              <w:bottom w:val="double" w:sz="10" w:space="0" w:color="000000"/>
            </w:tcBorders>
            <w:shd w:fill="CCEEFF" w:val="clear"/>
            <w:vAlign w:val="center"/>
          </w:tcPr>
          <w:p>
            <w:pPr>
              <w:pStyle w:val="TableContents"/>
              <w:spacing w:before="0" w:after="283"/>
              <w:jc w:val="right"/>
              <w:rPr/>
            </w:pPr>
            <w:r>
              <w:rPr/>
              <w:t>50,090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96" w:type="dxa"/>
            <w:tcBorders>
              <w:bottom w:val="double" w:sz="10" w:space="0" w:color="000000"/>
            </w:tcBorders>
            <w:shd w:fill="CCEEFF" w:val="clear"/>
            <w:vAlign w:val="center"/>
          </w:tcPr>
          <w:p>
            <w:pPr>
              <w:pStyle w:val="TableContents"/>
              <w:spacing w:before="0" w:after="283"/>
              <w:jc w:val="left"/>
              <w:rPr/>
            </w:pPr>
            <w:r>
              <w:rPr/>
              <w:t>$</w:t>
            </w:r>
          </w:p>
        </w:tc>
        <w:tc>
          <w:tcPr>
            <w:tcW w:w="1078" w:type="dxa"/>
            <w:tcBorders>
              <w:bottom w:val="double" w:sz="10" w:space="0" w:color="000000"/>
            </w:tcBorders>
            <w:shd w:fill="CCEEFF" w:val="clear"/>
            <w:vAlign w:val="center"/>
          </w:tcPr>
          <w:p>
            <w:pPr>
              <w:pStyle w:val="TableContents"/>
              <w:spacing w:before="0" w:after="283"/>
              <w:jc w:val="right"/>
              <w:rPr/>
            </w:pPr>
            <w:r>
              <w:rPr/>
              <w:t>632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goodwill impairment identified for the years ended December 31, 2021 and December 31, 2020, respectively.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Accrued Expenses and Other Current Liabilities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as of December 31, 2021 and December 31, 2020:</w:t>
      </w:r>
    </w:p>
    <w:p>
      <w:pPr>
        <w:pStyle w:val="TextBody"/>
        <w:spacing w:before="0" w:after="0"/>
        <w:ind w:left="0" w:right="0" w:hanging="0"/>
        <w:rPr>
          <w:caps w:val="false"/>
          <w:smallCaps w:val="false"/>
        </w:rPr>
      </w:pPr>
      <w:r>
        <w:rPr>
          <w:caps w:val="false"/>
          <w:smallCaps w:val="false"/>
        </w:rPr>
        <w:t> </w:t>
      </w:r>
    </w:p>
    <w:tbl>
      <w:tblPr>
        <w:tblW w:w="8009" w:type="dxa"/>
        <w:jc w:val="left"/>
        <w:tblInd w:w="0" w:type="dxa"/>
        <w:tblCellMar>
          <w:top w:w="0" w:type="dxa"/>
          <w:left w:w="0" w:type="dxa"/>
          <w:bottom w:w="28" w:type="dxa"/>
          <w:right w:w="0" w:type="dxa"/>
        </w:tblCellMar>
      </w:tblPr>
      <w:tblGrid>
        <w:gridCol w:w="4805"/>
        <w:gridCol w:w="60"/>
        <w:gridCol w:w="251"/>
        <w:gridCol w:w="1223"/>
        <w:gridCol w:w="60"/>
        <w:gridCol w:w="60"/>
        <w:gridCol w:w="295"/>
        <w:gridCol w:w="1180"/>
        <w:gridCol w:w="75"/>
      </w:tblGrid>
      <w:tr>
        <w:trPr/>
        <w:tc>
          <w:tcPr>
            <w:tcW w:w="480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75"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2020</w:t>
            </w:r>
          </w:p>
        </w:tc>
        <w:tc>
          <w:tcPr>
            <w:tcW w:w="75" w:type="dxa"/>
            <w:tcBorders/>
            <w:shd w:fill="auto" w:val="clear"/>
            <w:tcMar>
              <w:bottom w:w="0" w:type="dxa"/>
            </w:tcMar>
            <w:vAlign w:val="center"/>
          </w:tcPr>
          <w:p>
            <w:pPr>
              <w:pStyle w:val="TableContents"/>
              <w:spacing w:before="0" w:after="283"/>
              <w:rPr/>
            </w:pPr>
            <w:r>
              <w:rPr/>
              <w:t> </w:t>
            </w:r>
          </w:p>
        </w:tc>
      </w:tr>
      <w:tr>
        <w:trPr/>
        <w:tc>
          <w:tcPr>
            <w:tcW w:w="4805" w:type="dxa"/>
            <w:tcBorders/>
            <w:shd w:fill="CCEEFF" w:val="clear"/>
            <w:tcMar>
              <w:bottom w:w="0" w:type="dxa"/>
            </w:tcMar>
            <w:vAlign w:val="center"/>
          </w:tcPr>
          <w:p>
            <w:pPr>
              <w:pStyle w:val="TableContents"/>
              <w:spacing w:before="0" w:after="283"/>
              <w:jc w:val="left"/>
              <w:rPr/>
            </w:pPr>
            <w:r>
              <w:rPr/>
              <w:t>Accrued acquisition liability (1)</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3" w:type="dxa"/>
            <w:tcBorders/>
            <w:shd w:fill="CCEEFF" w:val="clear"/>
            <w:tcMar>
              <w:bottom w:w="0" w:type="dxa"/>
            </w:tcMar>
            <w:vAlign w:val="center"/>
          </w:tcPr>
          <w:p>
            <w:pPr>
              <w:pStyle w:val="TableContents"/>
              <w:spacing w:before="0" w:after="283"/>
              <w:jc w:val="right"/>
              <w:rPr/>
            </w:pPr>
            <w:r>
              <w:rPr/>
              <w:t>9,198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180"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Sales tax payable (2)</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5,290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4805" w:type="dxa"/>
            <w:tcBorders/>
            <w:shd w:fill="CCEEFF" w:val="clear"/>
            <w:tcMar>
              <w:bottom w:w="0" w:type="dxa"/>
            </w:tcMar>
            <w:vAlign w:val="center"/>
          </w:tcPr>
          <w:p>
            <w:pPr>
              <w:pStyle w:val="TableContents"/>
              <w:spacing w:before="0" w:after="283"/>
              <w:jc w:val="left"/>
              <w:rPr/>
            </w:pPr>
            <w:r>
              <w:rPr/>
              <w:t>Accrued construction costs</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8,803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4,468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Compensation related fees</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3,491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225</w:t>
            </w:r>
          </w:p>
        </w:tc>
        <w:tc>
          <w:tcPr>
            <w:tcW w:w="75" w:type="dxa"/>
            <w:tcBorders/>
            <w:shd w:fill="auto" w:val="clear"/>
            <w:tcMar>
              <w:bottom w:w="0" w:type="dxa"/>
            </w:tcMar>
            <w:vAlign w:val="center"/>
          </w:tcPr>
          <w:p>
            <w:pPr>
              <w:pStyle w:val="TableContents"/>
              <w:spacing w:before="0" w:after="283"/>
              <w:jc w:val="left"/>
              <w:rPr/>
            </w:pPr>
            <w:r>
              <w:rPr/>
              <w:t> </w:t>
            </w:r>
          </w:p>
        </w:tc>
      </w:tr>
      <w:tr>
        <w:trPr/>
        <w:tc>
          <w:tcPr>
            <w:tcW w:w="4805" w:type="dxa"/>
            <w:tcBorders/>
            <w:shd w:fill="CCEEFF" w:val="clear"/>
            <w:tcMar>
              <w:bottom w:w="0" w:type="dxa"/>
            </w:tcMar>
            <w:vAlign w:val="center"/>
          </w:tcPr>
          <w:p>
            <w:pPr>
              <w:pStyle w:val="TableContents"/>
              <w:spacing w:before="0" w:after="283"/>
              <w:jc w:val="left"/>
              <w:rPr/>
            </w:pPr>
            <w:r>
              <w:rPr/>
              <w:t>Accrued professional fees</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1,104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1,135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Accrued warranty expenses</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398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4805" w:type="dxa"/>
            <w:tcBorders/>
            <w:shd w:fill="CCEEFF" w:val="clear"/>
            <w:tcMar>
              <w:bottom w:w="0" w:type="dxa"/>
            </w:tcMar>
            <w:vAlign w:val="center"/>
          </w:tcPr>
          <w:p>
            <w:pPr>
              <w:pStyle w:val="TableContents"/>
              <w:spacing w:before="0" w:after="283"/>
              <w:jc w:val="left"/>
              <w:rPr/>
            </w:pPr>
            <w:r>
              <w:rPr/>
              <w:t>Accrued consulting fees</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75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97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Accrued inventory purchases</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201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164</w:t>
            </w:r>
          </w:p>
        </w:tc>
        <w:tc>
          <w:tcPr>
            <w:tcW w:w="75" w:type="dxa"/>
            <w:tcBorders/>
            <w:shd w:fill="auto" w:val="clear"/>
            <w:tcMar>
              <w:bottom w:w="0" w:type="dxa"/>
            </w:tcMar>
            <w:vAlign w:val="center"/>
          </w:tcPr>
          <w:p>
            <w:pPr>
              <w:pStyle w:val="TableContents"/>
              <w:spacing w:before="0" w:after="283"/>
              <w:jc w:val="left"/>
              <w:rPr/>
            </w:pPr>
            <w:r>
              <w:rPr/>
              <w:t> </w:t>
            </w:r>
          </w:p>
        </w:tc>
      </w:tr>
      <w:tr>
        <w:trPr/>
        <w:tc>
          <w:tcPr>
            <w:tcW w:w="4805" w:type="dxa"/>
            <w:tcBorders/>
            <w:shd w:fill="CCEEFF" w:val="clear"/>
            <w:tcMar>
              <w:bottom w:w="0" w:type="dxa"/>
            </w:tcMar>
            <w:vAlign w:val="center"/>
          </w:tcPr>
          <w:p>
            <w:pPr>
              <w:pStyle w:val="TableContents"/>
              <w:spacing w:before="0" w:after="283"/>
              <w:jc w:val="left"/>
              <w:rPr/>
            </w:pPr>
            <w:r>
              <w:rPr/>
              <w:t>Financing lease liabilities</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156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283"/>
              <w:jc w:val="right"/>
              <w:rPr/>
            </w:pPr>
            <w:r>
              <w:rPr/>
              <w:t>148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Accrued non-income taxes</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48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4805" w:type="dxa"/>
            <w:tcBorders/>
            <w:shd w:fill="CCEEFF" w:val="clear"/>
            <w:tcMar>
              <w:bottom w:w="0" w:type="dxa"/>
            </w:tcMar>
            <w:vAlign w:val="center"/>
          </w:tcPr>
          <w:p>
            <w:pPr>
              <w:pStyle w:val="TableContents"/>
              <w:spacing w:before="0" w:after="283"/>
              <w:jc w:val="left"/>
              <w:rPr/>
            </w:pPr>
            <w:r>
              <w:rPr/>
              <w:t>Other current liabilities</w:t>
            </w:r>
          </w:p>
        </w:tc>
        <w:tc>
          <w:tcPr>
            <w:tcW w:w="60" w:type="dxa"/>
            <w:tcBorders/>
            <w:shd w:fill="CCEEFF" w:val="clear"/>
            <w:tcMar>
              <w:bottom w:w="0" w:type="dxa"/>
            </w:tcMar>
            <w:vAlign w:val="center"/>
          </w:tcPr>
          <w:p>
            <w:pPr>
              <w:pStyle w:val="TableContents"/>
              <w:spacing w:before="0" w:after="283"/>
              <w:rPr/>
            </w:pPr>
            <w:r>
              <w:rPr/>
              <w:t> </w:t>
            </w:r>
          </w:p>
        </w:tc>
        <w:tc>
          <w:tcPr>
            <w:tcW w:w="251" w:type="dxa"/>
            <w:tcBorders>
              <w:bottom w:val="single" w:sz="12" w:space="0" w:color="000000"/>
            </w:tcBorders>
            <w:shd w:fill="CCEEFF" w:val="clear"/>
            <w:vAlign w:val="center"/>
          </w:tcPr>
          <w:p>
            <w:pPr>
              <w:pStyle w:val="TableContents"/>
              <w:spacing w:before="0" w:after="283"/>
              <w:jc w:val="left"/>
              <w:rPr/>
            </w:pPr>
            <w:r>
              <w:rPr/>
              <w:t> </w:t>
            </w:r>
          </w:p>
        </w:tc>
        <w:tc>
          <w:tcPr>
            <w:tcW w:w="1223" w:type="dxa"/>
            <w:tcBorders>
              <w:bottom w:val="single" w:sz="12" w:space="0" w:color="000000"/>
            </w:tcBorders>
            <w:shd w:fill="CCEEFF" w:val="cle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bottom w:val="single" w:sz="12" w:space="0" w:color="000000"/>
            </w:tcBorders>
            <w:shd w:fill="CCEEFF" w:val="clear"/>
            <w:vAlign w:val="center"/>
          </w:tcPr>
          <w:p>
            <w:pPr>
              <w:pStyle w:val="TableContents"/>
              <w:spacing w:before="0" w:after="283"/>
              <w:jc w:val="left"/>
              <w:rPr/>
            </w:pPr>
            <w:r>
              <w:rPr/>
              <w:t> </w:t>
            </w:r>
          </w:p>
        </w:tc>
        <w:tc>
          <w:tcPr>
            <w:tcW w:w="1180" w:type="dxa"/>
            <w:tcBorders>
              <w:bottom w:val="single" w:sz="12" w:space="0" w:color="000000"/>
            </w:tcBorders>
            <w:shd w:fill="CCEEFF" w:val="clear"/>
            <w:vAlign w:val="center"/>
          </w:tcPr>
          <w:p>
            <w:pPr>
              <w:pStyle w:val="TableContents"/>
              <w:spacing w:before="0" w:after="283"/>
              <w:jc w:val="right"/>
              <w:rPr/>
            </w:pPr>
            <w:r>
              <w:rPr/>
              <w:t>313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4805" w:type="dxa"/>
            <w:tcBorders/>
            <w:shd w:fill="auto" w:val="clear"/>
            <w:tcMar>
              <w:bottom w:w="0" w:type="dxa"/>
            </w:tcMar>
            <w:vAlign w:val="center"/>
          </w:tcPr>
          <w:p>
            <w:pPr>
              <w:pStyle w:val="TableContents"/>
              <w:spacing w:before="0" w:after="283"/>
              <w:jc w:val="left"/>
              <w:rPr/>
            </w:pPr>
            <w:r>
              <w:rPr/>
              <w:t>Total accrued expenses and other current liabilities</w:t>
            </w:r>
          </w:p>
        </w:tc>
        <w:tc>
          <w:tcPr>
            <w:tcW w:w="60" w:type="dxa"/>
            <w:tcBorders/>
            <w:shd w:fill="auto" w:val="clear"/>
            <w:tcMar>
              <w:bottom w:w="0" w:type="dxa"/>
            </w:tcMar>
            <w:vAlign w:val="center"/>
          </w:tcPr>
          <w:p>
            <w:pPr>
              <w:pStyle w:val="TableContents"/>
              <w:spacing w:before="0" w:after="283"/>
              <w:rPr/>
            </w:pPr>
            <w:r>
              <w:rPr/>
              <w:t> </w:t>
            </w:r>
          </w:p>
        </w:tc>
        <w:tc>
          <w:tcPr>
            <w:tcW w:w="251" w:type="dxa"/>
            <w:tcBorders>
              <w:bottom w:val="double" w:sz="10" w:space="0" w:color="000000"/>
            </w:tcBorders>
            <w:shd w:fill="auto" w:val="clear"/>
            <w:vAlign w:val="center"/>
          </w:tcPr>
          <w:p>
            <w:pPr>
              <w:pStyle w:val="TableContents"/>
              <w:spacing w:before="0" w:after="283"/>
              <w:jc w:val="left"/>
              <w:rPr/>
            </w:pPr>
            <w:r>
              <w:rPr/>
              <w:t>$</w:t>
            </w:r>
          </w:p>
        </w:tc>
        <w:tc>
          <w:tcPr>
            <w:tcW w:w="1223" w:type="dxa"/>
            <w:tcBorders>
              <w:bottom w:val="double" w:sz="10" w:space="0" w:color="000000"/>
            </w:tcBorders>
            <w:shd w:fill="auto" w:val="clear"/>
            <w:vAlign w:val="center"/>
          </w:tcPr>
          <w:p>
            <w:pPr>
              <w:pStyle w:val="TableContents"/>
              <w:spacing w:before="0" w:after="283"/>
              <w:jc w:val="right"/>
              <w:rPr/>
            </w:pPr>
            <w:r>
              <w:rPr/>
              <w:t>28,764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bottom w:val="double" w:sz="10" w:space="0" w:color="000000"/>
            </w:tcBorders>
            <w:shd w:fill="auto" w:val="clear"/>
            <w:vAlign w:val="center"/>
          </w:tcPr>
          <w:p>
            <w:pPr>
              <w:pStyle w:val="TableContents"/>
              <w:spacing w:before="0" w:after="283"/>
              <w:jc w:val="left"/>
              <w:rPr/>
            </w:pPr>
            <w:r>
              <w:rPr/>
              <w:t>$</w:t>
            </w:r>
          </w:p>
        </w:tc>
        <w:tc>
          <w:tcPr>
            <w:tcW w:w="1180" w:type="dxa"/>
            <w:tcBorders>
              <w:bottom w:val="double" w:sz="10" w:space="0" w:color="000000"/>
            </w:tcBorders>
            <w:shd w:fill="auto" w:val="clear"/>
            <w:vAlign w:val="center"/>
          </w:tcPr>
          <w:p>
            <w:pPr>
              <w:pStyle w:val="TableContents"/>
              <w:spacing w:before="0" w:after="283"/>
              <w:jc w:val="right"/>
              <w:rPr/>
            </w:pPr>
            <w:r>
              <w:rPr/>
              <w:t>6,550</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84" w:type="dxa"/>
            <w:tcBorders/>
            <w:shd w:fill="auto" w:val="clear"/>
            <w:vAlign w:val="center"/>
          </w:tcPr>
          <w:p>
            <w:pPr>
              <w:pStyle w:val="TableContents"/>
              <w:spacing w:before="0" w:after="0"/>
              <w:ind w:left="0" w:right="0" w:hanging="0"/>
              <w:rPr>
                <w:sz w:val="20"/>
              </w:rPr>
            </w:pPr>
            <w:r>
              <w:rPr>
                <w:sz w:val="20"/>
              </w:rPr>
              <w:t>Accrued acquisition liabilities includes both the contingent consideration and the value of held back stock associated with the 2021 acquisitions of Precision and Cascade and PurePressure.</w:t>
            </w:r>
          </w:p>
        </w:tc>
      </w:tr>
      <w:tr>
        <w:trPr/>
        <w:tc>
          <w:tcPr>
            <w:tcW w:w="2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84" w:type="dxa"/>
            <w:tcBorders/>
            <w:shd w:fill="auto" w:val="clear"/>
            <w:vAlign w:val="center"/>
          </w:tcPr>
          <w:p>
            <w:pPr>
              <w:pStyle w:val="TableContents"/>
              <w:spacing w:before="0" w:after="0"/>
              <w:ind w:left="0" w:right="0" w:hanging="0"/>
              <w:rPr>
                <w:sz w:val="20"/>
              </w:rPr>
            </w:pPr>
            <w:r>
              <w:rPr>
                <w:sz w:val="20"/>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Precision and Cascade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“Sinclair Members”). On October 1, 2021, the Company consummated the transactions contemplated by the Purchase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Purchase Agreement, (1) Sinclair transferred, to the Company, and the Company purchased (the “Interest Purchase”) from Sinclair, 100% of the equity interests of Cascade Sciences, LLC, a Delaware limited liability company (“Cascade”), such that immediately after the consummation of such Interest Purchase, Cascade became a wholly owned subsidiary of the Company, and (2) Precision merged (the “Merger”) with and into a newly-formed wholly owned subsidiary of the Company, Precision Extraction NewCo, LLC.</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Interest Purchase and the Merger consisted of: (a) the sum of $30 million, plus consideration payable to holders of outstanding Sinclair equity awards, subject to certain adjustments for working capital, cash and indebtedness, payable in connection with the Interest Purchase; (b) the number of shares of the Company’s common stock, subject to adjustment, equal to the quotient of (i) $20.0 million divided by (ii) the volume-weighted average price per share of the Company’s common stock on The Nasdaq Capital Market for the 30 consecutive trading days ending on the Execution Date (the “VWAP Price”), issuable in connection with the Merger; and (c) the True-Up Buyer Shares, if any (as defined below), issuable in connection with the Merger.</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post-closing adjustments, representations and warranties and covenants of the parties. The Sinclair Members may become entitled to additional shares of the Company’s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related costs, consisting primarily of professional fees, directly related to the acquisition, totaled $4.0 million for the year ended December 31, 2021. All transaction and related costs were expensed as incurred and are included in selling, 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values still under review as of December 31, 2021 include values assigned to identifiable intangible assets and goodwill.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and the allocation of the purchase price for the business combination:</w:t>
      </w:r>
    </w:p>
    <w:p>
      <w:pPr>
        <w:pStyle w:val="TextBody"/>
        <w:spacing w:before="0" w:after="0"/>
        <w:ind w:left="0" w:right="0" w:firstLine="360"/>
        <w:rPr>
          <w:caps w:val="false"/>
          <w:smallCaps w:val="false"/>
        </w:rPr>
      </w:pPr>
      <w:r>
        <w:rPr>
          <w:caps w:val="false"/>
          <w:smallCaps w:val="false"/>
        </w:rPr>
        <w:t> </w:t>
      </w:r>
    </w:p>
    <w:tbl>
      <w:tblPr>
        <w:tblW w:w="6020" w:type="dxa"/>
        <w:jc w:val="left"/>
        <w:tblInd w:w="0" w:type="dxa"/>
        <w:tblCellMar>
          <w:top w:w="0" w:type="dxa"/>
          <w:left w:w="0" w:type="dxa"/>
          <w:bottom w:w="28" w:type="dxa"/>
          <w:right w:w="0" w:type="dxa"/>
        </w:tblCellMar>
      </w:tblPr>
      <w:tblGrid>
        <w:gridCol w:w="5030"/>
        <w:gridCol w:w="60"/>
        <w:gridCol w:w="140"/>
        <w:gridCol w:w="680"/>
        <w:gridCol w:w="110"/>
      </w:tblGrid>
      <w:tr>
        <w:trPr/>
        <w:tc>
          <w:tcPr>
            <w:tcW w:w="5030"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930" w:type="dxa"/>
            <w:gridSpan w:val="3"/>
            <w:tcBorders/>
            <w:shd w:fill="auto" w:val="clear"/>
            <w:tcMar>
              <w:bottom w:w="0" w:type="dxa"/>
            </w:tcMar>
            <w:vAlign w:val="center"/>
          </w:tcPr>
          <w:p>
            <w:pPr>
              <w:pStyle w:val="TableContents"/>
              <w:spacing w:before="0" w:after="283"/>
              <w:rPr/>
            </w:pPr>
            <w:r>
              <w:rPr/>
              <w:t> </w:t>
            </w:r>
          </w:p>
        </w:tc>
      </w:tr>
      <w:tr>
        <w:trPr/>
        <w:tc>
          <w:tcPr>
            <w:tcW w:w="5030" w:type="dxa"/>
            <w:tcBorders/>
            <w:shd w:fill="auto" w:val="clear"/>
            <w:tcMar>
              <w:bottom w:w="0" w:type="dxa"/>
            </w:tcMar>
            <w:vAlign w:val="center"/>
          </w:tcPr>
          <w:p>
            <w:pPr>
              <w:pStyle w:val="TableContents"/>
              <w:spacing w:before="0" w:after="283"/>
              <w:rPr>
                <w:b/>
              </w:rPr>
            </w:pPr>
            <w:r>
              <w:rPr>
                <w:b/>
              </w:rPr>
              <w:t>Purchase price consideration:</w:t>
            </w:r>
          </w:p>
        </w:tc>
        <w:tc>
          <w:tcPr>
            <w:tcW w:w="60" w:type="dxa"/>
            <w:tcBorders/>
            <w:shd w:fill="auto" w:val="clear"/>
            <w:tcMar>
              <w:bottom w:w="0" w:type="dxa"/>
            </w:tcMar>
            <w:vAlign w:val="center"/>
          </w:tcPr>
          <w:p>
            <w:pPr>
              <w:pStyle w:val="TableContents"/>
              <w:spacing w:before="0" w:after="283"/>
              <w:rPr/>
            </w:pPr>
            <w:r>
              <w:rPr/>
              <w:t> </w:t>
            </w:r>
          </w:p>
        </w:tc>
        <w:tc>
          <w:tcPr>
            <w:tcW w:w="930" w:type="dxa"/>
            <w:gridSpan w:val="3"/>
            <w:tcBorders/>
            <w:shd w:fill="auto" w:val="clear"/>
            <w:tcMar>
              <w:bottom w:w="0" w:type="dxa"/>
            </w:tcMar>
            <w:vAlign w:val="center"/>
          </w:tcPr>
          <w:p>
            <w:pPr>
              <w:pStyle w:val="TableContents"/>
              <w:spacing w:before="0" w:after="283"/>
              <w:rPr/>
            </w:pPr>
            <w:r>
              <w:rPr/>
              <w:t> </w:t>
            </w:r>
          </w:p>
        </w:tc>
      </w:tr>
      <w:tr>
        <w:trPr/>
        <w:tc>
          <w:tcPr>
            <w:tcW w:w="5030" w:type="dxa"/>
            <w:tcBorders/>
            <w:shd w:fill="CCEEFF" w:val="clear"/>
            <w:tcMar>
              <w:bottom w:w="0" w:type="dxa"/>
            </w:tcMar>
            <w:vAlign w:val="center"/>
          </w:tcPr>
          <w:p>
            <w:pPr>
              <w:pStyle w:val="TableContents"/>
              <w:spacing w:before="0" w:after="283"/>
              <w:jc w:val="left"/>
              <w:rPr/>
            </w:pPr>
            <w:r>
              <w:rPr/>
              <w:t>Cash paid to Sinclair Members at close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680" w:type="dxa"/>
            <w:tcBorders/>
            <w:shd w:fill="CCEEFF" w:val="clear"/>
            <w:tcMar>
              <w:bottom w:w="0" w:type="dxa"/>
            </w:tcMar>
            <w:vAlign w:val="center"/>
          </w:tcPr>
          <w:p>
            <w:pPr>
              <w:pStyle w:val="TableContents"/>
              <w:spacing w:before="0" w:after="283"/>
              <w:jc w:val="right"/>
              <w:rPr/>
            </w:pPr>
            <w:r>
              <w:rPr/>
              <w:t>23,000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pPr>
            <w:r>
              <w:rPr/>
              <w:t>Cash contributed to escrow accounts at close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7,000</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Cash paid for excess net working capital</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1,430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pPr>
            <w:r>
              <w:rPr/>
              <w:t>Stock issued at close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14,535</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Fair value of contingent consideration to be achieved</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680" w:type="dxa"/>
            <w:tcBorders>
              <w:bottom w:val="single" w:sz="12" w:space="0" w:color="000000"/>
            </w:tcBorders>
            <w:shd w:fill="CCEEFF" w:val="clear"/>
            <w:vAlign w:val="center"/>
          </w:tcPr>
          <w:p>
            <w:pPr>
              <w:pStyle w:val="TableContents"/>
              <w:spacing w:before="0" w:after="283"/>
              <w:jc w:val="right"/>
              <w:rPr/>
            </w:pPr>
            <w:r>
              <w:rPr/>
              <w:t>3,953</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b/>
              </w:rPr>
            </w:pPr>
            <w:r>
              <w:rPr>
                <w:b/>
              </w:rPr>
              <w:t>Fair value of total consideration transferred</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680" w:type="dxa"/>
            <w:tcBorders>
              <w:bottom w:val="single" w:sz="12" w:space="0" w:color="000000"/>
            </w:tcBorders>
            <w:shd w:fill="auto" w:val="clear"/>
            <w:vAlign w:val="center"/>
          </w:tcPr>
          <w:p>
            <w:pPr>
              <w:pStyle w:val="TableContents"/>
              <w:spacing w:before="0" w:after="283"/>
              <w:jc w:val="right"/>
              <w:rPr/>
            </w:pPr>
            <w:r>
              <w:rPr/>
              <w:t>49,918</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rPr>
                <w:b/>
              </w:rPr>
            </w:pPr>
            <w:r>
              <w:rPr>
                <w:b/>
              </w:rPr>
              <w:t>Total purchase price, net of cash acquired</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w:t>
            </w:r>
          </w:p>
        </w:tc>
        <w:tc>
          <w:tcPr>
            <w:tcW w:w="680" w:type="dxa"/>
            <w:tcBorders>
              <w:bottom w:val="single" w:sz="12" w:space="0" w:color="000000"/>
            </w:tcBorders>
            <w:shd w:fill="CCEEFF" w:val="clear"/>
            <w:vAlign w:val="center"/>
          </w:tcPr>
          <w:p>
            <w:pPr>
              <w:pStyle w:val="TableContents"/>
              <w:spacing w:before="0" w:after="283"/>
              <w:jc w:val="right"/>
              <w:rPr/>
            </w:pPr>
            <w:r>
              <w:rPr/>
              <w:t>48,630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 </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rPr>
                <w:b/>
              </w:rPr>
            </w:pPr>
            <w:r>
              <w:rPr>
                <w:b/>
              </w:rPr>
              <w:t>Fair value allocation of purchase price: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pPr>
            <w:r>
              <w:rPr/>
              <w:t>Cash and cash equivalents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680" w:type="dxa"/>
            <w:tcBorders/>
            <w:shd w:fill="auto" w:val="clear"/>
            <w:tcMar>
              <w:bottom w:w="0" w:type="dxa"/>
            </w:tcMar>
            <w:vAlign w:val="center"/>
          </w:tcPr>
          <w:p>
            <w:pPr>
              <w:pStyle w:val="TableContents"/>
              <w:spacing w:before="0" w:after="283"/>
              <w:jc w:val="right"/>
              <w:rPr/>
            </w:pPr>
            <w:r>
              <w:rPr/>
              <w:t>1,288</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Accounts receivable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897</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rPr/>
            </w:pPr>
            <w:r>
              <w:rPr/>
              <w:t>Inventory</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6,761</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Prepaid and other assets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1,736</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pPr>
            <w:r>
              <w:rPr/>
              <w:t>Property and equipment, net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970</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Operating lease right of use assets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730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jc w:val="left"/>
              <w:rPr/>
            </w:pPr>
            <w:r>
              <w:rPr/>
              <w:t>Capitalized web costs, net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2</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jc w:val="left"/>
              <w:rPr/>
            </w:pPr>
            <w:r>
              <w:rPr/>
              <w:t>Accounts payable and accrued expenses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(9,196</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5030" w:type="dxa"/>
            <w:tcBorders/>
            <w:shd w:fill="auto" w:val="clear"/>
            <w:tcMar>
              <w:bottom w:w="0" w:type="dxa"/>
            </w:tcMar>
            <w:vAlign w:val="center"/>
          </w:tcPr>
          <w:p>
            <w:pPr>
              <w:pStyle w:val="TableContents"/>
              <w:spacing w:before="0" w:after="283"/>
              <w:jc w:val="left"/>
              <w:rPr/>
            </w:pPr>
            <w:r>
              <w:rPr/>
              <w:t>Deferred revenue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(5,419</w:t>
            </w:r>
          </w:p>
        </w:tc>
        <w:tc>
          <w:tcPr>
            <w:tcW w:w="110" w:type="dxa"/>
            <w:tcBorders/>
            <w:shd w:fill="auto" w:val="clear"/>
            <w:tcMar>
              <w:bottom w:w="0" w:type="dxa"/>
            </w:tcMar>
            <w:vAlign w:val="center"/>
          </w:tcPr>
          <w:p>
            <w:pPr>
              <w:pStyle w:val="TableContents"/>
              <w:spacing w:before="0" w:after="283"/>
              <w:jc w:val="left"/>
              <w:rPr/>
            </w:pPr>
            <w:r>
              <w:rPr/>
              <w:t>)</w:t>
            </w:r>
          </w:p>
        </w:tc>
      </w:tr>
      <w:tr>
        <w:trPr/>
        <w:tc>
          <w:tcPr>
            <w:tcW w:w="5030" w:type="dxa"/>
            <w:tcBorders/>
            <w:shd w:fill="CCEEFF" w:val="clear"/>
            <w:tcMar>
              <w:bottom w:w="0" w:type="dxa"/>
            </w:tcMar>
            <w:vAlign w:val="center"/>
          </w:tcPr>
          <w:p>
            <w:pPr>
              <w:pStyle w:val="TableContents"/>
              <w:spacing w:before="0" w:after="283"/>
              <w:jc w:val="left"/>
              <w:rPr/>
            </w:pPr>
            <w:r>
              <w:rPr/>
              <w:t>Long-term debt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(1,961</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5030" w:type="dxa"/>
            <w:tcBorders/>
            <w:shd w:fill="auto" w:val="clear"/>
            <w:tcMar>
              <w:bottom w:w="0" w:type="dxa"/>
            </w:tcMar>
            <w:vAlign w:val="center"/>
          </w:tcPr>
          <w:p>
            <w:pPr>
              <w:pStyle w:val="TableContents"/>
              <w:spacing w:before="0" w:after="283"/>
              <w:jc w:val="left"/>
              <w:rPr/>
            </w:pPr>
            <w:r>
              <w:rPr/>
              <w:t>Operating lease liabilities, current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(392</w:t>
            </w:r>
          </w:p>
        </w:tc>
        <w:tc>
          <w:tcPr>
            <w:tcW w:w="110" w:type="dxa"/>
            <w:tcBorders/>
            <w:shd w:fill="auto" w:val="clear"/>
            <w:tcMar>
              <w:bottom w:w="0" w:type="dxa"/>
            </w:tcMar>
            <w:vAlign w:val="center"/>
          </w:tcPr>
          <w:p>
            <w:pPr>
              <w:pStyle w:val="TableContents"/>
              <w:spacing w:before="0" w:after="283"/>
              <w:jc w:val="left"/>
              <w:rPr/>
            </w:pPr>
            <w:r>
              <w:rPr/>
              <w:t>)</w:t>
            </w:r>
          </w:p>
        </w:tc>
      </w:tr>
      <w:tr>
        <w:trPr/>
        <w:tc>
          <w:tcPr>
            <w:tcW w:w="5030" w:type="dxa"/>
            <w:tcBorders/>
            <w:shd w:fill="CCEEFF" w:val="clear"/>
            <w:tcMar>
              <w:bottom w:w="0" w:type="dxa"/>
            </w:tcMar>
            <w:vAlign w:val="center"/>
          </w:tcPr>
          <w:p>
            <w:pPr>
              <w:pStyle w:val="TableContents"/>
              <w:spacing w:before="0" w:after="283"/>
              <w:jc w:val="left"/>
              <w:rPr/>
            </w:pPr>
            <w:r>
              <w:rPr/>
              <w:t>Operating lease liabilities, noncurrent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680" w:type="dxa"/>
            <w:tcBorders/>
            <w:shd w:fill="CCEEFF" w:val="clear"/>
            <w:tcMar>
              <w:bottom w:w="0" w:type="dxa"/>
            </w:tcMar>
            <w:vAlign w:val="center"/>
          </w:tcPr>
          <w:p>
            <w:pPr>
              <w:pStyle w:val="TableContents"/>
              <w:spacing w:before="0" w:after="283"/>
              <w:jc w:val="right"/>
              <w:rPr/>
            </w:pPr>
            <w:r>
              <w:rPr/>
              <w:t>(362</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5030" w:type="dxa"/>
            <w:tcBorders/>
            <w:shd w:fill="auto" w:val="clear"/>
            <w:tcMar>
              <w:bottom w:w="0" w:type="dxa"/>
            </w:tcMar>
            <w:vAlign w:val="center"/>
          </w:tcPr>
          <w:p>
            <w:pPr>
              <w:pStyle w:val="TableContents"/>
              <w:spacing w:before="0" w:after="283"/>
              <w:jc w:val="left"/>
              <w:rPr/>
            </w:pPr>
            <w:r>
              <w:rPr/>
              <w:t>Acquired intangible assets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680" w:type="dxa"/>
            <w:tcBorders/>
            <w:shd w:fill="auto" w:val="clear"/>
            <w:tcMar>
              <w:bottom w:w="0" w:type="dxa"/>
            </w:tcMar>
            <w:vAlign w:val="center"/>
          </w:tcPr>
          <w:p>
            <w:pPr>
              <w:pStyle w:val="TableContents"/>
              <w:spacing w:before="0" w:after="283"/>
              <w:jc w:val="right"/>
              <w:rPr/>
            </w:pPr>
            <w:r>
              <w:rPr/>
              <w:t>9,889</w:t>
            </w:r>
          </w:p>
        </w:tc>
        <w:tc>
          <w:tcPr>
            <w:tcW w:w="110" w:type="dxa"/>
            <w:tcBorders/>
            <w:shd w:fill="auto" w:val="clear"/>
            <w:tcMar>
              <w:bottom w:w="0" w:type="dxa"/>
            </w:tcMar>
            <w:vAlign w:val="center"/>
          </w:tcPr>
          <w:p>
            <w:pPr>
              <w:pStyle w:val="TableContents"/>
              <w:spacing w:before="0" w:after="283"/>
              <w:jc w:val="left"/>
              <w:rPr/>
            </w:pPr>
            <w:r>
              <w:rPr/>
              <w:t> </w:t>
            </w:r>
          </w:p>
        </w:tc>
      </w:tr>
      <w:tr>
        <w:trPr/>
        <w:tc>
          <w:tcPr>
            <w:tcW w:w="5030" w:type="dxa"/>
            <w:tcBorders/>
            <w:shd w:fill="CCEEFF" w:val="clear"/>
            <w:tcMar>
              <w:bottom w:w="0" w:type="dxa"/>
            </w:tcMar>
            <w:vAlign w:val="center"/>
          </w:tcPr>
          <w:p>
            <w:pPr>
              <w:pStyle w:val="TableContents"/>
              <w:spacing w:before="0" w:after="283"/>
              <w:rPr/>
            </w:pPr>
            <w:r>
              <w:rPr/>
              <w:t>Goodwill</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680" w:type="dxa"/>
            <w:tcBorders>
              <w:bottom w:val="single" w:sz="12" w:space="0" w:color="000000"/>
            </w:tcBorders>
            <w:shd w:fill="CCEEFF" w:val="clear"/>
            <w:vAlign w:val="center"/>
          </w:tcPr>
          <w:p>
            <w:pPr>
              <w:pStyle w:val="TableContents"/>
              <w:spacing w:before="0" w:after="283"/>
              <w:jc w:val="right"/>
              <w:rPr/>
            </w:pPr>
            <w:r>
              <w:rPr/>
              <w:t>44,975</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5030" w:type="dxa"/>
            <w:tcBorders/>
            <w:shd w:fill="auto" w:val="clear"/>
            <w:tcMar>
              <w:bottom w:w="0" w:type="dxa"/>
            </w:tcMar>
            <w:vAlign w:val="center"/>
          </w:tcPr>
          <w:p>
            <w:pPr>
              <w:pStyle w:val="TableContents"/>
              <w:spacing w:before="0" w:after="283"/>
              <w:rPr>
                <w:b/>
              </w:rPr>
            </w:pPr>
            <w:r>
              <w:rPr>
                <w:b/>
              </w:rPr>
              <w:t>Total purchase price</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double" w:sz="10" w:space="0" w:color="000000"/>
            </w:tcBorders>
            <w:shd w:fill="auto" w:val="clear"/>
            <w:vAlign w:val="center"/>
          </w:tcPr>
          <w:p>
            <w:pPr>
              <w:pStyle w:val="TableContents"/>
              <w:spacing w:before="0" w:after="283"/>
              <w:jc w:val="left"/>
              <w:rPr/>
            </w:pPr>
            <w:r>
              <w:rPr/>
              <w:t>$</w:t>
            </w:r>
          </w:p>
        </w:tc>
        <w:tc>
          <w:tcPr>
            <w:tcW w:w="680" w:type="dxa"/>
            <w:tcBorders>
              <w:bottom w:val="double" w:sz="10" w:space="0" w:color="000000"/>
            </w:tcBorders>
            <w:shd w:fill="auto" w:val="clear"/>
            <w:vAlign w:val="center"/>
          </w:tcPr>
          <w:p>
            <w:pPr>
              <w:pStyle w:val="TableContents"/>
              <w:spacing w:before="0" w:after="283"/>
              <w:jc w:val="right"/>
              <w:rPr/>
            </w:pPr>
            <w:r>
              <w:rPr/>
              <w:t>49,918</w:t>
            </w:r>
          </w:p>
        </w:tc>
        <w:tc>
          <w:tcPr>
            <w:tcW w:w="110"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pStyle w:val="TextBody"/>
        <w:spacing w:before="0" w:after="0"/>
        <w:ind w:left="0" w:right="0" w:firstLine="360"/>
        <w:rPr>
          <w:caps w:val="false"/>
          <w:smallCaps w:val="false"/>
        </w:rPr>
      </w:pPr>
      <w:r>
        <w:rPr>
          <w:caps w:val="false"/>
          <w:smallCaps w:val="false"/>
        </w:rPr>
        <w:t> </w:t>
      </w:r>
    </w:p>
    <w:tbl>
      <w:tblPr>
        <w:tblW w:w="4460" w:type="dxa"/>
        <w:jc w:val="left"/>
        <w:tblInd w:w="0" w:type="dxa"/>
        <w:tblCellMar>
          <w:top w:w="0" w:type="dxa"/>
          <w:left w:w="0" w:type="dxa"/>
          <w:bottom w:w="28" w:type="dxa"/>
          <w:right w:w="0" w:type="dxa"/>
        </w:tblCellMar>
      </w:tblPr>
      <w:tblGrid>
        <w:gridCol w:w="2765"/>
        <w:gridCol w:w="60"/>
        <w:gridCol w:w="125"/>
        <w:gridCol w:w="485"/>
        <w:gridCol w:w="60"/>
        <w:gridCol w:w="965"/>
      </w:tblGrid>
      <w:tr>
        <w:trPr/>
        <w:tc>
          <w:tcPr>
            <w:tcW w:w="2765" w:type="dxa"/>
            <w:tcBorders>
              <w:bottom w:val="single" w:sz="12" w:space="0" w:color="000000"/>
            </w:tcBorders>
            <w:shd w:fill="auto" w:val="clear"/>
            <w:vAlign w:val="center"/>
          </w:tcPr>
          <w:p>
            <w:pPr>
              <w:pStyle w:val="TableContents"/>
              <w:spacing w:before="0" w:after="283"/>
              <w:rPr>
                <w:b/>
                <w:sz w:val="20"/>
              </w:rPr>
            </w:pPr>
            <w:r>
              <w:rPr>
                <w:b/>
                <w:sz w:val="20"/>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610" w:type="dxa"/>
            <w:gridSpan w:val="2"/>
            <w:tcBorders>
              <w:bottom w:val="single" w:sz="12" w:space="0" w:color="000000"/>
            </w:tcBorders>
            <w:shd w:fill="auto" w:val="clear"/>
            <w:vAlign w:val="center"/>
          </w:tcPr>
          <w:p>
            <w:pPr>
              <w:pStyle w:val="TableContents"/>
              <w:spacing w:before="0" w:after="283"/>
              <w:jc w:val="center"/>
              <w:rPr>
                <w:b/>
                <w:sz w:val="20"/>
              </w:rPr>
            </w:pPr>
            <w:r>
              <w:rPr>
                <w:b/>
                <w:sz w:val="20"/>
              </w:rPr>
              <w:t>Asset</w:t>
              <w:br/>
              <w:t>Value</w:t>
            </w:r>
          </w:p>
        </w:tc>
        <w:tc>
          <w:tcPr>
            <w:tcW w:w="60" w:type="dxa"/>
            <w:tcBorders/>
            <w:shd w:fill="auto" w:val="clear"/>
            <w:tcMar>
              <w:bottom w:w="0" w:type="dxa"/>
            </w:tcMar>
            <w:vAlign w:val="center"/>
          </w:tcPr>
          <w:p>
            <w:pPr>
              <w:pStyle w:val="TableContents"/>
              <w:spacing w:before="0" w:after="283"/>
              <w:rPr/>
            </w:pPr>
            <w:r>
              <w:rPr/>
              <w:t> </w:t>
            </w:r>
          </w:p>
        </w:tc>
        <w:tc>
          <w:tcPr>
            <w:tcW w:w="965" w:type="dxa"/>
            <w:tcBorders>
              <w:bottom w:val="single" w:sz="12" w:space="0" w:color="000000"/>
            </w:tcBorders>
            <w:shd w:fill="auto" w:val="clear"/>
            <w:vAlign w:val="center"/>
          </w:tcPr>
          <w:p>
            <w:pPr>
              <w:pStyle w:val="TableContents"/>
              <w:spacing w:before="0" w:after="283"/>
              <w:jc w:val="center"/>
              <w:rPr>
                <w:b/>
                <w:sz w:val="20"/>
              </w:rPr>
            </w:pPr>
            <w:r>
              <w:rPr>
                <w:b/>
                <w:sz w:val="20"/>
              </w:rPr>
              <w:t>Useful Life</w:t>
            </w:r>
          </w:p>
        </w:tc>
      </w:tr>
      <w:tr>
        <w:trPr/>
        <w:tc>
          <w:tcPr>
            <w:tcW w:w="2765" w:type="dxa"/>
            <w:tcBorders/>
            <w:shd w:fill="auto" w:val="clear"/>
            <w:tcMar>
              <w:bottom w:w="0" w:type="dxa"/>
            </w:tcMar>
            <w:vAlign w:val="center"/>
          </w:tcPr>
          <w:p>
            <w:pPr>
              <w:pStyle w:val="TableContents"/>
              <w:spacing w:before="0" w:after="283"/>
              <w:rPr>
                <w:b/>
                <w:sz w:val="20"/>
              </w:rPr>
            </w:pPr>
            <w:r>
              <w:rPr>
                <w:b/>
                <w:sz w:val="20"/>
              </w:rPr>
              <w:t>Identified intangible assets:</w:t>
            </w:r>
          </w:p>
        </w:tc>
        <w:tc>
          <w:tcPr>
            <w:tcW w:w="60" w:type="dxa"/>
            <w:tcBorders/>
            <w:shd w:fill="auto" w:val="clear"/>
            <w:tcMar>
              <w:bottom w:w="0" w:type="dxa"/>
            </w:tcMar>
            <w:vAlign w:val="center"/>
          </w:tcPr>
          <w:p>
            <w:pPr>
              <w:pStyle w:val="TableContents"/>
              <w:spacing w:before="0" w:after="283"/>
              <w:rPr/>
            </w:pPr>
            <w:r>
              <w:rPr/>
              <w:t> </w:t>
            </w:r>
          </w:p>
        </w:tc>
        <w:tc>
          <w:tcPr>
            <w:tcW w:w="610" w:type="dxa"/>
            <w:gridSpan w:val="2"/>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65" w:type="dxa"/>
            <w:tcBorders/>
            <w:shd w:fill="auto" w:val="clear"/>
            <w:tcMar>
              <w:bottom w:w="0" w:type="dxa"/>
            </w:tcMar>
            <w:vAlign w:val="center"/>
          </w:tcPr>
          <w:p>
            <w:pPr>
              <w:pStyle w:val="TableContents"/>
              <w:spacing w:before="0" w:after="283"/>
              <w:jc w:val="center"/>
              <w:rPr/>
            </w:pPr>
            <w:r>
              <w:rPr/>
              <w:t> </w:t>
            </w:r>
          </w:p>
        </w:tc>
      </w:tr>
      <w:tr>
        <w:trPr/>
        <w:tc>
          <w:tcPr>
            <w:tcW w:w="2765" w:type="dxa"/>
            <w:tcBorders/>
            <w:shd w:fill="CCEEFF" w:val="clear"/>
            <w:tcMar>
              <w:bottom w:w="0" w:type="dxa"/>
            </w:tcMar>
            <w:vAlign w:val="center"/>
          </w:tcPr>
          <w:p>
            <w:pPr>
              <w:pStyle w:val="TableContents"/>
              <w:spacing w:before="0" w:after="283"/>
              <w:rPr>
                <w:sz w:val="20"/>
              </w:rPr>
            </w:pPr>
            <w:r>
              <w:rPr>
                <w:sz w:val="20"/>
              </w:rPr>
              <w:t>Trade names</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sz w:val="20"/>
              </w:rPr>
            </w:pPr>
            <w:r>
              <w:rPr>
                <w:sz w:val="20"/>
              </w:rPr>
              <w:t>$</w:t>
            </w:r>
          </w:p>
        </w:tc>
        <w:tc>
          <w:tcPr>
            <w:tcW w:w="485" w:type="dxa"/>
            <w:tcBorders/>
            <w:shd w:fill="CCEEFF" w:val="clear"/>
            <w:tcMar>
              <w:bottom w:w="0" w:type="dxa"/>
            </w:tcMar>
            <w:vAlign w:val="center"/>
          </w:tcPr>
          <w:p>
            <w:pPr>
              <w:pStyle w:val="TableContents"/>
              <w:spacing w:before="0" w:after="283"/>
              <w:jc w:val="right"/>
              <w:rPr>
                <w:sz w:val="20"/>
              </w:rPr>
            </w:pPr>
            <w:r>
              <w:rPr>
                <w:sz w:val="20"/>
              </w:rPr>
              <w:t>1,260</w:t>
            </w:r>
          </w:p>
        </w:tc>
        <w:tc>
          <w:tcPr>
            <w:tcW w:w="60" w:type="dxa"/>
            <w:tcBorders/>
            <w:shd w:fill="CCEEFF" w:val="clear"/>
            <w:tcMar>
              <w:bottom w:w="0" w:type="dxa"/>
            </w:tcMar>
            <w:vAlign w:val="center"/>
          </w:tcPr>
          <w:p>
            <w:pPr>
              <w:pStyle w:val="TableContents"/>
              <w:spacing w:before="0" w:after="283"/>
              <w:rPr/>
            </w:pPr>
            <w:r>
              <w:rPr/>
              <w:t> </w:t>
            </w:r>
          </w:p>
        </w:tc>
        <w:tc>
          <w:tcPr>
            <w:tcW w:w="965" w:type="dxa"/>
            <w:tcBorders/>
            <w:shd w:fill="CCEEFF" w:val="clear"/>
            <w:tcMar>
              <w:bottom w:w="0" w:type="dxa"/>
            </w:tcMar>
            <w:vAlign w:val="center"/>
          </w:tcPr>
          <w:p>
            <w:pPr>
              <w:pStyle w:val="TableContents"/>
              <w:spacing w:before="0" w:after="283"/>
              <w:jc w:val="center"/>
              <w:rPr>
                <w:sz w:val="20"/>
              </w:rPr>
            </w:pPr>
            <w:r>
              <w:rPr>
                <w:sz w:val="20"/>
              </w:rPr>
              <w:t>6 to 7 years</w:t>
            </w:r>
          </w:p>
        </w:tc>
      </w:tr>
      <w:tr>
        <w:trPr/>
        <w:tc>
          <w:tcPr>
            <w:tcW w:w="2765" w:type="dxa"/>
            <w:tcBorders/>
            <w:shd w:fill="auto" w:val="clear"/>
            <w:tcMar>
              <w:bottom w:w="0" w:type="dxa"/>
            </w:tcMar>
            <w:vAlign w:val="center"/>
          </w:tcPr>
          <w:p>
            <w:pPr>
              <w:pStyle w:val="TableContents"/>
              <w:spacing w:before="0" w:after="283"/>
              <w:rPr>
                <w:sz w:val="20"/>
              </w:rPr>
            </w:pPr>
            <w:r>
              <w:rPr>
                <w:sz w:val="20"/>
              </w:rPr>
              <w:t>Acquired developed technology</w:t>
            </w:r>
          </w:p>
        </w:tc>
        <w:tc>
          <w:tcPr>
            <w:tcW w:w="6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485" w:type="dxa"/>
            <w:tcBorders/>
            <w:shd w:fill="auto" w:val="clear"/>
            <w:tcMar>
              <w:bottom w:w="0" w:type="dxa"/>
            </w:tcMar>
            <w:vAlign w:val="center"/>
          </w:tcPr>
          <w:p>
            <w:pPr>
              <w:pStyle w:val="TableContents"/>
              <w:spacing w:before="0" w:after="283"/>
              <w:jc w:val="right"/>
              <w:rPr>
                <w:sz w:val="20"/>
              </w:rPr>
            </w:pPr>
            <w:r>
              <w:rPr>
                <w:sz w:val="20"/>
              </w:rPr>
              <w:t>3,818</w:t>
            </w:r>
          </w:p>
        </w:tc>
        <w:tc>
          <w:tcPr>
            <w:tcW w:w="60" w:type="dxa"/>
            <w:tcBorders/>
            <w:shd w:fill="auto" w:val="clear"/>
            <w:tcMar>
              <w:bottom w:w="0" w:type="dxa"/>
            </w:tcMar>
            <w:vAlign w:val="center"/>
          </w:tcPr>
          <w:p>
            <w:pPr>
              <w:pStyle w:val="TableContents"/>
              <w:spacing w:before="0" w:after="283"/>
              <w:rPr/>
            </w:pPr>
            <w:r>
              <w:rPr/>
              <w:t> </w:t>
            </w:r>
          </w:p>
        </w:tc>
        <w:tc>
          <w:tcPr>
            <w:tcW w:w="965" w:type="dxa"/>
            <w:tcBorders/>
            <w:shd w:fill="auto" w:val="clear"/>
            <w:tcMar>
              <w:bottom w:w="0" w:type="dxa"/>
            </w:tcMar>
            <w:vAlign w:val="center"/>
          </w:tcPr>
          <w:p>
            <w:pPr>
              <w:pStyle w:val="TableContents"/>
              <w:spacing w:before="0" w:after="283"/>
              <w:jc w:val="center"/>
              <w:rPr>
                <w:sz w:val="20"/>
              </w:rPr>
            </w:pPr>
            <w:r>
              <w:rPr>
                <w:sz w:val="20"/>
              </w:rPr>
              <w:t>5 years</w:t>
            </w:r>
          </w:p>
        </w:tc>
      </w:tr>
      <w:tr>
        <w:trPr/>
        <w:tc>
          <w:tcPr>
            <w:tcW w:w="2765" w:type="dxa"/>
            <w:tcBorders/>
            <w:shd w:fill="CCEEFF" w:val="clear"/>
            <w:tcMar>
              <w:bottom w:w="0" w:type="dxa"/>
            </w:tcMar>
            <w:vAlign w:val="center"/>
          </w:tcPr>
          <w:p>
            <w:pPr>
              <w:pStyle w:val="TableContents"/>
              <w:spacing w:before="0" w:after="283"/>
              <w:rPr>
                <w:sz w:val="20"/>
              </w:rPr>
            </w:pPr>
            <w:r>
              <w:rPr>
                <w:sz w:val="20"/>
              </w:rPr>
              <w:t>Non-compete agreements</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jc w:val="right"/>
              <w:rPr>
                <w:sz w:val="20"/>
              </w:rPr>
            </w:pPr>
            <w:r>
              <w:rPr>
                <w:sz w:val="20"/>
              </w:rPr>
              <w:t>1,202</w:t>
            </w:r>
          </w:p>
        </w:tc>
        <w:tc>
          <w:tcPr>
            <w:tcW w:w="60" w:type="dxa"/>
            <w:tcBorders/>
            <w:shd w:fill="CCEEFF" w:val="clear"/>
            <w:tcMar>
              <w:bottom w:w="0" w:type="dxa"/>
            </w:tcMar>
            <w:vAlign w:val="center"/>
          </w:tcPr>
          <w:p>
            <w:pPr>
              <w:pStyle w:val="TableContents"/>
              <w:spacing w:before="0" w:after="283"/>
              <w:rPr/>
            </w:pPr>
            <w:r>
              <w:rPr/>
              <w:t> </w:t>
            </w:r>
          </w:p>
        </w:tc>
        <w:tc>
          <w:tcPr>
            <w:tcW w:w="965" w:type="dxa"/>
            <w:tcBorders/>
            <w:shd w:fill="CCEEFF" w:val="clear"/>
            <w:tcMar>
              <w:bottom w:w="0" w:type="dxa"/>
            </w:tcMar>
            <w:vAlign w:val="center"/>
          </w:tcPr>
          <w:p>
            <w:pPr>
              <w:pStyle w:val="TableContents"/>
              <w:spacing w:before="0" w:after="283"/>
              <w:jc w:val="center"/>
              <w:rPr>
                <w:sz w:val="20"/>
              </w:rPr>
            </w:pPr>
            <w:r>
              <w:rPr>
                <w:sz w:val="20"/>
              </w:rPr>
              <w:t>5 years</w:t>
            </w:r>
          </w:p>
        </w:tc>
      </w:tr>
      <w:tr>
        <w:trPr/>
        <w:tc>
          <w:tcPr>
            <w:tcW w:w="2765" w:type="dxa"/>
            <w:tcBorders/>
            <w:shd w:fill="auto" w:val="clear"/>
            <w:tcMar>
              <w:bottom w:w="0" w:type="dxa"/>
            </w:tcMar>
            <w:vAlign w:val="center"/>
          </w:tcPr>
          <w:p>
            <w:pPr>
              <w:pStyle w:val="TableContents"/>
              <w:spacing w:before="0" w:after="283"/>
              <w:rPr>
                <w:sz w:val="20"/>
              </w:rPr>
            </w:pPr>
            <w:r>
              <w:rPr>
                <w:sz w:val="20"/>
              </w:rPr>
              <w:t>Customer relationships</w:t>
            </w:r>
          </w:p>
        </w:tc>
        <w:tc>
          <w:tcPr>
            <w:tcW w:w="60" w:type="dxa"/>
            <w:tcBorders/>
            <w:shd w:fill="auto" w:val="clear"/>
            <w:tcMar>
              <w:bottom w:w="0" w:type="dxa"/>
            </w:tcMar>
            <w:vAlign w:val="center"/>
          </w:tcPr>
          <w:p>
            <w:pPr>
              <w:pStyle w:val="TableContents"/>
              <w:spacing w:before="0" w:after="283"/>
              <w:rPr/>
            </w:pPr>
            <w:r>
              <w:rPr/>
              <w:t> </w:t>
            </w:r>
          </w:p>
        </w:tc>
        <w:tc>
          <w:tcPr>
            <w:tcW w:w="125" w:type="dxa"/>
            <w:tcBorders>
              <w:bottom w:val="single" w:sz="12" w:space="0" w:color="000000"/>
            </w:tcBorders>
            <w:shd w:fill="auto" w:val="clear"/>
            <w:vAlign w:val="center"/>
          </w:tcPr>
          <w:p>
            <w:pPr>
              <w:pStyle w:val="TableContents"/>
              <w:spacing w:before="0" w:after="283"/>
              <w:rPr/>
            </w:pPr>
            <w:r>
              <w:rPr/>
              <w:t> </w:t>
            </w:r>
          </w:p>
        </w:tc>
        <w:tc>
          <w:tcPr>
            <w:tcW w:w="485" w:type="dxa"/>
            <w:tcBorders>
              <w:bottom w:val="single" w:sz="12" w:space="0" w:color="000000"/>
            </w:tcBorders>
            <w:shd w:fill="auto" w:val="clear"/>
            <w:vAlign w:val="center"/>
          </w:tcPr>
          <w:p>
            <w:pPr>
              <w:pStyle w:val="TableContents"/>
              <w:spacing w:before="0" w:after="283"/>
              <w:jc w:val="right"/>
              <w:rPr>
                <w:sz w:val="20"/>
              </w:rPr>
            </w:pPr>
            <w:r>
              <w:rPr>
                <w:sz w:val="20"/>
              </w:rPr>
              <w:t>3,609</w:t>
            </w:r>
          </w:p>
        </w:tc>
        <w:tc>
          <w:tcPr>
            <w:tcW w:w="60" w:type="dxa"/>
            <w:tcBorders/>
            <w:shd w:fill="auto" w:val="clear"/>
            <w:tcMar>
              <w:bottom w:w="0" w:type="dxa"/>
            </w:tcMar>
            <w:vAlign w:val="center"/>
          </w:tcPr>
          <w:p>
            <w:pPr>
              <w:pStyle w:val="TableContents"/>
              <w:spacing w:before="0" w:after="283"/>
              <w:rPr/>
            </w:pPr>
            <w:r>
              <w:rPr/>
              <w:t> </w:t>
            </w:r>
          </w:p>
        </w:tc>
        <w:tc>
          <w:tcPr>
            <w:tcW w:w="965" w:type="dxa"/>
            <w:tcBorders/>
            <w:shd w:fill="auto" w:val="clear"/>
            <w:tcMar>
              <w:bottom w:w="0" w:type="dxa"/>
            </w:tcMar>
            <w:vAlign w:val="center"/>
          </w:tcPr>
          <w:p>
            <w:pPr>
              <w:pStyle w:val="TableContents"/>
              <w:spacing w:before="0" w:after="283"/>
              <w:jc w:val="center"/>
              <w:rPr>
                <w:sz w:val="20"/>
              </w:rPr>
            </w:pPr>
            <w:r>
              <w:rPr>
                <w:sz w:val="20"/>
              </w:rPr>
              <w:t>7 to 8 years</w:t>
            </w:r>
          </w:p>
        </w:tc>
      </w:tr>
      <w:tr>
        <w:trPr/>
        <w:tc>
          <w:tcPr>
            <w:tcW w:w="2765" w:type="dxa"/>
            <w:tcBorders/>
            <w:shd w:fill="CCEEFF" w:val="clear"/>
            <w:tcMar>
              <w:bottom w:w="0" w:type="dxa"/>
            </w:tcMar>
            <w:vAlign w:val="center"/>
          </w:tcPr>
          <w:p>
            <w:pPr>
              <w:pStyle w:val="TableContents"/>
              <w:spacing w:before="0" w:after="283"/>
              <w:rPr>
                <w:b/>
                <w:sz w:val="20"/>
              </w:rPr>
            </w:pPr>
            <w:r>
              <w:rPr>
                <w:b/>
                <w:sz w:val="20"/>
              </w:rPr>
              <w:t>Total identified intangible assets</w:t>
            </w:r>
          </w:p>
        </w:tc>
        <w:tc>
          <w:tcPr>
            <w:tcW w:w="60" w:type="dxa"/>
            <w:tcBorders/>
            <w:shd w:fill="CCEEFF" w:val="clear"/>
            <w:tcMar>
              <w:bottom w:w="0" w:type="dxa"/>
            </w:tcMar>
            <w:vAlign w:val="center"/>
          </w:tcPr>
          <w:p>
            <w:pPr>
              <w:pStyle w:val="TableContents"/>
              <w:spacing w:before="0" w:after="283"/>
              <w:rPr/>
            </w:pPr>
            <w:r>
              <w:rPr/>
              <w:t> </w:t>
            </w:r>
          </w:p>
        </w:tc>
        <w:tc>
          <w:tcPr>
            <w:tcW w:w="125" w:type="dxa"/>
            <w:tcBorders>
              <w:bottom w:val="double" w:sz="12" w:space="0" w:color="000000"/>
            </w:tcBorders>
            <w:shd w:fill="CCEEFF" w:val="clear"/>
            <w:vAlign w:val="center"/>
          </w:tcPr>
          <w:p>
            <w:pPr>
              <w:pStyle w:val="TableContents"/>
              <w:spacing w:before="0" w:after="283"/>
              <w:rPr>
                <w:sz w:val="20"/>
              </w:rPr>
            </w:pPr>
            <w:r>
              <w:rPr>
                <w:sz w:val="20"/>
              </w:rPr>
              <w:t>$</w:t>
            </w:r>
          </w:p>
        </w:tc>
        <w:tc>
          <w:tcPr>
            <w:tcW w:w="485" w:type="dxa"/>
            <w:tcBorders>
              <w:bottom w:val="double" w:sz="12" w:space="0" w:color="000000"/>
            </w:tcBorders>
            <w:shd w:fill="CCEEFF" w:val="clear"/>
            <w:vAlign w:val="center"/>
          </w:tcPr>
          <w:p>
            <w:pPr>
              <w:pStyle w:val="TableContents"/>
              <w:spacing w:before="0" w:after="283"/>
              <w:jc w:val="right"/>
              <w:rPr>
                <w:sz w:val="20"/>
              </w:rPr>
            </w:pPr>
            <w:r>
              <w:rPr>
                <w:sz w:val="20"/>
              </w:rPr>
              <w:t>9,889</w:t>
            </w:r>
          </w:p>
        </w:tc>
        <w:tc>
          <w:tcPr>
            <w:tcW w:w="60" w:type="dxa"/>
            <w:tcBorders/>
            <w:shd w:fill="CCEEFF" w:val="clear"/>
            <w:tcMar>
              <w:bottom w:w="0" w:type="dxa"/>
            </w:tcMar>
            <w:vAlign w:val="center"/>
          </w:tcPr>
          <w:p>
            <w:pPr>
              <w:pStyle w:val="TableContents"/>
              <w:spacing w:before="0" w:after="283"/>
              <w:rPr/>
            </w:pPr>
            <w:r>
              <w:rPr/>
              <w:t> </w:t>
            </w:r>
          </w:p>
        </w:tc>
        <w:tc>
          <w:tcPr>
            <w:tcW w:w="965" w:type="dxa"/>
            <w:tcBorders/>
            <w:shd w:fill="CCEEFF" w:val="clear"/>
            <w:tcMar>
              <w:bottom w:w="0" w:type="dxa"/>
            </w:tcMar>
            <w:vAlign w:val="center"/>
          </w:tcPr>
          <w:p>
            <w:pPr>
              <w:pStyle w:val="TableContents"/>
              <w:spacing w:before="0" w:after="283"/>
              <w:jc w:val="center"/>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 average cost of capital to be used as a discount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amortizes its intangible assets assuming no residual value over periods in which the economic benefit of these assets is consumed.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of Precision and Cascade included in the consolidated statement of operations from the acquisition date of October 1, 2021 to December 31, 2021 was $12.3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financial information summarizes the combined results of operations for the Company, Precision and Cascade, as though the acquisition of Precision and Cascade occurred on January 1, 2020.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was as follows:</w:t>
      </w:r>
    </w:p>
    <w:p>
      <w:pPr>
        <w:pStyle w:val="TextBody"/>
        <w:spacing w:before="0" w:after="0"/>
        <w:ind w:left="0" w:right="0" w:firstLine="360"/>
        <w:rPr>
          <w:caps w:val="false"/>
          <w:smallCaps w:val="false"/>
        </w:rPr>
      </w:pPr>
      <w:r>
        <w:rPr>
          <w:caps w:val="false"/>
          <w:smallCaps w:val="false"/>
        </w:rPr>
        <w:t> </w:t>
      </w:r>
    </w:p>
    <w:tbl>
      <w:tblPr>
        <w:tblW w:w="6140" w:type="dxa"/>
        <w:jc w:val="left"/>
        <w:tblInd w:w="0" w:type="dxa"/>
        <w:tblCellMar>
          <w:top w:w="0" w:type="dxa"/>
          <w:left w:w="0" w:type="dxa"/>
          <w:bottom w:w="0" w:type="dxa"/>
          <w:right w:w="0" w:type="dxa"/>
        </w:tblCellMar>
      </w:tblPr>
      <w:tblGrid>
        <w:gridCol w:w="4295"/>
        <w:gridCol w:w="60"/>
        <w:gridCol w:w="125"/>
        <w:gridCol w:w="650"/>
        <w:gridCol w:w="80"/>
        <w:gridCol w:w="60"/>
        <w:gridCol w:w="125"/>
        <w:gridCol w:w="650"/>
        <w:gridCol w:w="95"/>
      </w:tblGrid>
      <w:tr>
        <w:trPr/>
        <w:tc>
          <w:tcPr>
            <w:tcW w:w="4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9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90,821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52,723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2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non-controlling interest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(35,783</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(25,571</w:t>
            </w:r>
          </w:p>
        </w:tc>
        <w:tc>
          <w:tcPr>
            <w:tcW w:w="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attributable to non-controlling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(35,923</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(25,549</w:t>
            </w:r>
          </w:p>
        </w:tc>
        <w:tc>
          <w:tcPr>
            <w:tcW w:w="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for all periods presented above has been calculated after adjusting the results of Precision and Cascade to reflect the business combination accounting effects resulting from these acquisitions, including acquisition costs and the amortization expense from acquired intangible assets as though the acquisition occurred on January 1, 2020. The historical consolidated financial statements have been adjusted in the pro forma combined financial statements to give effect to pro forma events that are directly attributable to the business combination.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for informational purposes only and is not indicative of the results of operations that would have been achieved if the acquisition had taken place on January 1, 2020.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Acquisition of PurePressure </w:t>
      </w:r>
    </w:p>
    <w:p>
      <w:pPr>
        <w:pStyle w:val="TextBody"/>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 owned subsidiary of the Company (the “Acquisition”).</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Acquisition consisted of: (a) $4.0 million in cash, subject to certain adjustments for working capital, cash and indebtedness of PurePressure at closing; (b) 329,179 shares of the Company’s common stock (the “Buyer Shares”); and (c) the Earn-out Consideration (as defined below), to the extent earned.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withheld 88,878 of the Buyer Shares issuable to certain Members (the “Holdback Buyer Shares”) for the purpose of securing any post-closing adjustment owed to the Company and any claim for indemnification or payment of damages to which the Company may be entitled under the Pure Purchase Agreement. The Holdback Buyer Shares shall be released following the twelve (12) month anniversary of the Closing Date in accordance with and subject to the conditions of the Pure Purchase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the Company’s common stock (collectively, the “Earn-out Consideration”).</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values still under review as of December 31, 2021 include values assigned to identifiable intangible assets and goodwill.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and the allocation of the purchase price for the business combination:</w:t>
      </w:r>
    </w:p>
    <w:p>
      <w:pPr>
        <w:pStyle w:val="TextBody"/>
        <w:spacing w:before="0" w:after="0"/>
        <w:ind w:left="0" w:right="0" w:firstLine="360"/>
        <w:rPr>
          <w:caps w:val="false"/>
          <w:smallCaps w:val="false"/>
        </w:rPr>
      </w:pPr>
      <w:r>
        <w:rPr>
          <w:caps w:val="false"/>
          <w:smallCaps w:val="false"/>
        </w:rPr>
        <w:t> </w:t>
      </w:r>
    </w:p>
    <w:tbl>
      <w:tblPr>
        <w:tblW w:w="5345" w:type="dxa"/>
        <w:jc w:val="left"/>
        <w:tblInd w:w="0" w:type="dxa"/>
        <w:tblCellMar>
          <w:top w:w="0" w:type="dxa"/>
          <w:left w:w="0" w:type="dxa"/>
          <w:bottom w:w="28" w:type="dxa"/>
          <w:right w:w="0" w:type="dxa"/>
        </w:tblCellMar>
      </w:tblPr>
      <w:tblGrid>
        <w:gridCol w:w="4475"/>
        <w:gridCol w:w="60"/>
        <w:gridCol w:w="140"/>
        <w:gridCol w:w="560"/>
        <w:gridCol w:w="110"/>
      </w:tblGrid>
      <w:tr>
        <w:trPr/>
        <w:tc>
          <w:tcPr>
            <w:tcW w:w="447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810" w:type="dxa"/>
            <w:gridSpan w:val="3"/>
            <w:tcBorders/>
            <w:shd w:fill="auto" w:val="clear"/>
            <w:tcMar>
              <w:bottom w:w="0" w:type="dxa"/>
            </w:tcMar>
            <w:vAlign w:val="center"/>
          </w:tcPr>
          <w:p>
            <w:pPr>
              <w:pStyle w:val="TableContents"/>
              <w:spacing w:before="0" w:after="283"/>
              <w:rPr/>
            </w:pPr>
            <w:r>
              <w:rPr/>
              <w:t> </w:t>
            </w:r>
          </w:p>
        </w:tc>
      </w:tr>
      <w:tr>
        <w:trPr/>
        <w:tc>
          <w:tcPr>
            <w:tcW w:w="4475" w:type="dxa"/>
            <w:tcBorders/>
            <w:shd w:fill="auto" w:val="clear"/>
            <w:tcMar>
              <w:bottom w:w="0" w:type="dxa"/>
            </w:tcMar>
            <w:vAlign w:val="center"/>
          </w:tcPr>
          <w:p>
            <w:pPr>
              <w:pStyle w:val="TableContents"/>
              <w:spacing w:before="0" w:after="283"/>
              <w:rPr>
                <w:b/>
              </w:rPr>
            </w:pPr>
            <w:r>
              <w:rPr>
                <w:b/>
              </w:rPr>
              <w:t>Purchase price consideration:</w:t>
            </w:r>
          </w:p>
        </w:tc>
        <w:tc>
          <w:tcPr>
            <w:tcW w:w="60" w:type="dxa"/>
            <w:tcBorders/>
            <w:shd w:fill="auto" w:val="clear"/>
            <w:tcMar>
              <w:bottom w:w="0" w:type="dxa"/>
            </w:tcMar>
            <w:vAlign w:val="center"/>
          </w:tcPr>
          <w:p>
            <w:pPr>
              <w:pStyle w:val="TableContents"/>
              <w:spacing w:before="0" w:after="283"/>
              <w:rPr/>
            </w:pPr>
            <w:r>
              <w:rPr/>
              <w:t> </w:t>
            </w:r>
          </w:p>
        </w:tc>
        <w:tc>
          <w:tcPr>
            <w:tcW w:w="810" w:type="dxa"/>
            <w:gridSpan w:val="3"/>
            <w:tcBorders/>
            <w:shd w:fill="auto" w:val="clear"/>
            <w:tcMar>
              <w:bottom w:w="0" w:type="dxa"/>
            </w:tcMar>
            <w:vAlign w:val="center"/>
          </w:tcPr>
          <w:p>
            <w:pPr>
              <w:pStyle w:val="TableContents"/>
              <w:spacing w:before="0" w:after="283"/>
              <w:rPr/>
            </w:pPr>
            <w:r>
              <w:rPr/>
              <w:t> </w:t>
            </w:r>
          </w:p>
        </w:tc>
      </w:tr>
      <w:tr>
        <w:trPr/>
        <w:tc>
          <w:tcPr>
            <w:tcW w:w="4475" w:type="dxa"/>
            <w:tcBorders/>
            <w:shd w:fill="CCEEFF" w:val="clear"/>
            <w:tcMar>
              <w:bottom w:w="0" w:type="dxa"/>
            </w:tcMar>
            <w:vAlign w:val="center"/>
          </w:tcPr>
          <w:p>
            <w:pPr>
              <w:pStyle w:val="TableContents"/>
              <w:spacing w:before="0" w:after="283"/>
              <w:jc w:val="left"/>
              <w:rPr/>
            </w:pPr>
            <w:r>
              <w:rPr/>
              <w:t>Estimated closing proceeds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3,613</w:t>
            </w:r>
          </w:p>
        </w:tc>
        <w:tc>
          <w:tcPr>
            <w:tcW w:w="110" w:type="dxa"/>
            <w:tcBorders/>
            <w:shd w:fill="CCEEFF" w:val="clear"/>
            <w:tcMar>
              <w:bottom w:w="0" w:type="dxa"/>
            </w:tcMar>
            <w:vAlign w:val="center"/>
          </w:tcPr>
          <w:p>
            <w:pPr>
              <w:pStyle w:val="TableContents"/>
              <w:spacing w:before="0" w:after="283"/>
              <w:ind w:left="0" w:right="0" w:hanging="360"/>
              <w:jc w:val="left"/>
              <w:rPr/>
            </w:pPr>
            <w:r>
              <w:rPr/>
              <w:t> </w:t>
            </w:r>
          </w:p>
        </w:tc>
      </w:tr>
      <w:tr>
        <w:trPr/>
        <w:tc>
          <w:tcPr>
            <w:tcW w:w="4475" w:type="dxa"/>
            <w:tcBorders/>
            <w:shd w:fill="auto" w:val="clear"/>
            <w:tcMar>
              <w:bottom w:w="0" w:type="dxa"/>
            </w:tcMar>
            <w:vAlign w:val="center"/>
          </w:tcPr>
          <w:p>
            <w:pPr>
              <w:pStyle w:val="TableContents"/>
              <w:spacing w:before="0" w:after="283"/>
              <w:jc w:val="left"/>
              <w:rPr/>
            </w:pPr>
            <w:r>
              <w:rPr/>
              <w:t>Indebtedness paid</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320</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Transaction expenses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115</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rPr/>
            </w:pPr>
            <w:r>
              <w:rPr/>
              <w:t>Closing buyer shares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2,211</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rPr/>
            </w:pPr>
            <w:r>
              <w:rPr/>
              <w:t>Holdback buyer shares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654</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jc w:val="left"/>
              <w:rPr/>
            </w:pPr>
            <w:r>
              <w:rPr/>
              <w:t>Earn-out consideration</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707</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Estimated working capital adjustments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560" w:type="dxa"/>
            <w:tcBorders>
              <w:bottom w:val="single" w:sz="12" w:space="0" w:color="000000"/>
            </w:tcBorders>
            <w:shd w:fill="CCEEFF" w:val="clear"/>
            <w:vAlign w:val="center"/>
          </w:tcPr>
          <w:p>
            <w:pPr>
              <w:pStyle w:val="TableContents"/>
              <w:spacing w:before="0" w:after="283"/>
              <w:jc w:val="right"/>
              <w:rPr/>
            </w:pPr>
            <w:r>
              <w:rPr/>
              <w:t>330</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jc w:val="left"/>
              <w:rPr>
                <w:b/>
              </w:rPr>
            </w:pPr>
            <w:r>
              <w:rPr>
                <w:b/>
              </w:rPr>
              <w:t>Fair value of total consideration transferred</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560" w:type="dxa"/>
            <w:tcBorders>
              <w:bottom w:val="single" w:sz="12" w:space="0" w:color="000000"/>
            </w:tcBorders>
            <w:shd w:fill="auto" w:val="clear"/>
            <w:vAlign w:val="center"/>
          </w:tcPr>
          <w:p>
            <w:pPr>
              <w:pStyle w:val="TableContents"/>
              <w:spacing w:before="0" w:after="283"/>
              <w:jc w:val="right"/>
              <w:rPr/>
            </w:pPr>
            <w:r>
              <w:rPr/>
              <w:t>7,950</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b/>
              </w:rPr>
            </w:pPr>
            <w:r>
              <w:rPr>
                <w:b/>
              </w:rPr>
              <w:t>Total purchase price, net of cash acquired</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560" w:type="dxa"/>
            <w:tcBorders>
              <w:bottom w:val="double" w:sz="10" w:space="0" w:color="000000"/>
            </w:tcBorders>
            <w:shd w:fill="CCEEFF" w:val="clear"/>
            <w:vAlign w:val="center"/>
          </w:tcPr>
          <w:p>
            <w:pPr>
              <w:pStyle w:val="TableContents"/>
              <w:spacing w:before="0" w:after="283"/>
              <w:jc w:val="right"/>
              <w:rPr/>
            </w:pPr>
            <w:r>
              <w:rPr/>
              <w:t>7,647</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 </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rPr>
                <w:b/>
              </w:rPr>
            </w:pPr>
            <w:r>
              <w:rPr>
                <w:b/>
              </w:rPr>
              <w:t>Fair value allocation of purchase price: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jc w:val="left"/>
              <w:rPr/>
            </w:pPr>
            <w:r>
              <w:rPr/>
              <w:t>Cash and cash equivalents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560" w:type="dxa"/>
            <w:tcBorders/>
            <w:shd w:fill="auto" w:val="clear"/>
            <w:tcMar>
              <w:bottom w:w="0" w:type="dxa"/>
            </w:tcMar>
            <w:vAlign w:val="center"/>
          </w:tcPr>
          <w:p>
            <w:pPr>
              <w:pStyle w:val="TableContents"/>
              <w:spacing w:before="0" w:after="283"/>
              <w:jc w:val="right"/>
              <w:rPr/>
            </w:pPr>
            <w:r>
              <w:rPr/>
              <w:t>303</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Accounts receivable, net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48</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rPr/>
            </w:pPr>
            <w:r>
              <w:rPr/>
              <w:t>Inventory</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1,537</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Property and equipment, net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219</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jc w:val="left"/>
              <w:rPr/>
            </w:pPr>
            <w:r>
              <w:rPr/>
              <w:t>Right of use assets, net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191</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Prepaid expenses and other receivables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61</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jc w:val="left"/>
              <w:rPr/>
            </w:pPr>
            <w:r>
              <w:rPr/>
              <w:t>Other non-current assets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16</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jc w:val="left"/>
              <w:rPr/>
            </w:pPr>
            <w:r>
              <w:rPr/>
              <w:t>Accounts payable and accrued expenses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(706</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4475" w:type="dxa"/>
            <w:tcBorders/>
            <w:shd w:fill="auto" w:val="clear"/>
            <w:tcMar>
              <w:bottom w:w="0" w:type="dxa"/>
            </w:tcMar>
            <w:vAlign w:val="center"/>
          </w:tcPr>
          <w:p>
            <w:pPr>
              <w:pStyle w:val="TableContents"/>
              <w:spacing w:before="0" w:after="283"/>
              <w:jc w:val="left"/>
              <w:rPr/>
            </w:pPr>
            <w:r>
              <w:rPr/>
              <w:t>Deferred revenue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(762</w:t>
            </w:r>
          </w:p>
        </w:tc>
        <w:tc>
          <w:tcPr>
            <w:tcW w:w="110" w:type="dxa"/>
            <w:tcBorders/>
            <w:shd w:fill="auto" w:val="clear"/>
            <w:tcMar>
              <w:bottom w:w="0" w:type="dxa"/>
            </w:tcMar>
            <w:vAlign w:val="center"/>
          </w:tcPr>
          <w:p>
            <w:pPr>
              <w:pStyle w:val="TableContents"/>
              <w:spacing w:before="0" w:after="283"/>
              <w:jc w:val="left"/>
              <w:rPr/>
            </w:pPr>
            <w:r>
              <w:rPr/>
              <w:t>)</w:t>
            </w:r>
          </w:p>
        </w:tc>
      </w:tr>
      <w:tr>
        <w:trPr/>
        <w:tc>
          <w:tcPr>
            <w:tcW w:w="4475" w:type="dxa"/>
            <w:tcBorders/>
            <w:shd w:fill="CCEEFF" w:val="clear"/>
            <w:tcMar>
              <w:bottom w:w="0" w:type="dxa"/>
            </w:tcMar>
            <w:vAlign w:val="center"/>
          </w:tcPr>
          <w:p>
            <w:pPr>
              <w:pStyle w:val="TableContents"/>
              <w:spacing w:before="0" w:after="283"/>
              <w:jc w:val="left"/>
              <w:rPr/>
            </w:pPr>
            <w:r>
              <w:rPr/>
              <w:t>Operating lease liabilities, current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(117</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4475" w:type="dxa"/>
            <w:tcBorders/>
            <w:shd w:fill="auto" w:val="clear"/>
            <w:tcMar>
              <w:bottom w:w="0" w:type="dxa"/>
            </w:tcMar>
            <w:vAlign w:val="center"/>
          </w:tcPr>
          <w:p>
            <w:pPr>
              <w:pStyle w:val="TableContents"/>
              <w:spacing w:before="0" w:after="283"/>
              <w:jc w:val="left"/>
              <w:rPr/>
            </w:pPr>
            <w:r>
              <w:rPr/>
              <w:t>Operating lease liabilities, noncurrent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(74</w:t>
            </w:r>
          </w:p>
        </w:tc>
        <w:tc>
          <w:tcPr>
            <w:tcW w:w="110" w:type="dxa"/>
            <w:tcBorders/>
            <w:shd w:fill="auto" w:val="clear"/>
            <w:tcMar>
              <w:bottom w:w="0" w:type="dxa"/>
            </w:tcMar>
            <w:vAlign w:val="center"/>
          </w:tcPr>
          <w:p>
            <w:pPr>
              <w:pStyle w:val="TableContents"/>
              <w:spacing w:before="0" w:after="283"/>
              <w:jc w:val="left"/>
              <w:rPr/>
            </w:pPr>
            <w:r>
              <w:rPr/>
              <w:t>)</w:t>
            </w:r>
          </w:p>
        </w:tc>
      </w:tr>
      <w:tr>
        <w:trPr/>
        <w:tc>
          <w:tcPr>
            <w:tcW w:w="4475" w:type="dxa"/>
            <w:tcBorders/>
            <w:shd w:fill="CCEEFF" w:val="clear"/>
            <w:tcMar>
              <w:bottom w:w="0" w:type="dxa"/>
            </w:tcMar>
            <w:vAlign w:val="center"/>
          </w:tcPr>
          <w:p>
            <w:pPr>
              <w:pStyle w:val="TableContents"/>
              <w:spacing w:before="0" w:after="283"/>
              <w:jc w:val="left"/>
              <w:rPr/>
            </w:pPr>
            <w:r>
              <w:rPr/>
              <w:t>Finance lease liabilities, current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(4</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4475" w:type="dxa"/>
            <w:tcBorders/>
            <w:shd w:fill="auto" w:val="clear"/>
            <w:tcMar>
              <w:bottom w:w="0" w:type="dxa"/>
            </w:tcMar>
            <w:vAlign w:val="center"/>
          </w:tcPr>
          <w:p>
            <w:pPr>
              <w:pStyle w:val="TableContents"/>
              <w:spacing w:before="0" w:after="283"/>
              <w:jc w:val="left"/>
              <w:rPr/>
            </w:pPr>
            <w:r>
              <w:rPr/>
              <w:t>Finance lease liabilities, noncurrent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(10</w:t>
            </w:r>
          </w:p>
        </w:tc>
        <w:tc>
          <w:tcPr>
            <w:tcW w:w="110" w:type="dxa"/>
            <w:tcBorders/>
            <w:shd w:fill="auto" w:val="clear"/>
            <w:tcMar>
              <w:bottom w:w="0" w:type="dxa"/>
            </w:tcMar>
            <w:vAlign w:val="center"/>
          </w:tcPr>
          <w:p>
            <w:pPr>
              <w:pStyle w:val="TableContents"/>
              <w:spacing w:before="0" w:after="283"/>
              <w:jc w:val="left"/>
              <w:rPr/>
            </w:pPr>
            <w:r>
              <w:rPr/>
              <w:t>)</w:t>
            </w:r>
          </w:p>
        </w:tc>
      </w:tr>
      <w:tr>
        <w:trPr/>
        <w:tc>
          <w:tcPr>
            <w:tcW w:w="4475" w:type="dxa"/>
            <w:tcBorders/>
            <w:shd w:fill="CCEEFF" w:val="clear"/>
            <w:tcMar>
              <w:bottom w:w="0" w:type="dxa"/>
            </w:tcMar>
            <w:vAlign w:val="center"/>
          </w:tcPr>
          <w:p>
            <w:pPr>
              <w:pStyle w:val="TableContents"/>
              <w:spacing w:before="0" w:after="283"/>
              <w:jc w:val="left"/>
              <w:rPr/>
            </w:pPr>
            <w:r>
              <w:rPr/>
              <w:t>Notes payable, current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(260</w:t>
            </w:r>
          </w:p>
        </w:tc>
        <w:tc>
          <w:tcPr>
            <w:tcW w:w="110" w:type="dxa"/>
            <w:tcBorders/>
            <w:shd w:fill="CCEEFF" w:val="clear"/>
            <w:tcMar>
              <w:bottom w:w="0" w:type="dxa"/>
            </w:tcMar>
            <w:vAlign w:val="center"/>
          </w:tcPr>
          <w:p>
            <w:pPr>
              <w:pStyle w:val="TableContents"/>
              <w:spacing w:before="0" w:after="283"/>
              <w:jc w:val="left"/>
              <w:rPr/>
            </w:pPr>
            <w:r>
              <w:rPr/>
              <w:t>)</w:t>
            </w:r>
          </w:p>
        </w:tc>
      </w:tr>
      <w:tr>
        <w:trPr/>
        <w:tc>
          <w:tcPr>
            <w:tcW w:w="4475" w:type="dxa"/>
            <w:tcBorders/>
            <w:shd w:fill="auto" w:val="clear"/>
            <w:tcMar>
              <w:bottom w:w="0" w:type="dxa"/>
            </w:tcMar>
            <w:vAlign w:val="center"/>
          </w:tcPr>
          <w:p>
            <w:pPr>
              <w:pStyle w:val="TableContents"/>
              <w:spacing w:before="0" w:after="283"/>
              <w:jc w:val="left"/>
              <w:rPr/>
            </w:pPr>
            <w:r>
              <w:rPr/>
              <w:t>Notes payable, noncurrent</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(12</w:t>
            </w:r>
          </w:p>
        </w:tc>
        <w:tc>
          <w:tcPr>
            <w:tcW w:w="110" w:type="dxa"/>
            <w:tcBorders/>
            <w:shd w:fill="auto" w:val="clear"/>
            <w:tcMar>
              <w:bottom w:w="0" w:type="dxa"/>
            </w:tcMar>
            <w:vAlign w:val="center"/>
          </w:tcPr>
          <w:p>
            <w:pPr>
              <w:pStyle w:val="TableContents"/>
              <w:spacing w:before="0" w:after="283"/>
              <w:jc w:val="left"/>
              <w:rPr/>
            </w:pPr>
            <w:r>
              <w:rPr/>
              <w:t>)</w:t>
            </w:r>
          </w:p>
        </w:tc>
      </w:tr>
      <w:tr>
        <w:trPr/>
        <w:tc>
          <w:tcPr>
            <w:tcW w:w="4475" w:type="dxa"/>
            <w:tcBorders/>
            <w:shd w:fill="CCEEFF" w:val="clear"/>
            <w:tcMar>
              <w:bottom w:w="0" w:type="dxa"/>
            </w:tcMar>
            <w:vAlign w:val="center"/>
          </w:tcPr>
          <w:p>
            <w:pPr>
              <w:pStyle w:val="TableContents"/>
              <w:spacing w:before="0" w:after="283"/>
              <w:jc w:val="left"/>
              <w:rPr/>
            </w:pPr>
            <w:r>
              <w:rPr/>
              <w:t>Acquired intangible assets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3,037</w:t>
            </w:r>
          </w:p>
        </w:tc>
        <w:tc>
          <w:tcPr>
            <w:tcW w:w="110" w:type="dxa"/>
            <w:tcBorders/>
            <w:shd w:fill="CCEEFF" w:val="clear"/>
            <w:tcMar>
              <w:bottom w:w="0" w:type="dxa"/>
            </w:tcMar>
            <w:vAlign w:val="center"/>
          </w:tcPr>
          <w:p>
            <w:pPr>
              <w:pStyle w:val="TableContents"/>
              <w:spacing w:before="0" w:after="283"/>
              <w:jc w:val="left"/>
              <w:rPr/>
            </w:pPr>
            <w:r>
              <w:rPr/>
              <w:t> </w:t>
            </w:r>
          </w:p>
        </w:tc>
      </w:tr>
      <w:tr>
        <w:trPr/>
        <w:tc>
          <w:tcPr>
            <w:tcW w:w="4475" w:type="dxa"/>
            <w:tcBorders/>
            <w:shd w:fill="auto" w:val="clear"/>
            <w:tcMar>
              <w:bottom w:w="0" w:type="dxa"/>
            </w:tcMar>
            <w:vAlign w:val="center"/>
          </w:tcPr>
          <w:p>
            <w:pPr>
              <w:pStyle w:val="TableContents"/>
              <w:spacing w:before="0" w:after="283"/>
              <w:rPr/>
            </w:pPr>
            <w:r>
              <w:rPr/>
              <w:t>Goodwill</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560" w:type="dxa"/>
            <w:tcBorders>
              <w:bottom w:val="single" w:sz="12" w:space="0" w:color="000000"/>
            </w:tcBorders>
            <w:shd w:fill="auto" w:val="clear"/>
            <w:vAlign w:val="center"/>
          </w:tcPr>
          <w:p>
            <w:pPr>
              <w:pStyle w:val="TableContents"/>
              <w:spacing w:before="0" w:after="283"/>
              <w:jc w:val="right"/>
              <w:rPr/>
            </w:pPr>
            <w:r>
              <w:rPr/>
              <w:t>4,483</w:t>
            </w:r>
          </w:p>
        </w:tc>
        <w:tc>
          <w:tcPr>
            <w:tcW w:w="110" w:type="dxa"/>
            <w:tcBorders/>
            <w:shd w:fill="auto" w:val="clear"/>
            <w:tcMar>
              <w:bottom w:w="0" w:type="dxa"/>
            </w:tcMar>
            <w:vAlign w:val="center"/>
          </w:tcPr>
          <w:p>
            <w:pPr>
              <w:pStyle w:val="TableContents"/>
              <w:spacing w:before="0" w:after="283"/>
              <w:jc w:val="left"/>
              <w:rPr/>
            </w:pPr>
            <w:r>
              <w:rPr/>
              <w:t> </w:t>
            </w:r>
          </w:p>
        </w:tc>
      </w:tr>
      <w:tr>
        <w:trPr/>
        <w:tc>
          <w:tcPr>
            <w:tcW w:w="4475" w:type="dxa"/>
            <w:tcBorders/>
            <w:shd w:fill="CCEEFF" w:val="clear"/>
            <w:tcMar>
              <w:bottom w:w="0" w:type="dxa"/>
            </w:tcMar>
            <w:vAlign w:val="center"/>
          </w:tcPr>
          <w:p>
            <w:pPr>
              <w:pStyle w:val="TableContents"/>
              <w:spacing w:before="0" w:after="283"/>
              <w:rPr>
                <w:b/>
              </w:rPr>
            </w:pPr>
            <w:r>
              <w:rPr>
                <w:b/>
              </w:rPr>
              <w:t>Total purchase price</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560" w:type="dxa"/>
            <w:tcBorders>
              <w:bottom w:val="double" w:sz="10" w:space="0" w:color="000000"/>
            </w:tcBorders>
            <w:shd w:fill="CCEEFF" w:val="clear"/>
            <w:vAlign w:val="center"/>
          </w:tcPr>
          <w:p>
            <w:pPr>
              <w:pStyle w:val="TableContents"/>
              <w:spacing w:before="0" w:after="283"/>
              <w:jc w:val="right"/>
              <w:rPr/>
            </w:pPr>
            <w:r>
              <w:rPr/>
              <w:t>7,950</w:t>
            </w:r>
          </w:p>
        </w:tc>
        <w:tc>
          <w:tcPr>
            <w:tcW w:w="11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intangible assets consist of trade names, technology, and customer relationships. The fair value of intangible assets and the determination of their respective useful lives were made in accordance with ASC 805 and are outlined in the table below:</w:t>
      </w:r>
    </w:p>
    <w:p>
      <w:pPr>
        <w:pStyle w:val="TextBody"/>
        <w:spacing w:before="0" w:after="0"/>
        <w:ind w:left="0" w:right="0" w:hanging="0"/>
        <w:rPr>
          <w:caps w:val="false"/>
          <w:smallCaps w:val="false"/>
        </w:rPr>
      </w:pPr>
      <w:r>
        <w:rPr>
          <w:caps w:val="false"/>
          <w:smallCaps w:val="false"/>
        </w:rPr>
        <w:t> </w:t>
      </w:r>
    </w:p>
    <w:tbl>
      <w:tblPr>
        <w:tblW w:w="4445" w:type="dxa"/>
        <w:jc w:val="left"/>
        <w:tblInd w:w="0" w:type="dxa"/>
        <w:tblCellMar>
          <w:top w:w="0" w:type="dxa"/>
          <w:left w:w="0" w:type="dxa"/>
          <w:bottom w:w="28" w:type="dxa"/>
          <w:right w:w="0" w:type="dxa"/>
        </w:tblCellMar>
      </w:tblPr>
      <w:tblGrid>
        <w:gridCol w:w="2765"/>
        <w:gridCol w:w="60"/>
        <w:gridCol w:w="125"/>
        <w:gridCol w:w="485"/>
        <w:gridCol w:w="60"/>
        <w:gridCol w:w="950"/>
      </w:tblGrid>
      <w:tr>
        <w:trPr/>
        <w:tc>
          <w:tcPr>
            <w:tcW w:w="2765"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1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w:t>
              <w:br/>
              <w:t>Value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765"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Identified intangible assets: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10" w:type="dxa"/>
            <w:gridSpan w:val="2"/>
            <w:tcBorders/>
            <w:shd w:fill="auto"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ind w:left="0"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r>
      <w:tr>
        <w:trPr/>
        <w:tc>
          <w:tcPr>
            <w:tcW w:w="276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developed technology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85"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years</w:t>
            </w:r>
          </w:p>
        </w:tc>
      </w:tr>
      <w:tr>
        <w:trPr/>
        <w:tc>
          <w:tcPr>
            <w:tcW w:w="276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485" w:type="dxa"/>
            <w:tcBorders>
              <w:bottom w:val="single" w:sz="12"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r>
      <w:tr>
        <w:trPr/>
        <w:tc>
          <w:tcPr>
            <w:tcW w:w="2765"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identified intangible assets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10"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TriGrow</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 million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pStyle w:val="TextBody"/>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acquisition of TriGrow, the Company made available 121,539 shares of its common stock for issuance to certain executives of TriGrow upon TriGrow’s and/or the Company’s receipt of $10.0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earn-out to be de minimis. No earn-out was ever earned.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related costs, consisting primarily of professional fees, directly related to the acquisition, totaled $45 thousand for the year ended December 31, 2020. All transaction and related costs were expensed as incurred and are included in selling, general and administrative expenses.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and the allocation of the purchase price for the business combination:</w:t>
      </w:r>
    </w:p>
    <w:p>
      <w:pPr>
        <w:pStyle w:val="TextBody"/>
        <w:spacing w:before="0" w:after="0"/>
        <w:ind w:left="0" w:right="0" w:firstLine="360"/>
        <w:rPr>
          <w:caps w:val="false"/>
          <w:smallCaps w:val="false"/>
        </w:rPr>
      </w:pPr>
      <w:r>
        <w:rPr>
          <w:caps w:val="false"/>
          <w:smallCaps w:val="false"/>
        </w:rPr>
        <w:t> </w:t>
      </w:r>
    </w:p>
    <w:tbl>
      <w:tblPr>
        <w:tblW w:w="5940" w:type="dxa"/>
        <w:jc w:val="left"/>
        <w:tblInd w:w="0" w:type="dxa"/>
        <w:tblCellMar>
          <w:top w:w="0" w:type="dxa"/>
          <w:left w:w="0" w:type="dxa"/>
          <w:bottom w:w="28" w:type="dxa"/>
          <w:right w:w="0" w:type="dxa"/>
        </w:tblCellMar>
      </w:tblPr>
      <w:tblGrid>
        <w:gridCol w:w="5105"/>
        <w:gridCol w:w="60"/>
        <w:gridCol w:w="140"/>
        <w:gridCol w:w="560"/>
        <w:gridCol w:w="75"/>
      </w:tblGrid>
      <w:tr>
        <w:trPr/>
        <w:tc>
          <w:tcPr>
            <w:tcW w:w="5105"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700" w:type="dxa"/>
            <w:gridSpan w:val="2"/>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5105" w:type="dxa"/>
            <w:tcBorders/>
            <w:shd w:fill="auto" w:val="clear"/>
            <w:tcMar>
              <w:bottom w:w="0" w:type="dxa"/>
            </w:tcMar>
            <w:vAlign w:val="center"/>
          </w:tcPr>
          <w:p>
            <w:pPr>
              <w:pStyle w:val="TableContents"/>
              <w:spacing w:before="0" w:after="283"/>
              <w:rPr>
                <w:b/>
              </w:rPr>
            </w:pPr>
            <w:r>
              <w:rPr>
                <w:b/>
              </w:rPr>
              <w:t>Components of Purchase Price:</w:t>
            </w:r>
          </w:p>
        </w:tc>
        <w:tc>
          <w:tcPr>
            <w:tcW w:w="60" w:type="dxa"/>
            <w:tcBorders/>
            <w:shd w:fill="auto" w:val="clear"/>
            <w:tcMar>
              <w:bottom w:w="0" w:type="dxa"/>
            </w:tcMar>
            <w:vAlign w:val="center"/>
          </w:tcPr>
          <w:p>
            <w:pPr>
              <w:pStyle w:val="TableContents"/>
              <w:spacing w:before="0" w:after="283"/>
              <w:rPr/>
            </w:pPr>
            <w:r>
              <w:rPr/>
              <w:t> </w:t>
            </w:r>
          </w:p>
        </w:tc>
        <w:tc>
          <w:tcPr>
            <w:tcW w:w="700" w:type="dxa"/>
            <w:gridSpan w:val="2"/>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ind w:left="0" w:right="0" w:hanging="200"/>
              <w:rPr/>
            </w:pPr>
            <w:r>
              <w:rPr/>
              <w:t> </w:t>
            </w:r>
          </w:p>
        </w:tc>
      </w:tr>
      <w:tr>
        <w:trPr/>
        <w:tc>
          <w:tcPr>
            <w:tcW w:w="5105" w:type="dxa"/>
            <w:tcBorders/>
            <w:shd w:fill="CCEEFF" w:val="clear"/>
            <w:tcMar>
              <w:bottom w:w="0" w:type="dxa"/>
            </w:tcMar>
            <w:vAlign w:val="center"/>
          </w:tcPr>
          <w:p>
            <w:pPr>
              <w:pStyle w:val="TableContents"/>
              <w:spacing w:before="0" w:after="283"/>
              <w:jc w:val="left"/>
              <w:rPr/>
            </w:pPr>
            <w:r>
              <w:rPr/>
              <w:t>Obligation to invest cash in profit interest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1,140</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jc w:val="left"/>
              <w:rPr/>
            </w:pPr>
            <w:r>
              <w:rPr/>
              <w:t>Capital stock consideration</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1,356</w:t>
            </w:r>
          </w:p>
        </w:tc>
        <w:tc>
          <w:tcPr>
            <w:tcW w:w="75" w:type="dxa"/>
            <w:tcBorders/>
            <w:shd w:fill="auto" w:val="clear"/>
            <w:tcMar>
              <w:bottom w:w="0" w:type="dxa"/>
            </w:tcMar>
            <w:vAlign w:val="center"/>
          </w:tcPr>
          <w:p>
            <w:pPr>
              <w:pStyle w:val="TableContents"/>
              <w:spacing w:before="0" w:after="283"/>
              <w:ind w:left="0" w:right="0" w:hanging="200"/>
              <w:jc w:val="left"/>
              <w:rPr/>
            </w:pPr>
            <w:r>
              <w:rPr/>
              <w:t> </w:t>
            </w:r>
          </w:p>
        </w:tc>
      </w:tr>
      <w:tr>
        <w:trPr/>
        <w:tc>
          <w:tcPr>
            <w:tcW w:w="5105" w:type="dxa"/>
            <w:tcBorders/>
            <w:shd w:fill="CCEEFF" w:val="clear"/>
            <w:tcMar>
              <w:bottom w:w="0" w:type="dxa"/>
            </w:tcMar>
            <w:vAlign w:val="center"/>
          </w:tcPr>
          <w:p>
            <w:pPr>
              <w:pStyle w:val="TableContents"/>
              <w:spacing w:before="0" w:after="283"/>
              <w:jc w:val="left"/>
              <w:rPr/>
            </w:pPr>
            <w:r>
              <w:rPr/>
              <w:t>Noncontrolling Interest</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560" w:type="dxa"/>
            <w:tcBorders>
              <w:bottom w:val="single" w:sz="12" w:space="0" w:color="000000"/>
            </w:tcBorders>
            <w:shd w:fill="CCEEFF" w:val="clear"/>
            <w:vAlign w:val="center"/>
          </w:tcPr>
          <w:p>
            <w:pPr>
              <w:pStyle w:val="TableContents"/>
              <w:spacing w:before="0" w:after="283"/>
              <w:jc w:val="right"/>
              <w:rPr/>
            </w:pPr>
            <w:r>
              <w:rPr/>
              <w:t>207</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rPr>
                <w:b/>
              </w:rPr>
            </w:pPr>
            <w:r>
              <w:rPr>
                <w:b/>
              </w:rPr>
              <w:t>Total purchase price</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double" w:sz="10" w:space="0" w:color="000000"/>
            </w:tcBorders>
            <w:shd w:fill="auto" w:val="clear"/>
            <w:vAlign w:val="center"/>
          </w:tcPr>
          <w:p>
            <w:pPr>
              <w:pStyle w:val="TableContents"/>
              <w:spacing w:before="0" w:after="283"/>
              <w:jc w:val="left"/>
              <w:rPr/>
            </w:pPr>
            <w:r>
              <w:rPr/>
              <w:t>$</w:t>
            </w:r>
          </w:p>
        </w:tc>
        <w:tc>
          <w:tcPr>
            <w:tcW w:w="560" w:type="dxa"/>
            <w:tcBorders>
              <w:bottom w:val="double" w:sz="10" w:space="0" w:color="000000"/>
            </w:tcBorders>
            <w:shd w:fill="auto" w:val="clear"/>
            <w:vAlign w:val="center"/>
          </w:tcPr>
          <w:p>
            <w:pPr>
              <w:pStyle w:val="TableContents"/>
              <w:spacing w:before="0" w:after="283"/>
              <w:jc w:val="right"/>
              <w:rPr/>
            </w:pPr>
            <w:r>
              <w:rPr/>
              <w:t>2,703</w:t>
            </w:r>
          </w:p>
        </w:tc>
        <w:tc>
          <w:tcPr>
            <w:tcW w:w="75" w:type="dxa"/>
            <w:tcBorders/>
            <w:shd w:fill="auto" w:val="clear"/>
            <w:tcMar>
              <w:bottom w:w="0" w:type="dxa"/>
            </w:tcMar>
            <w:vAlign w:val="center"/>
          </w:tcPr>
          <w:p>
            <w:pPr>
              <w:pStyle w:val="TableContents"/>
              <w:spacing w:before="0" w:after="283"/>
              <w:jc w:val="left"/>
              <w:rPr/>
            </w:pPr>
            <w:r>
              <w:rPr/>
              <w:t> </w:t>
            </w:r>
          </w:p>
        </w:tc>
      </w:tr>
      <w:tr>
        <w:trPr/>
        <w:tc>
          <w:tcPr>
            <w:tcW w:w="51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rPr>
                <w:b/>
              </w:rPr>
            </w:pPr>
            <w:r>
              <w:rPr>
                <w:b/>
              </w:rPr>
              <w:t>Allocation of Purchase Price: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ind w:left="0" w:right="0" w:hanging="200"/>
              <w:jc w:val="left"/>
              <w:rPr/>
            </w:pPr>
            <w:r>
              <w:rPr/>
              <w:t> </w:t>
            </w:r>
          </w:p>
        </w:tc>
      </w:tr>
      <w:tr>
        <w:trPr/>
        <w:tc>
          <w:tcPr>
            <w:tcW w:w="5105" w:type="dxa"/>
            <w:tcBorders/>
            <w:shd w:fill="CCEEFF" w:val="clear"/>
            <w:tcMar>
              <w:bottom w:w="0" w:type="dxa"/>
            </w:tcMar>
            <w:vAlign w:val="center"/>
          </w:tcPr>
          <w:p>
            <w:pPr>
              <w:pStyle w:val="TableContents"/>
              <w:spacing w:before="0" w:after="283"/>
              <w:jc w:val="left"/>
              <w:rPr>
                <w:b/>
              </w:rPr>
            </w:pPr>
            <w:r>
              <w:rPr>
                <w:b/>
              </w:rPr>
              <w:t>Net tangible assets, including cash acquired of $44</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w:t>
            </w:r>
          </w:p>
        </w:tc>
        <w:tc>
          <w:tcPr>
            <w:tcW w:w="560" w:type="dxa"/>
            <w:tcBorders>
              <w:bottom w:val="single" w:sz="12" w:space="0" w:color="000000"/>
            </w:tcBorders>
            <w:shd w:fill="CCEEFF" w:val="clear"/>
            <w:vAlign w:val="center"/>
          </w:tcPr>
          <w:p>
            <w:pPr>
              <w:pStyle w:val="TableContents"/>
              <w:spacing w:before="0" w:after="283"/>
              <w:jc w:val="right"/>
              <w:rPr/>
            </w:pPr>
            <w:r>
              <w:rPr/>
              <w:t>543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10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ind w:left="0" w:right="0" w:hanging="200"/>
              <w:jc w:val="left"/>
              <w:rPr/>
            </w:pPr>
            <w:r>
              <w:rPr/>
              <w:t> </w:t>
            </w:r>
          </w:p>
        </w:tc>
      </w:tr>
      <w:tr>
        <w:trPr/>
        <w:tc>
          <w:tcPr>
            <w:tcW w:w="5105" w:type="dxa"/>
            <w:tcBorders/>
            <w:shd w:fill="CCEEFF" w:val="clear"/>
            <w:tcMar>
              <w:bottom w:w="0" w:type="dxa"/>
            </w:tcMar>
            <w:vAlign w:val="center"/>
          </w:tcPr>
          <w:p>
            <w:pPr>
              <w:pStyle w:val="TableContents"/>
              <w:spacing w:before="0" w:after="283"/>
              <w:jc w:val="left"/>
              <w:rPr>
                <w:b/>
              </w:rPr>
            </w:pPr>
            <w:r>
              <w:rPr>
                <w:b/>
              </w:rPr>
              <w:t>Identifiable intangible assets: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560"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jc w:val="left"/>
              <w:rPr/>
            </w:pPr>
            <w:r>
              <w:rPr/>
              <w:t>Brand rights</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560" w:type="dxa"/>
            <w:tcBorders/>
            <w:shd w:fill="auto" w:val="clear"/>
            <w:tcMar>
              <w:bottom w:w="0" w:type="dxa"/>
            </w:tcMar>
            <w:vAlign w:val="center"/>
          </w:tcPr>
          <w:p>
            <w:pPr>
              <w:pStyle w:val="TableContents"/>
              <w:spacing w:before="0" w:after="283"/>
              <w:jc w:val="right"/>
              <w:rPr/>
            </w:pPr>
            <w:r>
              <w:rPr/>
              <w:t>930</w:t>
            </w:r>
          </w:p>
        </w:tc>
        <w:tc>
          <w:tcPr>
            <w:tcW w:w="75" w:type="dxa"/>
            <w:tcBorders/>
            <w:shd w:fill="auto" w:val="clear"/>
            <w:tcMar>
              <w:bottom w:w="0" w:type="dxa"/>
            </w:tcMar>
            <w:vAlign w:val="center"/>
          </w:tcPr>
          <w:p>
            <w:pPr>
              <w:pStyle w:val="TableContents"/>
              <w:spacing w:before="0" w:after="283"/>
              <w:ind w:left="0" w:right="0" w:hanging="200"/>
              <w:jc w:val="left"/>
              <w:rPr/>
            </w:pPr>
            <w:r>
              <w:rPr/>
              <w:t> </w:t>
            </w:r>
          </w:p>
        </w:tc>
      </w:tr>
      <w:tr>
        <w:trPr/>
        <w:tc>
          <w:tcPr>
            <w:tcW w:w="5105" w:type="dxa"/>
            <w:tcBorders/>
            <w:shd w:fill="CCEEFF" w:val="clear"/>
            <w:tcMar>
              <w:bottom w:w="0" w:type="dxa"/>
            </w:tcMar>
            <w:vAlign w:val="center"/>
          </w:tcPr>
          <w:p>
            <w:pPr>
              <w:pStyle w:val="TableContents"/>
              <w:spacing w:before="0" w:after="283"/>
              <w:jc w:val="left"/>
              <w:rPr/>
            </w:pPr>
            <w:r>
              <w:rPr/>
              <w:t>Customer relationships</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560" w:type="dxa"/>
            <w:tcBorders>
              <w:bottom w:val="single" w:sz="12" w:space="0" w:color="000000"/>
            </w:tcBorders>
            <w:shd w:fill="CCEEFF" w:val="clear"/>
            <w:vAlign w:val="center"/>
          </w:tcPr>
          <w:p>
            <w:pPr>
              <w:pStyle w:val="TableContents"/>
              <w:spacing w:before="0" w:after="283"/>
              <w:jc w:val="right"/>
              <w:rPr/>
            </w:pPr>
            <w:r>
              <w:rPr/>
              <w:t>850</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jc w:val="left"/>
              <w:rPr>
                <w:b/>
              </w:rPr>
            </w:pPr>
            <w:r>
              <w:rPr>
                <w:b/>
              </w:rPr>
              <w:t>Total identifiable intangible assets</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560" w:type="dxa"/>
            <w:tcBorders>
              <w:bottom w:val="single" w:sz="12" w:space="0" w:color="000000"/>
            </w:tcBorders>
            <w:shd w:fill="auto" w:val="clear"/>
            <w:vAlign w:val="center"/>
          </w:tcPr>
          <w:p>
            <w:pPr>
              <w:pStyle w:val="TableContents"/>
              <w:spacing w:before="0" w:after="283"/>
              <w:jc w:val="right"/>
              <w:rPr/>
            </w:pPr>
            <w:r>
              <w:rPr/>
              <w:t>1,780</w:t>
            </w:r>
          </w:p>
        </w:tc>
        <w:tc>
          <w:tcPr>
            <w:tcW w:w="75" w:type="dxa"/>
            <w:tcBorders/>
            <w:shd w:fill="auto" w:val="clear"/>
            <w:tcMar>
              <w:bottom w:w="0" w:type="dxa"/>
            </w:tcMar>
            <w:vAlign w:val="center"/>
          </w:tcPr>
          <w:p>
            <w:pPr>
              <w:pStyle w:val="TableContents"/>
              <w:spacing w:before="0" w:after="283"/>
              <w:ind w:left="0" w:right="0" w:hanging="200"/>
              <w:jc w:val="left"/>
              <w:rPr/>
            </w:pPr>
            <w:r>
              <w:rPr/>
              <w:t> </w:t>
            </w:r>
          </w:p>
        </w:tc>
      </w:tr>
      <w:tr>
        <w:trPr/>
        <w:tc>
          <w:tcPr>
            <w:tcW w:w="5105" w:type="dxa"/>
            <w:tcBorders/>
            <w:shd w:fill="CCEEFF" w:val="clear"/>
            <w:tcMar>
              <w:bottom w:w="0" w:type="dxa"/>
            </w:tcMar>
            <w:vAlign w:val="center"/>
          </w:tcPr>
          <w:p>
            <w:pPr>
              <w:pStyle w:val="TableContents"/>
              <w:spacing w:before="0" w:after="283"/>
              <w:rPr>
                <w:b/>
              </w:rPr>
            </w:pPr>
            <w:r>
              <w:rPr>
                <w:b/>
              </w:rPr>
              <w:t>Goodwill</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 </w:t>
            </w:r>
          </w:p>
        </w:tc>
        <w:tc>
          <w:tcPr>
            <w:tcW w:w="560" w:type="dxa"/>
            <w:tcBorders>
              <w:bottom w:val="single" w:sz="12" w:space="0" w:color="000000"/>
            </w:tcBorders>
            <w:shd w:fill="CCEEFF" w:val="clear"/>
            <w:vAlign w:val="center"/>
          </w:tcPr>
          <w:p>
            <w:pPr>
              <w:pStyle w:val="TableContents"/>
              <w:spacing w:before="0" w:after="283"/>
              <w:jc w:val="right"/>
              <w:rPr/>
            </w:pPr>
            <w:r>
              <w:rPr/>
              <w:t>380</w:t>
            </w:r>
          </w:p>
        </w:tc>
        <w:tc>
          <w:tcPr>
            <w:tcW w:w="7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105" w:type="dxa"/>
            <w:tcBorders/>
            <w:shd w:fill="auto" w:val="clear"/>
            <w:tcMar>
              <w:bottom w:w="0" w:type="dxa"/>
            </w:tcMar>
            <w:vAlign w:val="center"/>
          </w:tcPr>
          <w:p>
            <w:pPr>
              <w:pStyle w:val="TableContents"/>
              <w:spacing w:before="0" w:after="283"/>
              <w:jc w:val="left"/>
              <w:rPr>
                <w:b/>
              </w:rPr>
            </w:pPr>
            <w:r>
              <w:rPr>
                <w:b/>
              </w:rPr>
              <w:t>Total purchase price allocation</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double" w:sz="10" w:space="0" w:color="000000"/>
            </w:tcBorders>
            <w:shd w:fill="auto" w:val="clear"/>
            <w:vAlign w:val="center"/>
          </w:tcPr>
          <w:p>
            <w:pPr>
              <w:pStyle w:val="TableContents"/>
              <w:spacing w:before="0" w:after="283"/>
              <w:jc w:val="left"/>
              <w:rPr/>
            </w:pPr>
            <w:r>
              <w:rPr/>
              <w:t>$</w:t>
            </w:r>
          </w:p>
        </w:tc>
        <w:tc>
          <w:tcPr>
            <w:tcW w:w="560" w:type="dxa"/>
            <w:tcBorders>
              <w:bottom w:val="double" w:sz="10" w:space="0" w:color="000000"/>
            </w:tcBorders>
            <w:shd w:fill="auto" w:val="clear"/>
            <w:vAlign w:val="center"/>
          </w:tcPr>
          <w:p>
            <w:pPr>
              <w:pStyle w:val="TableContents"/>
              <w:spacing w:before="0" w:after="283"/>
              <w:jc w:val="right"/>
              <w:rPr/>
            </w:pPr>
            <w:r>
              <w:rPr/>
              <w:t>2,703</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 names and Customer relationships were assigned estimated useful lives of ten years and nine years, respectively, the weighted average of which is approximately 9.5 years.</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amount of revenue of TriGrow included in the Company’s consolidated statement of operations from the acquisition date of January 22, 2020 to December 31, 2020 was $4.0 million.</w:t>
      </w:r>
    </w:p>
    <w:p>
      <w:pPr>
        <w:pStyle w:val="TextBody"/>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Harbor Mountain Holdings, LLC</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July 2020, the Company acquired all the outstanding equity interests of HMH, located in the Atlanta, GA area, that has been producing and assembling many of the Company’s products. As part of the acquisition, the Company waived net receivable owed amounting to $214 thousand and assumed lease liabilities for existing equipment and premises. On September 20, 2021, the Company issued an aggregate of 8,000 shares of common stock to an executive of HMH for achieving certain milestones from the acquisition date through March 31, 2021. The common shares were valued at $176 thousand based on the Company’s Stock Price at closing September 20, 2021. The value of the shares is included in research and development in the condensed consolidated statements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related costs, consisting primarily of professional fees, directly related to the acquisition, totaled $35 thousand for the year ended December 31, 2020. All transaction and related costs were expensed as incurred and are included in selling, general and administrative expenses.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and the allocation of the purchase price for the business combination:</w:t>
      </w:r>
    </w:p>
    <w:p>
      <w:pPr>
        <w:pStyle w:val="TextBody"/>
        <w:spacing w:before="0" w:after="0"/>
        <w:ind w:left="0" w:right="0" w:firstLine="360"/>
        <w:rPr>
          <w:caps w:val="false"/>
          <w:smallCaps w:val="false"/>
        </w:rPr>
      </w:pPr>
      <w:r>
        <w:rPr>
          <w:caps w:val="false"/>
          <w:smallCaps w:val="false"/>
        </w:rPr>
        <w:t> </w:t>
      </w:r>
    </w:p>
    <w:tbl>
      <w:tblPr>
        <w:tblW w:w="4625" w:type="dxa"/>
        <w:jc w:val="left"/>
        <w:tblInd w:w="0" w:type="dxa"/>
        <w:tblCellMar>
          <w:top w:w="0" w:type="dxa"/>
          <w:left w:w="0" w:type="dxa"/>
          <w:bottom w:w="28" w:type="dxa"/>
          <w:right w:w="0" w:type="dxa"/>
        </w:tblCellMar>
      </w:tblPr>
      <w:tblGrid>
        <w:gridCol w:w="3860"/>
        <w:gridCol w:w="60"/>
        <w:gridCol w:w="140"/>
        <w:gridCol w:w="455"/>
        <w:gridCol w:w="110"/>
      </w:tblGrid>
      <w:tr>
        <w:trPr/>
        <w:tc>
          <w:tcPr>
            <w:tcW w:w="3860"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595" w:type="dxa"/>
            <w:gridSpan w:val="2"/>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rPr/>
            </w:pPr>
            <w:r>
              <w:rPr/>
              <w:t> </w:t>
            </w:r>
          </w:p>
        </w:tc>
      </w:tr>
      <w:tr>
        <w:trPr/>
        <w:tc>
          <w:tcPr>
            <w:tcW w:w="3860" w:type="dxa"/>
            <w:tcBorders/>
            <w:shd w:fill="auto" w:val="clear"/>
            <w:tcMar>
              <w:bottom w:w="0" w:type="dxa"/>
            </w:tcMar>
            <w:vAlign w:val="center"/>
          </w:tcPr>
          <w:p>
            <w:pPr>
              <w:pStyle w:val="TableContents"/>
              <w:spacing w:before="0" w:after="283"/>
              <w:rPr>
                <w:b/>
              </w:rPr>
            </w:pPr>
            <w:r>
              <w:rPr>
                <w:b/>
              </w:rPr>
              <w:t>Components of Purchase Price:</w:t>
            </w:r>
          </w:p>
        </w:tc>
        <w:tc>
          <w:tcPr>
            <w:tcW w:w="60" w:type="dxa"/>
            <w:tcBorders/>
            <w:shd w:fill="auto" w:val="clear"/>
            <w:tcMar>
              <w:bottom w:w="0" w:type="dxa"/>
            </w:tcMar>
            <w:vAlign w:val="center"/>
          </w:tcPr>
          <w:p>
            <w:pPr>
              <w:pStyle w:val="TableContents"/>
              <w:spacing w:before="0" w:after="283"/>
              <w:rPr/>
            </w:pPr>
            <w:r>
              <w:rPr/>
              <w:t> </w:t>
            </w:r>
          </w:p>
        </w:tc>
        <w:tc>
          <w:tcPr>
            <w:tcW w:w="595" w:type="dxa"/>
            <w:gridSpan w:val="2"/>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ind w:left="0" w:right="0" w:hanging="200"/>
              <w:rPr/>
            </w:pPr>
            <w:r>
              <w:rPr/>
              <w:t> </w:t>
            </w:r>
          </w:p>
        </w:tc>
      </w:tr>
      <w:tr>
        <w:trPr/>
        <w:tc>
          <w:tcPr>
            <w:tcW w:w="3860" w:type="dxa"/>
            <w:tcBorders/>
            <w:shd w:fill="CCEEFF" w:val="clear"/>
            <w:tcMar>
              <w:bottom w:w="0" w:type="dxa"/>
            </w:tcMar>
            <w:vAlign w:val="center"/>
          </w:tcPr>
          <w:p>
            <w:pPr>
              <w:pStyle w:val="TableContents"/>
              <w:spacing w:before="0" w:after="283"/>
              <w:jc w:val="left"/>
              <w:rPr/>
            </w:pPr>
            <w:r>
              <w:rPr/>
              <w:t>Waiver of net receivable owed to Agrify</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single" w:sz="12" w:space="0" w:color="000000"/>
            </w:tcBorders>
            <w:shd w:fill="CCEEFF" w:val="clear"/>
            <w:vAlign w:val="center"/>
          </w:tcPr>
          <w:p>
            <w:pPr>
              <w:pStyle w:val="TableContents"/>
              <w:spacing w:before="0" w:after="283"/>
              <w:jc w:val="left"/>
              <w:rPr/>
            </w:pPr>
            <w:r>
              <w:rPr/>
              <w:t>$</w:t>
            </w:r>
          </w:p>
        </w:tc>
        <w:tc>
          <w:tcPr>
            <w:tcW w:w="455" w:type="dxa"/>
            <w:tcBorders>
              <w:bottom w:val="single" w:sz="12" w:space="0" w:color="000000"/>
            </w:tcBorders>
            <w:shd w:fill="CCEEFF" w:val="clear"/>
            <w:vAlign w:val="center"/>
          </w:tcPr>
          <w:p>
            <w:pPr>
              <w:pStyle w:val="TableContents"/>
              <w:spacing w:before="0" w:after="283"/>
              <w:jc w:val="right"/>
              <w:rPr/>
            </w:pPr>
            <w:r>
              <w:rPr/>
              <w:t>214</w:t>
            </w:r>
          </w:p>
        </w:tc>
        <w:tc>
          <w:tcPr>
            <w:tcW w:w="11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3860" w:type="dxa"/>
            <w:tcBorders/>
            <w:shd w:fill="auto" w:val="clear"/>
            <w:tcMar>
              <w:bottom w:w="0" w:type="dxa"/>
            </w:tcMar>
            <w:vAlign w:val="center"/>
          </w:tcPr>
          <w:p>
            <w:pPr>
              <w:pStyle w:val="TableContents"/>
              <w:spacing w:before="0" w:after="283"/>
              <w:rPr>
                <w:b/>
              </w:rPr>
            </w:pPr>
            <w:r>
              <w:rPr>
                <w:b/>
              </w:rPr>
              <w:t>Total purchase price</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double" w:sz="10" w:space="0" w:color="000000"/>
            </w:tcBorders>
            <w:shd w:fill="auto" w:val="clear"/>
            <w:vAlign w:val="center"/>
          </w:tcPr>
          <w:p>
            <w:pPr>
              <w:pStyle w:val="TableContents"/>
              <w:spacing w:before="0" w:after="283"/>
              <w:jc w:val="left"/>
              <w:rPr/>
            </w:pPr>
            <w:r>
              <w:rPr/>
              <w:t>$</w:t>
            </w:r>
          </w:p>
        </w:tc>
        <w:tc>
          <w:tcPr>
            <w:tcW w:w="455" w:type="dxa"/>
            <w:tcBorders>
              <w:bottom w:val="double" w:sz="10" w:space="0" w:color="000000"/>
            </w:tcBorders>
            <w:shd w:fill="auto" w:val="clear"/>
            <w:vAlign w:val="center"/>
          </w:tcPr>
          <w:p>
            <w:pPr>
              <w:pStyle w:val="TableContents"/>
              <w:spacing w:before="0" w:after="283"/>
              <w:jc w:val="right"/>
              <w:rPr/>
            </w:pPr>
            <w:r>
              <w:rPr/>
              <w:t>214</w:t>
            </w:r>
          </w:p>
        </w:tc>
        <w:tc>
          <w:tcPr>
            <w:tcW w:w="110" w:type="dxa"/>
            <w:tcBorders/>
            <w:shd w:fill="auto" w:val="clear"/>
            <w:tcMar>
              <w:bottom w:w="0" w:type="dxa"/>
            </w:tcMar>
            <w:vAlign w:val="center"/>
          </w:tcPr>
          <w:p>
            <w:pPr>
              <w:pStyle w:val="TableContents"/>
              <w:spacing w:before="0" w:after="283"/>
              <w:jc w:val="left"/>
              <w:rPr/>
            </w:pPr>
            <w:r>
              <w:rPr/>
              <w:t> </w:t>
            </w:r>
          </w:p>
        </w:tc>
      </w:tr>
      <w:tr>
        <w:trPr/>
        <w:tc>
          <w:tcPr>
            <w:tcW w:w="38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455"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3860" w:type="dxa"/>
            <w:tcBorders/>
            <w:shd w:fill="auto" w:val="clear"/>
            <w:tcMar>
              <w:bottom w:w="0" w:type="dxa"/>
            </w:tcMar>
            <w:vAlign w:val="center"/>
          </w:tcPr>
          <w:p>
            <w:pPr>
              <w:pStyle w:val="TableContents"/>
              <w:spacing w:before="0" w:after="283"/>
              <w:rPr>
                <w:b/>
              </w:rPr>
            </w:pPr>
            <w:r>
              <w:rPr>
                <w:b/>
              </w:rPr>
              <w:t>Allocation of Purchase Price: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455" w:type="dxa"/>
            <w:tcBorders/>
            <w:shd w:fill="auto" w:val="clear"/>
            <w:tcMar>
              <w:bottom w:w="0" w:type="dxa"/>
            </w:tcMar>
            <w:vAlign w:val="center"/>
          </w:tcPr>
          <w:p>
            <w:pPr>
              <w:pStyle w:val="TableContents"/>
              <w:spacing w:before="0" w:after="283"/>
              <w:jc w:val="right"/>
              <w:rPr/>
            </w:pPr>
            <w:r>
              <w:rPr/>
              <w:t> </w:t>
            </w:r>
          </w:p>
        </w:tc>
        <w:tc>
          <w:tcPr>
            <w:tcW w:w="110" w:type="dxa"/>
            <w:tcBorders/>
            <w:shd w:fill="auto" w:val="clear"/>
            <w:tcMar>
              <w:bottom w:w="0" w:type="dxa"/>
            </w:tcMar>
            <w:vAlign w:val="center"/>
          </w:tcPr>
          <w:p>
            <w:pPr>
              <w:pStyle w:val="TableContents"/>
              <w:spacing w:before="0" w:after="283"/>
              <w:ind w:left="0" w:right="0" w:hanging="200"/>
              <w:jc w:val="left"/>
              <w:rPr/>
            </w:pPr>
            <w:r>
              <w:rPr/>
              <w:t> </w:t>
            </w:r>
          </w:p>
        </w:tc>
      </w:tr>
      <w:tr>
        <w:trPr/>
        <w:tc>
          <w:tcPr>
            <w:tcW w:w="3860" w:type="dxa"/>
            <w:tcBorders/>
            <w:shd w:fill="CCEEFF" w:val="clear"/>
            <w:tcMar>
              <w:bottom w:w="0" w:type="dxa"/>
            </w:tcMar>
            <w:vAlign w:val="center"/>
          </w:tcPr>
          <w:p>
            <w:pPr>
              <w:pStyle w:val="TableContents"/>
              <w:spacing w:before="0" w:after="283"/>
              <w:jc w:val="left"/>
              <w:rPr>
                <w:b/>
              </w:rPr>
            </w:pPr>
            <w:r>
              <w:rPr>
                <w:b/>
              </w:rPr>
              <w:t>Net tangible assets (liabilities):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455"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3860" w:type="dxa"/>
            <w:tcBorders/>
            <w:shd w:fill="auto" w:val="clear"/>
            <w:tcMar>
              <w:bottom w:w="0" w:type="dxa"/>
            </w:tcMar>
            <w:vAlign w:val="center"/>
          </w:tcPr>
          <w:p>
            <w:pPr>
              <w:pStyle w:val="TableContents"/>
              <w:spacing w:before="0" w:after="283"/>
              <w:rPr/>
            </w:pPr>
            <w:r>
              <w:rPr/>
              <w:t>Cash</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w:t>
            </w:r>
          </w:p>
        </w:tc>
        <w:tc>
          <w:tcPr>
            <w:tcW w:w="455" w:type="dxa"/>
            <w:tcBorders/>
            <w:shd w:fill="auto" w:val="clear"/>
            <w:tcMar>
              <w:bottom w:w="0" w:type="dxa"/>
            </w:tcMar>
            <w:vAlign w:val="center"/>
          </w:tcPr>
          <w:p>
            <w:pPr>
              <w:pStyle w:val="TableContents"/>
              <w:spacing w:before="0" w:after="283"/>
              <w:jc w:val="right"/>
              <w:rPr/>
            </w:pPr>
            <w:r>
              <w:rPr/>
              <w:t>4</w:t>
            </w:r>
          </w:p>
        </w:tc>
        <w:tc>
          <w:tcPr>
            <w:tcW w:w="110" w:type="dxa"/>
            <w:tcBorders/>
            <w:shd w:fill="auto" w:val="clear"/>
            <w:tcMar>
              <w:bottom w:w="0" w:type="dxa"/>
            </w:tcMar>
            <w:vAlign w:val="center"/>
          </w:tcPr>
          <w:p>
            <w:pPr>
              <w:pStyle w:val="TableContents"/>
              <w:spacing w:before="0" w:after="283"/>
              <w:ind w:left="0" w:right="0" w:hanging="200"/>
              <w:jc w:val="left"/>
              <w:rPr/>
            </w:pPr>
            <w:r>
              <w:rPr/>
              <w:t> </w:t>
            </w:r>
          </w:p>
        </w:tc>
      </w:tr>
      <w:tr>
        <w:trPr/>
        <w:tc>
          <w:tcPr>
            <w:tcW w:w="3860" w:type="dxa"/>
            <w:tcBorders/>
            <w:shd w:fill="CCEEFF" w:val="clear"/>
            <w:tcMar>
              <w:bottom w:w="0" w:type="dxa"/>
            </w:tcMar>
            <w:vAlign w:val="center"/>
          </w:tcPr>
          <w:p>
            <w:pPr>
              <w:pStyle w:val="TableContents"/>
              <w:spacing w:before="0" w:after="283"/>
              <w:jc w:val="left"/>
              <w:rPr/>
            </w:pPr>
            <w:r>
              <w:rPr/>
              <w:t>Property and Equipment</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455" w:type="dxa"/>
            <w:tcBorders/>
            <w:shd w:fill="CCEEFF" w:val="clear"/>
            <w:tcMar>
              <w:bottom w:w="0" w:type="dxa"/>
            </w:tcMar>
            <w:vAlign w:val="center"/>
          </w:tcPr>
          <w:p>
            <w:pPr>
              <w:pStyle w:val="TableContents"/>
              <w:spacing w:before="0" w:after="283"/>
              <w:jc w:val="right"/>
              <w:rPr/>
            </w:pPr>
            <w:r>
              <w:rPr/>
              <w:t>817</w:t>
            </w:r>
          </w:p>
        </w:tc>
        <w:tc>
          <w:tcPr>
            <w:tcW w:w="11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3860" w:type="dxa"/>
            <w:tcBorders/>
            <w:shd w:fill="auto" w:val="clear"/>
            <w:tcMar>
              <w:bottom w:w="0" w:type="dxa"/>
            </w:tcMar>
            <w:vAlign w:val="center"/>
          </w:tcPr>
          <w:p>
            <w:pPr>
              <w:pStyle w:val="TableContents"/>
              <w:spacing w:before="0" w:after="283"/>
              <w:jc w:val="left"/>
              <w:rPr/>
            </w:pPr>
            <w:r>
              <w:rPr/>
              <w:t>Accounts payable</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455" w:type="dxa"/>
            <w:tcBorders/>
            <w:shd w:fill="auto" w:val="clear"/>
            <w:tcMar>
              <w:bottom w:w="0" w:type="dxa"/>
            </w:tcMar>
            <w:vAlign w:val="center"/>
          </w:tcPr>
          <w:p>
            <w:pPr>
              <w:pStyle w:val="TableContents"/>
              <w:spacing w:before="0" w:after="283"/>
              <w:jc w:val="right"/>
              <w:rPr/>
            </w:pPr>
            <w:r>
              <w:rPr/>
              <w:t>(187</w:t>
            </w:r>
          </w:p>
        </w:tc>
        <w:tc>
          <w:tcPr>
            <w:tcW w:w="110" w:type="dxa"/>
            <w:tcBorders/>
            <w:shd w:fill="auto" w:val="clear"/>
            <w:tcMar>
              <w:bottom w:w="0" w:type="dxa"/>
            </w:tcMar>
            <w:vAlign w:val="center"/>
          </w:tcPr>
          <w:p>
            <w:pPr>
              <w:pStyle w:val="TableContents"/>
              <w:spacing w:before="0" w:after="283"/>
              <w:ind w:left="0" w:right="0" w:hanging="200"/>
              <w:jc w:val="left"/>
              <w:rPr/>
            </w:pPr>
            <w:r>
              <w:rPr/>
              <w:t>)</w:t>
            </w:r>
          </w:p>
        </w:tc>
      </w:tr>
      <w:tr>
        <w:trPr/>
        <w:tc>
          <w:tcPr>
            <w:tcW w:w="3860" w:type="dxa"/>
            <w:tcBorders/>
            <w:shd w:fill="CCEEFF" w:val="clear"/>
            <w:tcMar>
              <w:bottom w:w="0" w:type="dxa"/>
            </w:tcMar>
            <w:vAlign w:val="center"/>
          </w:tcPr>
          <w:p>
            <w:pPr>
              <w:pStyle w:val="TableContents"/>
              <w:spacing w:before="0" w:after="283"/>
              <w:jc w:val="left"/>
              <w:rPr/>
            </w:pPr>
            <w:r>
              <w:rPr/>
              <w:t>Accrued expenses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455" w:type="dxa"/>
            <w:tcBorders/>
            <w:shd w:fill="CCEEFF" w:val="clear"/>
            <w:tcMar>
              <w:bottom w:w="0" w:type="dxa"/>
            </w:tcMar>
            <w:vAlign w:val="center"/>
          </w:tcPr>
          <w:p>
            <w:pPr>
              <w:pStyle w:val="TableContents"/>
              <w:spacing w:before="0" w:after="283"/>
              <w:jc w:val="right"/>
              <w:rPr/>
            </w:pPr>
            <w:r>
              <w:rPr/>
              <w:t>(23</w:t>
            </w:r>
          </w:p>
        </w:tc>
        <w:tc>
          <w:tcPr>
            <w:tcW w:w="110" w:type="dxa"/>
            <w:tcBorders/>
            <w:shd w:fill="CCEEFF" w:val="clear"/>
            <w:tcMar>
              <w:bottom w:w="0" w:type="dxa"/>
            </w:tcMar>
            <w:vAlign w:val="center"/>
          </w:tcPr>
          <w:p>
            <w:pPr>
              <w:pStyle w:val="TableContents"/>
              <w:spacing w:before="0" w:after="283"/>
              <w:ind w:left="0" w:right="0" w:hanging="200"/>
              <w:jc w:val="left"/>
              <w:rPr/>
            </w:pPr>
            <w:r>
              <w:rPr/>
              <w:t>)</w:t>
            </w:r>
          </w:p>
        </w:tc>
      </w:tr>
      <w:tr>
        <w:trPr/>
        <w:tc>
          <w:tcPr>
            <w:tcW w:w="3860" w:type="dxa"/>
            <w:tcBorders/>
            <w:shd w:fill="auto" w:val="clear"/>
            <w:tcMar>
              <w:bottom w:w="0" w:type="dxa"/>
            </w:tcMar>
            <w:vAlign w:val="center"/>
          </w:tcPr>
          <w:p>
            <w:pPr>
              <w:pStyle w:val="TableContents"/>
              <w:spacing w:before="0" w:after="283"/>
              <w:jc w:val="left"/>
              <w:rPr/>
            </w:pPr>
            <w:r>
              <w:rPr/>
              <w:t>Financing lease liabilities</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455" w:type="dxa"/>
            <w:tcBorders>
              <w:bottom w:val="single" w:sz="12" w:space="0" w:color="000000"/>
            </w:tcBorders>
            <w:shd w:fill="auto" w:val="clear"/>
            <w:vAlign w:val="center"/>
          </w:tcPr>
          <w:p>
            <w:pPr>
              <w:pStyle w:val="TableContents"/>
              <w:spacing w:before="0" w:after="283"/>
              <w:jc w:val="right"/>
              <w:rPr/>
            </w:pPr>
            <w:r>
              <w:rPr/>
              <w:t>(649</w:t>
            </w:r>
          </w:p>
        </w:tc>
        <w:tc>
          <w:tcPr>
            <w:tcW w:w="110" w:type="dxa"/>
            <w:tcBorders/>
            <w:shd w:fill="auto" w:val="clear"/>
            <w:tcMar>
              <w:bottom w:w="0" w:type="dxa"/>
            </w:tcMar>
            <w:vAlign w:val="center"/>
          </w:tcPr>
          <w:p>
            <w:pPr>
              <w:pStyle w:val="TableContents"/>
              <w:spacing w:before="0" w:after="283"/>
              <w:ind w:left="0" w:right="0" w:hanging="200"/>
              <w:jc w:val="left"/>
              <w:rPr/>
            </w:pPr>
            <w:r>
              <w:rPr/>
              <w:t>)</w:t>
            </w:r>
          </w:p>
        </w:tc>
      </w:tr>
      <w:tr>
        <w:trPr/>
        <w:tc>
          <w:tcPr>
            <w:tcW w:w="3860" w:type="dxa"/>
            <w:tcBorders/>
            <w:shd w:fill="CCEEFF" w:val="clear"/>
            <w:tcMar>
              <w:bottom w:w="0" w:type="dxa"/>
            </w:tcMar>
            <w:vAlign w:val="center"/>
          </w:tcPr>
          <w:p>
            <w:pPr>
              <w:pStyle w:val="TableContents"/>
              <w:spacing w:before="0" w:after="283"/>
              <w:jc w:val="left"/>
              <w:rPr>
                <w:b/>
              </w:rPr>
            </w:pPr>
            <w:r>
              <w:rPr>
                <w:b/>
              </w:rPr>
              <w:t>Net tangible liabilities</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455" w:type="dxa"/>
            <w:tcBorders/>
            <w:shd w:fill="CCEEFF" w:val="clear"/>
            <w:tcMar>
              <w:bottom w:w="0" w:type="dxa"/>
            </w:tcMar>
            <w:vAlign w:val="center"/>
          </w:tcPr>
          <w:p>
            <w:pPr>
              <w:pStyle w:val="TableContents"/>
              <w:spacing w:before="0" w:after="283"/>
              <w:jc w:val="right"/>
              <w:rPr/>
            </w:pPr>
            <w:r>
              <w:rPr/>
              <w:t>(38</w:t>
            </w:r>
          </w:p>
        </w:tc>
        <w:tc>
          <w:tcPr>
            <w:tcW w:w="110" w:type="dxa"/>
            <w:tcBorders/>
            <w:shd w:fill="CCEEFF" w:val="clear"/>
            <w:tcMar>
              <w:bottom w:w="0" w:type="dxa"/>
            </w:tcMar>
            <w:vAlign w:val="center"/>
          </w:tcPr>
          <w:p>
            <w:pPr>
              <w:pStyle w:val="TableContents"/>
              <w:spacing w:before="0" w:after="283"/>
              <w:ind w:left="0" w:right="0" w:hanging="200"/>
              <w:jc w:val="left"/>
              <w:rPr/>
            </w:pPr>
            <w:r>
              <w:rPr/>
              <w:t>)</w:t>
            </w:r>
          </w:p>
        </w:tc>
      </w:tr>
      <w:tr>
        <w:trPr/>
        <w:tc>
          <w:tcPr>
            <w:tcW w:w="3860" w:type="dxa"/>
            <w:tcBorders/>
            <w:shd w:fill="auto" w:val="clear"/>
            <w:tcMar>
              <w:bottom w:w="0" w:type="dxa"/>
            </w:tcMar>
            <w:vAlign w:val="center"/>
          </w:tcPr>
          <w:p>
            <w:pPr>
              <w:pStyle w:val="TableContents"/>
              <w:spacing w:before="0" w:after="283"/>
              <w:rPr>
                <w:b/>
              </w:rPr>
            </w:pPr>
            <w:r>
              <w:rPr>
                <w:b/>
              </w:rPr>
              <w:t>Goodwill</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455" w:type="dxa"/>
            <w:tcBorders>
              <w:bottom w:val="single" w:sz="12" w:space="0" w:color="000000"/>
            </w:tcBorders>
            <w:shd w:fill="auto" w:val="clear"/>
            <w:vAlign w:val="center"/>
          </w:tcPr>
          <w:p>
            <w:pPr>
              <w:pStyle w:val="TableContents"/>
              <w:spacing w:before="0" w:after="283"/>
              <w:jc w:val="right"/>
              <w:rPr/>
            </w:pPr>
            <w:r>
              <w:rPr/>
              <w:t>252</w:t>
            </w:r>
          </w:p>
        </w:tc>
        <w:tc>
          <w:tcPr>
            <w:tcW w:w="110" w:type="dxa"/>
            <w:tcBorders/>
            <w:shd w:fill="auto" w:val="clear"/>
            <w:tcMar>
              <w:bottom w:w="0" w:type="dxa"/>
            </w:tcMar>
            <w:vAlign w:val="center"/>
          </w:tcPr>
          <w:p>
            <w:pPr>
              <w:pStyle w:val="TableContents"/>
              <w:spacing w:before="0" w:after="283"/>
              <w:ind w:left="0" w:right="0" w:hanging="200"/>
              <w:jc w:val="left"/>
              <w:rPr/>
            </w:pPr>
            <w:r>
              <w:rPr/>
              <w:t> </w:t>
            </w:r>
          </w:p>
        </w:tc>
      </w:tr>
      <w:tr>
        <w:trPr/>
        <w:tc>
          <w:tcPr>
            <w:tcW w:w="3860" w:type="dxa"/>
            <w:tcBorders/>
            <w:shd w:fill="CCEEFF" w:val="clear"/>
            <w:tcMar>
              <w:bottom w:w="0" w:type="dxa"/>
            </w:tcMar>
            <w:vAlign w:val="center"/>
          </w:tcPr>
          <w:p>
            <w:pPr>
              <w:pStyle w:val="TableContents"/>
              <w:spacing w:before="0" w:after="283"/>
              <w:jc w:val="left"/>
              <w:rPr>
                <w:b/>
              </w:rPr>
            </w:pPr>
            <w:r>
              <w:rPr>
                <w:b/>
              </w:rPr>
              <w:t>Total purchase price allocation</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455" w:type="dxa"/>
            <w:tcBorders>
              <w:bottom w:val="double" w:sz="10" w:space="0" w:color="000000"/>
            </w:tcBorders>
            <w:shd w:fill="CCEEFF" w:val="clear"/>
            <w:vAlign w:val="center"/>
          </w:tcPr>
          <w:p>
            <w:pPr>
              <w:pStyle w:val="TableContents"/>
              <w:spacing w:before="0" w:after="283"/>
              <w:jc w:val="right"/>
              <w:rPr/>
            </w:pPr>
            <w:r>
              <w:rPr/>
              <w:t>214</w:t>
            </w:r>
          </w:p>
        </w:tc>
        <w:tc>
          <w:tcPr>
            <w:tcW w:w="11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amount of revenue of HMH included in the Company’s consolidated statement of operations from the acquisition date of July 22, 2020 to December 31, 2020 was $0.</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pro forma financial information summarizes the combined results of operations for us, TriGrow and HMH, as though the acquisition of TriGrow and HMH occurred on January 1, 2020.</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unaudited pro forma financial information was as follows:</w:t>
      </w:r>
    </w:p>
    <w:p>
      <w:pPr>
        <w:pStyle w:val="TextBody"/>
        <w:ind w:left="0" w:right="0" w:firstLine="360"/>
        <w:rPr>
          <w:caps w:val="false"/>
          <w:smallCaps w:val="false"/>
        </w:rPr>
      </w:pPr>
      <w:r>
        <w:rPr>
          <w:caps w:val="false"/>
          <w:smallCaps w:val="false"/>
        </w:rPr>
        <w:t> </w:t>
      </w:r>
    </w:p>
    <w:tbl>
      <w:tblPr>
        <w:tblW w:w="5669" w:type="dxa"/>
        <w:jc w:val="left"/>
        <w:tblInd w:w="0" w:type="dxa"/>
        <w:tblCellMar>
          <w:top w:w="0" w:type="dxa"/>
          <w:left w:w="0" w:type="dxa"/>
          <w:bottom w:w="0" w:type="dxa"/>
          <w:right w:w="0" w:type="dxa"/>
        </w:tblCellMar>
      </w:tblPr>
      <w:tblGrid>
        <w:gridCol w:w="4085"/>
        <w:gridCol w:w="60"/>
        <w:gridCol w:w="221"/>
        <w:gridCol w:w="1193"/>
        <w:gridCol w:w="110"/>
      </w:tblGrid>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jc w:val="center"/>
              <w:rPr>
                <w:b/>
              </w:rPr>
            </w:pPr>
            <w:r>
              <w:rPr>
                <w:b/>
              </w:rPr>
              <w:t xml:space="preserve">Year ended </w:t>
              <w:br/>
              <w:t>December 31,</w:t>
            </w:r>
          </w:p>
        </w:tc>
        <w:tc>
          <w:tcPr>
            <w:tcW w:w="110" w:type="dxa"/>
            <w:tcBorders/>
            <w:shd w:fill="auto" w:val="clear"/>
            <w:vAlign w:val="center"/>
          </w:tcPr>
          <w:p>
            <w:pPr>
              <w:pStyle w:val="TableContents"/>
              <w:spacing w:before="0" w:after="283"/>
              <w:rPr/>
            </w:pPr>
            <w:r>
              <w:rPr/>
              <w:t> </w:t>
            </w:r>
          </w:p>
        </w:tc>
      </w:tr>
      <w:tr>
        <w:trPr/>
        <w:tc>
          <w:tcPr>
            <w:tcW w:w="4085"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283"/>
              <w:jc w:val="left"/>
              <w:rPr/>
            </w:pPr>
            <w:r>
              <w:rPr/>
              <w:t>Revenue, net</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12,121</w:t>
            </w:r>
          </w:p>
        </w:tc>
        <w:tc>
          <w:tcPr>
            <w:tcW w:w="110" w:type="dxa"/>
            <w:tcBorders/>
            <w:shd w:fill="CCEEFF" w:val="clear"/>
            <w:vAlign w:val="center"/>
          </w:tcPr>
          <w:p>
            <w:pPr>
              <w:pStyle w:val="TableContents"/>
              <w:spacing w:before="0" w:after="283"/>
              <w:jc w:val="left"/>
              <w:rPr/>
            </w:pPr>
            <w:r>
              <w:rPr/>
              <w:t> </w:t>
            </w:r>
          </w:p>
        </w:tc>
      </w:tr>
      <w:tr>
        <w:trPr/>
        <w:tc>
          <w:tcPr>
            <w:tcW w:w="4085" w:type="dxa"/>
            <w:tcBorders/>
            <w:shd w:fill="auto" w:val="clear"/>
            <w:vAlign w:val="center"/>
          </w:tcPr>
          <w:p>
            <w:pPr>
              <w:pStyle w:val="TableContents"/>
              <w:spacing w:before="0" w:after="283"/>
              <w:jc w:val="left"/>
              <w:rPr/>
            </w:pPr>
            <w:r>
              <w:rPr/>
              <w:t>Net loss before non-controlling interest</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jc w:val="left"/>
              <w:rPr/>
            </w:pPr>
            <w:r>
              <w:rPr/>
              <w:t>$</w:t>
            </w:r>
          </w:p>
        </w:tc>
        <w:tc>
          <w:tcPr>
            <w:tcW w:w="1193" w:type="dxa"/>
            <w:tcBorders/>
            <w:shd w:fill="auto" w:val="clear"/>
            <w:vAlign w:val="center"/>
          </w:tcPr>
          <w:p>
            <w:pPr>
              <w:pStyle w:val="TableContents"/>
              <w:spacing w:before="0" w:after="283"/>
              <w:jc w:val="right"/>
              <w:rPr/>
            </w:pPr>
            <w:r>
              <w:rPr/>
              <w:t>(22,743</w:t>
            </w:r>
          </w:p>
        </w:tc>
        <w:tc>
          <w:tcPr>
            <w:tcW w:w="110" w:type="dxa"/>
            <w:tcBorders/>
            <w:shd w:fill="auto" w:val="clear"/>
            <w:vAlign w:val="center"/>
          </w:tcPr>
          <w:p>
            <w:pPr>
              <w:pStyle w:val="TableContents"/>
              <w:spacing w:before="0" w:after="283"/>
              <w:jc w:val="left"/>
              <w:rPr/>
            </w:pPr>
            <w:r>
              <w:rPr/>
              <w:t>)</w:t>
            </w:r>
          </w:p>
        </w:tc>
      </w:tr>
      <w:tr>
        <w:trPr/>
        <w:tc>
          <w:tcPr>
            <w:tcW w:w="4085" w:type="dxa"/>
            <w:tcBorders/>
            <w:shd w:fill="CCEEFF" w:val="clear"/>
            <w:vAlign w:val="center"/>
          </w:tcPr>
          <w:p>
            <w:pPr>
              <w:pStyle w:val="TableContents"/>
              <w:spacing w:before="0" w:after="283"/>
              <w:jc w:val="left"/>
              <w:rPr/>
            </w:pPr>
            <w:r>
              <w:rPr/>
              <w:t>Loss attributable to non-controlling interest</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65</w:t>
            </w:r>
          </w:p>
        </w:tc>
        <w:tc>
          <w:tcPr>
            <w:tcW w:w="110" w:type="dxa"/>
            <w:tcBorders/>
            <w:shd w:fill="CCEEFF" w:val="clear"/>
            <w:vAlign w:val="center"/>
          </w:tcPr>
          <w:p>
            <w:pPr>
              <w:pStyle w:val="TableContents"/>
              <w:spacing w:before="0" w:after="283"/>
              <w:jc w:val="left"/>
              <w:rPr/>
            </w:pPr>
            <w:r>
              <w:rPr/>
              <w:t> </w:t>
            </w:r>
          </w:p>
        </w:tc>
      </w:tr>
      <w:tr>
        <w:trPr/>
        <w:tc>
          <w:tcPr>
            <w:tcW w:w="4085" w:type="dxa"/>
            <w:tcBorders/>
            <w:shd w:fill="auto" w:val="clear"/>
            <w:vAlign w:val="center"/>
          </w:tcPr>
          <w:p>
            <w:pPr>
              <w:pStyle w:val="TableContents"/>
              <w:spacing w:before="0" w:after="283"/>
              <w:jc w:val="left"/>
              <w:rPr/>
            </w:pPr>
            <w:r>
              <w:rPr/>
              <w:t>Net loss</w:t>
            </w:r>
          </w:p>
        </w:tc>
        <w:tc>
          <w:tcPr>
            <w:tcW w:w="60" w:type="dxa"/>
            <w:tcBorders/>
            <w:shd w:fill="auto" w:val="clear"/>
            <w:vAlign w:val="center"/>
          </w:tcPr>
          <w:p>
            <w:pPr>
              <w:pStyle w:val="TableContents"/>
              <w:spacing w:before="0" w:after="283"/>
              <w:rPr/>
            </w:pPr>
            <w:r>
              <w:rPr/>
              <w:t> </w:t>
            </w:r>
          </w:p>
        </w:tc>
        <w:tc>
          <w:tcPr>
            <w:tcW w:w="22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93" w:type="dxa"/>
            <w:tcBorders>
              <w:bottom w:val="double" w:sz="10" w:space="0" w:color="000000"/>
            </w:tcBorders>
            <w:shd w:fill="auto" w:val="clear"/>
            <w:tcMar>
              <w:bottom w:w="28" w:type="dxa"/>
            </w:tcMar>
            <w:vAlign w:val="center"/>
          </w:tcPr>
          <w:p>
            <w:pPr>
              <w:pStyle w:val="TableContents"/>
              <w:spacing w:before="0" w:after="283"/>
              <w:jc w:val="right"/>
              <w:rPr/>
            </w:pPr>
            <w:r>
              <w:rPr/>
              <w:t>(22,678</w:t>
            </w:r>
          </w:p>
        </w:tc>
        <w:tc>
          <w:tcPr>
            <w:tcW w:w="110" w:type="dxa"/>
            <w:tcBorders/>
            <w:shd w:fill="auto" w:val="clear"/>
            <w:vAlign w:val="center"/>
          </w:tcPr>
          <w:p>
            <w:pPr>
              <w:pStyle w:val="TableContents"/>
              <w:spacing w:before="0" w:after="283"/>
              <w:jc w:val="left"/>
              <w:rPr/>
            </w:pPr>
            <w:r>
              <w:rPr/>
              <w:t>)</w:t>
            </w:r>
          </w:p>
        </w:tc>
      </w:tr>
    </w:tbl>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2020. The historical consolidated financial statements have been adjusted in the pro forma combined financial statements to give effect to pro forma events that are directly attributable to the business combination.</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 forma financial information is for informational purposes only and is not indicative of the results of operations that would have been achieved if the acquisition had taken place on January 1, 2020.</w:t>
      </w:r>
    </w:p>
    <w:p>
      <w:pPr>
        <w:pStyle w:val="TextBody"/>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spacing w:before="0" w:after="0"/>
        <w:ind w:left="0" w:right="0" w:hanging="0"/>
        <w:rPr>
          <w:caps w:val="false"/>
          <w:smallCaps w:val="false"/>
        </w:rPr>
      </w:pPr>
      <w:r>
        <w:rPr>
          <w:caps w:val="false"/>
          <w:smallCaps w:val="false"/>
        </w:rPr>
        <w:t> </w:t>
      </w:r>
    </w:p>
    <w:p>
      <w:pPr>
        <w:pStyle w:val="TextBody"/>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Paycheck Protection Program Loans under the Coronavirus Aid, Relief, and Economic Security Act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July 2020, the Company entered into two separate PPP Loans with Bank of America pursuant to the Paycheck Protection Program (the “PPP”) under the CARES Act administered by the U.S. Small Business Administration (“SBA”).</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received total proceeds of approximately $779 thousand and $44 thousand from the unsecured PPP Loans, which are scheduled to mature on May 7, 2022 and July 27, 2025, respectively. Subject to certain conditions, the PPP Loan may be forgiven in whole or in part by applying for forgiveness pursuant to the CARES Act and the PPP. In September 2021, the PPP Loan in the amount of $44 thousand was 100% forgiven by the SBA. As a result, the Company recorded a gain of $45 thousand on the forgiveness on the loan and the associated accrued interest. The Company’s submission to have the remaining $779 thousand PPP Loan forgiven is currently being reviewed by the SBA. If the remaining principal amount from the $779 thousand PPP Loan is not forgiven in full, the Company would be obligated to repay any principal amount not forgiven and interest accrued thereon.</w:t>
      </w:r>
    </w:p>
    <w:p>
      <w:pPr>
        <w:pStyle w:val="TextBody"/>
        <w:ind w:left="0" w:right="0" w:firstLine="360"/>
        <w:rPr>
          <w:caps w:val="false"/>
          <w:smallCaps w:val="false"/>
        </w:rPr>
      </w:pPr>
      <w:r>
        <w:rPr>
          <w:caps w:val="false"/>
          <w:smallCaps w:val="false"/>
        </w:rPr>
        <w:t> </w:t>
      </w:r>
    </w:p>
    <w:p>
      <w:pPr>
        <w:pStyle w:val="TextBody"/>
        <w:rPr>
          <w:rFonts w:ascii="Times New Roman;serif" w:hAnsi="Times New Roman;serif"/>
          <w:b/>
          <w:i/>
          <w:caps w:val="false"/>
          <w:smallCaps w:val="false"/>
          <w:sz w:val="20"/>
        </w:rPr>
      </w:pPr>
      <w:r>
        <w:rPr>
          <w:rFonts w:ascii="Times New Roman;serif" w:hAnsi="Times New Roman;serif"/>
          <w:b/>
          <w:i/>
          <w:caps w:val="false"/>
          <w:smallCaps w:val="false"/>
          <w:sz w:val="20"/>
        </w:rPr>
        <w:t>PurePressure SBA Debt</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part of the acquisition of PurePressure, $159 thousand of debt remained outstanding from SBA loan as of December 31, 2021. This debt has subsequently been paid as a part of the PurePressure acquisition.</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Convertible Promissory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r>
        <w:rPr>
          <w:rFonts w:ascii="Times New Roman;Times;Serif" w:hAnsi="Times New Roman;Times;Serif"/>
          <w:b w:val="false"/>
          <w:i w:val="false"/>
          <w:caps w:val="false"/>
          <w:smallCaps w:val="false"/>
          <w:sz w:val="20"/>
        </w:rPr>
        <w:t>On January 11, 2021, the Company’s Board of Directors and shareholders approved the amendment to the conversion formula of the Convertible Promissory Notes (the “Notes”) issued by the Company on dates between August 2020 and November 2020. Pursuant to the amendment, immediately prior to the consummation of a public transaction, the outstanding principal amount of the Notes, together with all accrued and unpaid interest, shall convert into a number of fully paid and non-assessable shares of common stock, at a conversion price of $7.72.</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year ended December 31, 2020, the Company recognized an aggregate loss on extinguishment of $5.6 million for the difference between the net carrying amount of the extinguished debt of $10.0 million (inclusive of $11.8 million of principal, $4.2 million of debt discount and $2.4 million of derivative liabilities) and the reacquisition price of the debt in the same aggregate principal amount of $11.8 million, plus the fair value of the new notes’ conversion features of an aggregate of $3.9 million.</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year ended December 31, 2021, the Company recognized a gain on extinguishment of $2.7 million in connection with the derecognition of the net carrying amount of the extinguished debt of $19.7 million (inclusive of $13.1 million of principal, $7.1 million of derivative liabilities, less $587 thousand of debt discount) and the recognition of the $17.0 million fair value of the new convertible notes (including the same principal amount of $13.1 million plus the $3.9 million fair value of the beneficial conversion feature).</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February 1, 2021, in conjunction with the closing of the Company’s IPO, the Notes in the aggregate principal amount of $13.1 million were converted into 1,697,075 shares of common stock at the election of the Company at a conversion price of $7.72 per share.</w:t>
      </w:r>
    </w:p>
    <w:p>
      <w:pPr>
        <w:pStyle w:val="TextBody"/>
        <w:spacing w:before="0" w:after="0"/>
        <w:ind w:left="0" w:right="0" w:hanging="0"/>
        <w:rPr>
          <w:caps w:val="false"/>
          <w:smallCaps w:val="false"/>
        </w:rPr>
      </w:pPr>
      <w:r>
        <w:rPr>
          <w:caps w:val="false"/>
          <w:smallCaps w:val="false"/>
        </w:rPr>
        <w:t> </w:t>
      </w:r>
    </w:p>
    <w:p>
      <w:pPr>
        <w:pStyle w:val="TextBody"/>
        <w:ind w:left="0" w:right="0" w:hanging="0"/>
        <w:rPr>
          <w:caps w:val="false"/>
          <w:smallCaps w:val="false"/>
        </w:rPr>
      </w:pPr>
      <w:r>
        <w:rPr>
          <w:caps w:val="false"/>
          <w:smallCaps w:val="false"/>
        </w:rPr>
        <w:t> </w:t>
      </w:r>
      <w:r>
        <w:rPr>
          <w:rFonts w:ascii="Times New Roman;serif" w:hAnsi="Times New Roman;serif"/>
          <w:b/>
          <w:i w:val="false"/>
          <w:caps w:val="false"/>
          <w:smallCaps w:val="false"/>
          <w:sz w:val="20"/>
        </w:rPr>
        <w:t>Note 16 — Derivative Liabilities</w:t>
      </w:r>
    </w:p>
    <w:p>
      <w:pPr>
        <w:pStyle w:val="TextBody"/>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recorded Level 3 derivative liabilities that were measured at fair value at issuance in the aggregate amount of $2.8 million related to the variable-share settlement features of certain convertible notes payable. During the year ended December 31, 2020, the Company modified the conversion terms of certain notes which resulted in the recognition of an additional $1.4 million of Level 3 derivative liabilities, with a corresponding debit to loss on extinguishment. See Note 15 — Convertible Promissory Notes included elsewhere in the notes to the consolidated financial statements.</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2020, the Company recomputed the fair value of the variable-share settlement features recorded as derivative liabilities to be $7.1 million. The Company recorded a loss of $2.9 million on the change in fair value of these derivative liabilities during the year ended December 31, 2020. The variable-share settlement features were valued using a combination of a discounted cash flow and a Black-Scholes valuation technique. At issuance, the significant unobservable inputs used in the discounted cash flow were a discount rate of approximately 20% and a probability of a Public Transaction occurring of 56%. The Black-Scholes assumptions were as follows:</w:t>
      </w:r>
    </w:p>
    <w:p>
      <w:pPr>
        <w:pStyle w:val="TextBody"/>
        <w:ind w:left="0" w:right="0" w:firstLine="360"/>
        <w:rPr>
          <w:caps w:val="false"/>
          <w:smallCaps w:val="false"/>
        </w:rPr>
      </w:pPr>
      <w:r>
        <w:rPr>
          <w:caps w:val="false"/>
          <w:smallCaps w:val="false"/>
        </w:rPr>
        <w:t> </w:t>
      </w:r>
    </w:p>
    <w:tbl>
      <w:tblPr>
        <w:tblW w:w="3670" w:type="dxa"/>
        <w:jc w:val="left"/>
        <w:tblInd w:w="0" w:type="dxa"/>
        <w:tblCellMar>
          <w:top w:w="0" w:type="dxa"/>
          <w:left w:w="0" w:type="dxa"/>
          <w:bottom w:w="0" w:type="dxa"/>
          <w:right w:w="0" w:type="dxa"/>
        </w:tblCellMar>
      </w:tblPr>
      <w:tblGrid>
        <w:gridCol w:w="2105"/>
        <w:gridCol w:w="60"/>
        <w:gridCol w:w="1505"/>
      </w:tblGrid>
      <w:tr>
        <w:trPr/>
        <w:tc>
          <w:tcPr>
            <w:tcW w:w="2105" w:type="dxa"/>
            <w:tcBorders/>
            <w:shd w:fill="CCEEFF" w:val="clear"/>
            <w:vAlign w:val="center"/>
          </w:tcPr>
          <w:p>
            <w:pPr>
              <w:pStyle w:val="TableContents"/>
              <w:spacing w:before="0" w:after="283"/>
              <w:rPr/>
            </w:pPr>
            <w:r>
              <w:rPr/>
              <w:t>Volatility</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40%</w:t>
            </w:r>
          </w:p>
        </w:tc>
      </w:tr>
      <w:tr>
        <w:trPr/>
        <w:tc>
          <w:tcPr>
            <w:tcW w:w="2105" w:type="dxa"/>
            <w:tcBorders/>
            <w:shd w:fill="auto" w:val="clear"/>
            <w:vAlign w:val="center"/>
          </w:tcPr>
          <w:p>
            <w:pPr>
              <w:pStyle w:val="TableContents"/>
              <w:spacing w:before="0" w:after="283"/>
              <w:jc w:val="left"/>
              <w:rPr/>
            </w:pPr>
            <w:r>
              <w:rPr/>
              <w:t>Risk-free interest rate</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0.09% – 0.16%</w:t>
            </w:r>
          </w:p>
        </w:tc>
      </w:tr>
      <w:tr>
        <w:trPr/>
        <w:tc>
          <w:tcPr>
            <w:tcW w:w="2105"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r>
        <w:trPr/>
        <w:tc>
          <w:tcPr>
            <w:tcW w:w="2105" w:type="dxa"/>
            <w:tcBorders/>
            <w:shd w:fill="auto" w:val="clear"/>
            <w:vAlign w:val="center"/>
          </w:tcPr>
          <w:p>
            <w:pPr>
              <w:pStyle w:val="TableContents"/>
              <w:spacing w:before="0" w:after="283"/>
              <w:jc w:val="left"/>
              <w:rPr/>
            </w:pPr>
            <w:r>
              <w:rPr/>
              <w:t>Expected term (years)</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0.75 – 1.75</w:t>
            </w:r>
          </w:p>
        </w:tc>
      </w:tr>
      <w:tr>
        <w:trPr/>
        <w:tc>
          <w:tcPr>
            <w:tcW w:w="2105" w:type="dxa"/>
            <w:tcBorders/>
            <w:shd w:fill="CCEEFF" w:val="clear"/>
            <w:vAlign w:val="center"/>
          </w:tcPr>
          <w:p>
            <w:pPr>
              <w:pStyle w:val="TableContents"/>
              <w:spacing w:before="0" w:after="283"/>
              <w:jc w:val="left"/>
              <w:rPr/>
            </w:pPr>
            <w:r>
              <w:rPr/>
              <w:t>Forfeiture rate</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bl>
    <w:p>
      <w:pPr>
        <w:pStyle w:val="TextBody"/>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spacing w:before="0" w:after="0"/>
        <w:ind w:left="0" w:right="0" w:hanging="0"/>
        <w:rPr>
          <w:caps w:val="false"/>
          <w:smallCaps w:val="false"/>
        </w:rPr>
      </w:pPr>
      <w:r>
        <w:rPr>
          <w:caps w:val="false"/>
          <w:smallCaps w:val="false"/>
        </w:rPr>
        <w:t> </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2020, the significant unobservable inputs used in the discounted cash flow were a discount rate of approximately 20% and a probability of a Public Transaction occurring of 90%. The Black-Scholes assumptions were as follows:</w:t>
      </w:r>
    </w:p>
    <w:p>
      <w:pPr>
        <w:pStyle w:val="TextBody"/>
        <w:ind w:left="0" w:right="0" w:firstLine="360"/>
        <w:rPr>
          <w:caps w:val="false"/>
          <w:smallCaps w:val="false"/>
        </w:rPr>
      </w:pPr>
      <w:r>
        <w:rPr>
          <w:caps w:val="false"/>
          <w:smallCaps w:val="false"/>
        </w:rPr>
        <w:t> </w:t>
      </w:r>
    </w:p>
    <w:tbl>
      <w:tblPr>
        <w:tblW w:w="3670" w:type="dxa"/>
        <w:jc w:val="left"/>
        <w:tblInd w:w="0" w:type="dxa"/>
        <w:tblCellMar>
          <w:top w:w="0" w:type="dxa"/>
          <w:left w:w="0" w:type="dxa"/>
          <w:bottom w:w="0" w:type="dxa"/>
          <w:right w:w="0" w:type="dxa"/>
        </w:tblCellMar>
      </w:tblPr>
      <w:tblGrid>
        <w:gridCol w:w="2105"/>
        <w:gridCol w:w="60"/>
        <w:gridCol w:w="1505"/>
      </w:tblGrid>
      <w:tr>
        <w:trPr/>
        <w:tc>
          <w:tcPr>
            <w:tcW w:w="2105" w:type="dxa"/>
            <w:tcBorders/>
            <w:shd w:fill="CCEEFF" w:val="clear"/>
            <w:vAlign w:val="center"/>
          </w:tcPr>
          <w:p>
            <w:pPr>
              <w:pStyle w:val="TableContents"/>
              <w:spacing w:before="0" w:after="283"/>
              <w:rPr/>
            </w:pPr>
            <w:r>
              <w:rPr/>
              <w:t>Volatility</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40%</w:t>
            </w:r>
          </w:p>
        </w:tc>
      </w:tr>
      <w:tr>
        <w:trPr/>
        <w:tc>
          <w:tcPr>
            <w:tcW w:w="2105" w:type="dxa"/>
            <w:tcBorders/>
            <w:shd w:fill="auto" w:val="clear"/>
            <w:vAlign w:val="center"/>
          </w:tcPr>
          <w:p>
            <w:pPr>
              <w:pStyle w:val="TableContents"/>
              <w:spacing w:before="0" w:after="283"/>
              <w:jc w:val="left"/>
              <w:rPr/>
            </w:pPr>
            <w:r>
              <w:rPr/>
              <w:t>Risk-free interest rate</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0.09% – 0.16%</w:t>
            </w:r>
          </w:p>
        </w:tc>
      </w:tr>
      <w:tr>
        <w:trPr/>
        <w:tc>
          <w:tcPr>
            <w:tcW w:w="2105"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r>
        <w:trPr/>
        <w:tc>
          <w:tcPr>
            <w:tcW w:w="2105" w:type="dxa"/>
            <w:tcBorders/>
            <w:shd w:fill="auto" w:val="clear"/>
            <w:vAlign w:val="center"/>
          </w:tcPr>
          <w:p>
            <w:pPr>
              <w:pStyle w:val="TableContents"/>
              <w:spacing w:before="0" w:after="283"/>
              <w:jc w:val="left"/>
              <w:rPr/>
            </w:pPr>
            <w:r>
              <w:rPr/>
              <w:t>Expected term (years)</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0.66 – 1.75</w:t>
            </w:r>
          </w:p>
        </w:tc>
      </w:tr>
      <w:tr>
        <w:trPr/>
        <w:tc>
          <w:tcPr>
            <w:tcW w:w="2105" w:type="dxa"/>
            <w:tcBorders/>
            <w:shd w:fill="CCEEFF" w:val="clear"/>
            <w:vAlign w:val="center"/>
          </w:tcPr>
          <w:p>
            <w:pPr>
              <w:pStyle w:val="TableContents"/>
              <w:spacing w:before="0" w:after="283"/>
              <w:jc w:val="left"/>
              <w:rPr/>
            </w:pPr>
            <w:r>
              <w:rPr/>
              <w:t>Forfeiture rate</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Capital Structure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spacing w:before="0" w:after="0"/>
        <w:ind w:left="0" w:right="0" w:hanging="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Conversion Formulas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2021, the Company’s Board of Directors approved the amendment to the conversion formula of the Series A Preferred Stock and Notes. After the amendment:</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5"/>
        <w:gridCol w:w="9995"/>
      </w:tblGrid>
      <w:tr>
        <w:trPr/>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20"/>
              </w:rPr>
            </w:pPr>
            <w:r>
              <w:rPr>
                <w:sz w:val="20"/>
              </w:rPr>
              <w:t>1.</w:t>
            </w:r>
          </w:p>
        </w:tc>
        <w:tc>
          <w:tcPr>
            <w:tcW w:w="9995" w:type="dxa"/>
            <w:tcBorders/>
            <w:shd w:fill="auto" w:val="clear"/>
            <w:vAlign w:val="center"/>
          </w:tcPr>
          <w:p>
            <w:pPr>
              <w:pStyle w:val="TableContents"/>
              <w:spacing w:before="0" w:after="283"/>
              <w:rPr>
                <w:sz w:val="20"/>
              </w:rPr>
            </w:pPr>
            <w:r>
              <w:rPr>
                <w:sz w:val="20"/>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tc>
      </w:tr>
      <w:tr>
        <w:trPr/>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20"/>
              </w:rPr>
            </w:pPr>
            <w:r>
              <w:rPr>
                <w:sz w:val="20"/>
              </w:rPr>
              <w:t>2.</w:t>
            </w:r>
          </w:p>
        </w:tc>
        <w:tc>
          <w:tcPr>
            <w:tcW w:w="9995" w:type="dxa"/>
            <w:tcBorders/>
            <w:shd w:fill="auto" w:val="clear"/>
            <w:vAlign w:val="center"/>
          </w:tcPr>
          <w:p>
            <w:pPr>
              <w:pStyle w:val="TableContents"/>
              <w:spacing w:before="0" w:after="283"/>
              <w:rPr>
                <w:sz w:val="20"/>
              </w:rPr>
            </w:pPr>
            <w:r>
              <w:rPr>
                <w:sz w:val="20"/>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thereunder immediately prior to such public transaction divided by (ii) a conversion price of $7.72 (after the reverse split taking effect).</w:t>
            </w:r>
          </w:p>
        </w:tc>
      </w:tr>
    </w:tbl>
    <w:p>
      <w:pPr>
        <w:pStyle w:val="TextBody"/>
        <w:spacing w:before="0" w:after="0"/>
        <w:ind w:left="960" w:right="0" w:hanging="48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2021, the Company’s shareholders approved the amendment to the Series A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Public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2021, the Company completed an initial public offering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brought the total number of shares of common stock sold by the Company in connection with the IPO to 6,210,000 shares and the total net proceeds received in connection with the IPO to approximately $57.0 million, after deducting underwriting discounts and estimated offering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Company’s IPO, all outstanding shares of Series A Preferred Stock and Notes were converted into 1,373,038 shares of common stock and 1,697,075 shares of common stock, respectively, at a conversion price of $7.72 per share.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Public Offering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(i) a cash payment to the representative of $2.4 million and (ii) the right to participate as a co-manager with ten percent (10%) of the economics with respect to the Company’s next public offering of securities, payable in cash upon the closing of such offering.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Subscriptions Receivable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balance of the stock subscription was paid in January 2020.</w:t>
      </w:r>
    </w:p>
    <w:p>
      <w:pPr>
        <w:pStyle w:val="TextBody"/>
        <w:spacing w:before="0" w:after="0"/>
        <w:ind w:left="0" w:right="0" w:firstLine="360"/>
        <w:rPr>
          <w:caps w:val="false"/>
          <w:smallCaps w:val="false"/>
        </w:rPr>
      </w:pPr>
      <w:r>
        <w:rPr>
          <w:caps w:val="false"/>
          <w:smallCaps w:val="false"/>
        </w:rPr>
        <w:t> </w:t>
      </w:r>
    </w:p>
    <w:p>
      <w:pPr>
        <w:pStyle w:val="TextBody"/>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Issuance of Common Stock in Connection with Acquisitions</w:t>
      </w:r>
    </w:p>
    <w:p>
      <w:pPr>
        <w:pStyle w:val="TextBody"/>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2021, as part of the acquisition of HMH, the Company issued an aggregate of 8,000 shares of common stock to an executive of HMH for achieving certain milestones from the acquisition date through March 31, 2021. The common shares were valued at $176 thousand based on the Company’s closing stock price on September 20, 2021. The value of the shares is included in research and development in the condensed consolidated statements of operations. Refer to Note 13 – Business Combinations included elsewhere in the notes to the consolidated financial statements.</w:t>
      </w:r>
    </w:p>
    <w:p>
      <w:pPr>
        <w:pStyle w:val="TextBody"/>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2021, the Company issued an aggregate of 666,403 shares of its common stock to the Precision and Cascade shareholders in connection with the Company’s acquisition of Precision and Cascade. Refer to Note 13 – Business Combinations included elsewhere in the notes to the consolidated financial statements.</w:t>
      </w:r>
    </w:p>
    <w:p>
      <w:pPr>
        <w:pStyle w:val="TextBody"/>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issued an aggregate of 240,301 shares of its common stock to the PurePressure shareholders in connection with the Company’s acquisition of PurePressure. Refer to Note 13 – Business Combinations included elsewhere in the notes to the consolidated financial statements.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September 4, 2019, the Company adopted and approved the 2019 Stock Option Plan (the “2019 Plan”) which provided for the issuance of 1,743,744 shares of its common stock. On August 10, 2020 and October 8, 2020, the Company’s board of directors and stockholders, respectively, approved an increase to the maximum number of shares of common stock authorized for issuance over the term of the 2019 Plan from 1,743,744 shares to 3,355,083 shares. As of December 31, 2021, there are no shares available to be granted under the 2019 Plan. Prior to the consummation of the Company’s IPO, the Company cancelled the 2019 Plan and converted the outstanding stock options to the 2020 Plan, as more fully described below. Under the 2019 Plan, the standard vesting schedule provided that 25% of the options vest 12 months following issuance and the balance vests in 36 equal monthly installments thereafter. However, the Company’s board of directors was permitted to provide for alternative or accelerated vesting schedules in approving each stock option grant. In many cases, the Company’s Board of Directors included an accelerated vesting schedule under which 50% of the stock options granted vest immediately prior to a change of control transaction or the Company’s first underwritten public offering.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Omnibus Equity Incentive Plan</w:t>
      </w:r>
    </w:p>
    <w:p>
      <w:pPr>
        <w:pStyle w:val="TextBody"/>
        <w:spacing w:before="0" w:after="0"/>
        <w:ind w:left="0" w:right="0" w:hanging="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18, 2020, the Company’s Board of Directors, and on January 11, 2021, the Company’s stockholders, adopted and approved the 2020 Omnibus Equity Incentive Plan (the “2020 Plan”), which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4,533,732 shares. Shares will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Times New Roman;serif" w:hAnsi="Times New Roman;serif"/>
          <w:b w:val="false"/>
          <w:i w:val="false"/>
          <w:caps w:val="false"/>
          <w:smallCaps w:val="false"/>
          <w:position w:val="7"/>
          <w:sz w:val="16"/>
          <w:sz w:val="20"/>
        </w:rPr>
        <w:t>th</w:t>
      </w:r>
      <w:r>
        <w:rPr>
          <w:rFonts w:ascii="Times New Roman;serif" w:hAnsi="Times New Roman;serif"/>
          <w:b w:val="false"/>
          <w:i w:val="false"/>
          <w:caps w:val="false"/>
          <w:smallCaps w:val="false"/>
          <w:sz w:val="20"/>
        </w:rPr>
        <w:t>) anniversary of the date on which it is adopted by the Board of Directors.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spacing w:before="0" w:after="0"/>
        <w:ind w:left="0" w:right="0" w:hanging="0"/>
        <w:rPr>
          <w:caps w:val="false"/>
          <w:smallCaps w:val="false"/>
        </w:rPr>
      </w:pPr>
      <w:r>
        <w:rPr>
          <w:caps w:val="false"/>
          <w:smallCaps w:val="false"/>
        </w:rPr>
        <w:t> </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i/>
          <w:caps w:val="false"/>
          <w:smallCaps w:val="false"/>
          <w:sz w:val="20"/>
        </w:rPr>
      </w:pPr>
      <w:r>
        <w:rPr>
          <w:rFonts w:ascii="Times New Roman;serif" w:hAnsi="Times New Roman;serif"/>
          <w:b/>
          <w:i/>
          <w:caps w:val="false"/>
          <w:smallCaps w:val="false"/>
          <w:sz w:val="20"/>
        </w:rPr>
        <w:t>Stock-based Compensation</w:t>
      </w:r>
    </w:p>
    <w:p>
      <w:pPr>
        <w:pStyle w:val="TextBody"/>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stock option compensation expense was $5.6 million and $1.9 million for the years ended December 31, 2021 and 2020, respectively, and there was $3.7 million of total unrecognized compensation cost related to unvested options granted under the Company’s options plans as of December 31, 2021. This stock option expense will be recognized through 2025.</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assumptions used in the valuation of options granted during the year ended December 31, 2021:</w:t>
      </w:r>
    </w:p>
    <w:p>
      <w:pPr>
        <w:pStyle w:val="TextBody"/>
        <w:spacing w:before="0" w:after="0"/>
        <w:ind w:left="0" w:right="0" w:firstLine="360"/>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2360"/>
        <w:gridCol w:w="60"/>
        <w:gridCol w:w="1505"/>
      </w:tblGrid>
      <w:tr>
        <w:trPr/>
        <w:tc>
          <w:tcPr>
            <w:tcW w:w="2360" w:type="dxa"/>
            <w:tcBorders/>
            <w:shd w:fill="CCEEFF" w:val="clear"/>
            <w:vAlign w:val="center"/>
          </w:tcPr>
          <w:p>
            <w:pPr>
              <w:pStyle w:val="TableContents"/>
              <w:spacing w:before="0" w:after="283"/>
              <w:rPr/>
            </w:pPr>
            <w:r>
              <w:rPr/>
              <w:t>Volatility</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40%</w:t>
            </w:r>
          </w:p>
        </w:tc>
      </w:tr>
      <w:tr>
        <w:trPr/>
        <w:tc>
          <w:tcPr>
            <w:tcW w:w="2360" w:type="dxa"/>
            <w:tcBorders/>
            <w:shd w:fill="auto" w:val="clear"/>
            <w:vAlign w:val="center"/>
          </w:tcPr>
          <w:p>
            <w:pPr>
              <w:pStyle w:val="TableContents"/>
              <w:spacing w:before="0" w:after="283"/>
              <w:jc w:val="left"/>
              <w:rPr/>
            </w:pPr>
            <w:r>
              <w:rPr/>
              <w:t>Risk-free interest rate</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1.10% – 1.63%</w:t>
            </w:r>
          </w:p>
        </w:tc>
      </w:tr>
      <w:tr>
        <w:trPr/>
        <w:tc>
          <w:tcPr>
            <w:tcW w:w="2360"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r>
        <w:trPr/>
        <w:tc>
          <w:tcPr>
            <w:tcW w:w="2360" w:type="dxa"/>
            <w:tcBorders/>
            <w:shd w:fill="auto" w:val="clear"/>
            <w:vAlign w:val="center"/>
          </w:tcPr>
          <w:p>
            <w:pPr>
              <w:pStyle w:val="TableContents"/>
              <w:spacing w:before="0" w:after="283"/>
              <w:jc w:val="left"/>
              <w:rPr/>
            </w:pPr>
            <w:r>
              <w:rPr/>
              <w:t>0% Expected life (years)</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jc w:val="center"/>
              <w:rPr/>
            </w:pPr>
            <w:r>
              <w:rPr/>
              <w:t>10</w:t>
            </w:r>
          </w:p>
        </w:tc>
      </w:tr>
      <w:tr>
        <w:trPr/>
        <w:tc>
          <w:tcPr>
            <w:tcW w:w="2360" w:type="dxa"/>
            <w:tcBorders/>
            <w:shd w:fill="CCEEFF" w:val="clear"/>
            <w:vAlign w:val="center"/>
          </w:tcPr>
          <w:p>
            <w:pPr>
              <w:pStyle w:val="TableContents"/>
              <w:spacing w:before="0" w:after="283"/>
              <w:jc w:val="left"/>
              <w:rPr/>
            </w:pPr>
            <w:r>
              <w:rPr/>
              <w:t>Forfeiture rate</w:t>
            </w:r>
          </w:p>
        </w:tc>
        <w:tc>
          <w:tcPr>
            <w:tcW w:w="60" w:type="dxa"/>
            <w:tcBorders/>
            <w:shd w:fill="CCEEFF" w:val="clear"/>
            <w:vAlign w:val="center"/>
          </w:tcPr>
          <w:p>
            <w:pPr>
              <w:pStyle w:val="TableContents"/>
              <w:spacing w:before="0" w:after="283"/>
              <w:rPr/>
            </w:pPr>
            <w:r>
              <w:rPr/>
              <w:t> </w:t>
            </w:r>
          </w:p>
        </w:tc>
        <w:tc>
          <w:tcPr>
            <w:tcW w:w="1505" w:type="dxa"/>
            <w:tcBorders/>
            <w:shd w:fill="CCEEFF" w:val="clear"/>
            <w:vAlign w:val="center"/>
          </w:tcPr>
          <w:p>
            <w:pPr>
              <w:pStyle w:val="TableContents"/>
              <w:spacing w:before="0" w:after="283"/>
              <w:jc w:val="center"/>
              <w:rPr/>
            </w:pPr>
            <w:r>
              <w:rPr/>
              <w:t>0.00%</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assumptions used in the valuation of options granted during the year ended December 31, 2020:</w:t>
      </w:r>
    </w:p>
    <w:p>
      <w:pPr>
        <w:pStyle w:val="TextBody"/>
        <w:spacing w:before="0" w:after="0"/>
        <w:ind w:left="0" w:right="0" w:firstLine="360"/>
        <w:rPr>
          <w:caps w:val="false"/>
          <w:smallCaps w:val="false"/>
        </w:rPr>
      </w:pPr>
      <w:r>
        <w:rPr>
          <w:caps w:val="false"/>
          <w:smallCaps w:val="false"/>
        </w:rPr>
        <w:t> </w:t>
      </w:r>
    </w:p>
    <w:tbl>
      <w:tblPr>
        <w:tblW w:w="3820" w:type="dxa"/>
        <w:jc w:val="left"/>
        <w:tblInd w:w="0" w:type="dxa"/>
        <w:tblCellMar>
          <w:top w:w="0" w:type="dxa"/>
          <w:left w:w="0" w:type="dxa"/>
          <w:bottom w:w="0" w:type="dxa"/>
          <w:right w:w="0" w:type="dxa"/>
        </w:tblCellMar>
      </w:tblPr>
      <w:tblGrid>
        <w:gridCol w:w="2360"/>
        <w:gridCol w:w="60"/>
        <w:gridCol w:w="60"/>
        <w:gridCol w:w="1265"/>
        <w:gridCol w:w="75"/>
      </w:tblGrid>
      <w:tr>
        <w:trPr/>
        <w:tc>
          <w:tcPr>
            <w:tcW w:w="2360" w:type="dxa"/>
            <w:tcBorders/>
            <w:shd w:fill="CCEEFF" w:val="clear"/>
            <w:vAlign w:val="center"/>
          </w:tcPr>
          <w:p>
            <w:pPr>
              <w:pStyle w:val="TableContents"/>
              <w:spacing w:before="0" w:after="283"/>
              <w:rPr/>
            </w:pPr>
            <w:r>
              <w:rPr/>
              <w:t>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65" w:type="dxa"/>
            <w:tcBorders/>
            <w:shd w:fill="CCEEFF" w:val="clear"/>
            <w:vAlign w:val="center"/>
          </w:tcPr>
          <w:p>
            <w:pPr>
              <w:pStyle w:val="TableContents"/>
              <w:spacing w:before="0" w:after="283"/>
              <w:jc w:val="center"/>
              <w:rPr>
                <w:sz w:val="20"/>
              </w:rPr>
            </w:pPr>
            <w:r>
              <w:rPr>
                <w:sz w:val="20"/>
              </w:rPr>
              <w:t>40% – 60%</w:t>
            </w:r>
          </w:p>
        </w:tc>
        <w:tc>
          <w:tcPr>
            <w:tcW w:w="75" w:type="dxa"/>
            <w:tcBorders/>
            <w:shd w:fill="CCEEFF" w:val="clear"/>
            <w:vAlign w:val="center"/>
          </w:tcPr>
          <w:p>
            <w:pPr>
              <w:pStyle w:val="TableContents"/>
              <w:spacing w:before="0" w:after="283"/>
              <w:ind w:left="0" w:right="0" w:hanging="200"/>
              <w:jc w:val="left"/>
              <w:rPr/>
            </w:pPr>
            <w:r>
              <w:rPr/>
              <w:t> </w:t>
            </w:r>
          </w:p>
        </w:tc>
      </w:tr>
      <w:tr>
        <w:trPr/>
        <w:tc>
          <w:tcPr>
            <w:tcW w:w="2360" w:type="dxa"/>
            <w:tcBorders/>
            <w:shd w:fill="auto" w:val="clear"/>
            <w:vAlign w:val="center"/>
          </w:tcPr>
          <w:p>
            <w:pPr>
              <w:pStyle w:val="TableContents"/>
              <w:spacing w:before="0" w:after="283"/>
              <w:jc w:val="left"/>
              <w:rPr/>
            </w:pPr>
            <w:r>
              <w:rPr/>
              <w:t>Risk-free interest rate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65" w:type="dxa"/>
            <w:tcBorders/>
            <w:shd w:fill="auto" w:val="clear"/>
            <w:vAlign w:val="center"/>
          </w:tcPr>
          <w:p>
            <w:pPr>
              <w:pStyle w:val="TableContents"/>
              <w:spacing w:before="0" w:after="283"/>
              <w:jc w:val="center"/>
              <w:rPr>
                <w:sz w:val="20"/>
              </w:rPr>
            </w:pPr>
            <w:r>
              <w:rPr>
                <w:sz w:val="20"/>
              </w:rPr>
              <w:t>0.37% – 0.78%</w:t>
            </w:r>
          </w:p>
        </w:tc>
        <w:tc>
          <w:tcPr>
            <w:tcW w:w="75" w:type="dxa"/>
            <w:tcBorders/>
            <w:shd w:fill="auto" w:val="clear"/>
            <w:vAlign w:val="center"/>
          </w:tcPr>
          <w:p>
            <w:pPr>
              <w:pStyle w:val="TableContents"/>
              <w:spacing w:before="0" w:after="283"/>
              <w:ind w:left="0" w:right="0" w:hanging="200"/>
              <w:jc w:val="left"/>
              <w:rPr/>
            </w:pPr>
            <w:r>
              <w:rPr/>
              <w:t> </w:t>
            </w:r>
          </w:p>
        </w:tc>
      </w:tr>
      <w:tr>
        <w:trPr/>
        <w:tc>
          <w:tcPr>
            <w:tcW w:w="2360" w:type="dxa"/>
            <w:tcBorders/>
            <w:shd w:fill="CCEEFF" w:val="clear"/>
            <w:vAlign w:val="center"/>
          </w:tcPr>
          <w:p>
            <w:pPr>
              <w:pStyle w:val="TableContents"/>
              <w:spacing w:before="0" w:after="283"/>
              <w:jc w:val="left"/>
              <w:rPr/>
            </w:pPr>
            <w:r>
              <w:rPr/>
              <w:t>Dividend yield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65" w:type="dxa"/>
            <w:tcBorders/>
            <w:shd w:fill="CCEEFF" w:val="clear"/>
            <w:vAlign w:val="center"/>
          </w:tcPr>
          <w:p>
            <w:pPr>
              <w:pStyle w:val="TableContents"/>
              <w:spacing w:before="0" w:after="283"/>
              <w:jc w:val="center"/>
              <w:rPr/>
            </w:pPr>
            <w:r>
              <w:rPr/>
              <w:t>0.00%</w:t>
            </w:r>
          </w:p>
        </w:tc>
        <w:tc>
          <w:tcPr>
            <w:tcW w:w="75" w:type="dxa"/>
            <w:tcBorders/>
            <w:shd w:fill="CCEEFF" w:val="clear"/>
            <w:vAlign w:val="center"/>
          </w:tcPr>
          <w:p>
            <w:pPr>
              <w:pStyle w:val="TableContents"/>
              <w:spacing w:before="0" w:after="283"/>
              <w:ind w:left="0" w:right="0" w:hanging="200"/>
              <w:jc w:val="left"/>
              <w:rPr/>
            </w:pPr>
            <w:r>
              <w:rPr/>
              <w:t> </w:t>
            </w:r>
          </w:p>
        </w:tc>
      </w:tr>
      <w:tr>
        <w:trPr/>
        <w:tc>
          <w:tcPr>
            <w:tcW w:w="2360" w:type="dxa"/>
            <w:tcBorders/>
            <w:shd w:fill="auto" w:val="clear"/>
            <w:vAlign w:val="center"/>
          </w:tcPr>
          <w:p>
            <w:pPr>
              <w:pStyle w:val="TableContents"/>
              <w:spacing w:before="0" w:after="283"/>
              <w:jc w:val="left"/>
              <w:rPr/>
            </w:pPr>
            <w:r>
              <w:rPr/>
              <w:t>0% Expected life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65" w:type="dxa"/>
            <w:tcBorders/>
            <w:shd w:fill="auto" w:val="clear"/>
            <w:vAlign w:val="center"/>
          </w:tcPr>
          <w:p>
            <w:pPr>
              <w:pStyle w:val="TableContents"/>
              <w:spacing w:before="0" w:after="283"/>
              <w:jc w:val="center"/>
              <w:rPr>
                <w:sz w:val="20"/>
              </w:rPr>
            </w:pPr>
            <w:r>
              <w:rPr>
                <w:sz w:val="20"/>
              </w:rPr>
              <w:t>5 – 10</w:t>
            </w:r>
          </w:p>
        </w:tc>
        <w:tc>
          <w:tcPr>
            <w:tcW w:w="75" w:type="dxa"/>
            <w:tcBorders/>
            <w:shd w:fill="auto" w:val="clear"/>
            <w:vAlign w:val="center"/>
          </w:tcPr>
          <w:p>
            <w:pPr>
              <w:pStyle w:val="TableContents"/>
              <w:spacing w:before="0" w:after="283"/>
              <w:ind w:left="0" w:right="0" w:hanging="200"/>
              <w:jc w:val="left"/>
              <w:rPr/>
            </w:pPr>
            <w:r>
              <w:rPr/>
              <w:t> </w:t>
            </w:r>
          </w:p>
        </w:tc>
      </w:tr>
      <w:tr>
        <w:trPr/>
        <w:tc>
          <w:tcPr>
            <w:tcW w:w="2360" w:type="dxa"/>
            <w:tcBorders/>
            <w:shd w:fill="CCEEFF" w:val="clear"/>
            <w:vAlign w:val="center"/>
          </w:tcPr>
          <w:p>
            <w:pPr>
              <w:pStyle w:val="TableContents"/>
              <w:spacing w:before="0" w:after="283"/>
              <w:jc w:val="left"/>
              <w:rPr/>
            </w:pPr>
            <w:r>
              <w:rPr/>
              <w:t>Forfeiture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65" w:type="dxa"/>
            <w:tcBorders/>
            <w:shd w:fill="CCEEFF" w:val="clear"/>
            <w:vAlign w:val="center"/>
          </w:tcPr>
          <w:p>
            <w:pPr>
              <w:pStyle w:val="TableContents"/>
              <w:spacing w:before="0" w:after="283"/>
              <w:jc w:val="center"/>
              <w:rPr/>
            </w:pPr>
            <w:r>
              <w:rPr/>
              <w:t>0.00%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ind w:left="0" w:right="0" w:firstLine="360"/>
        <w:rPr>
          <w:rFonts w:ascii="Times New Roman;serif" w:hAnsi="Times New Roman;serif"/>
          <w:b/>
          <w:i/>
          <w:caps w:val="false"/>
          <w:smallCaps w:val="false"/>
          <w:sz w:val="20"/>
        </w:rPr>
      </w:pPr>
      <w:r>
        <w:rPr>
          <w:rFonts w:ascii="Times New Roman;serif" w:hAnsi="Times New Roman;serif"/>
          <w:b/>
          <w:i/>
          <w:caps w:val="false"/>
          <w:smallCaps w:val="false"/>
          <w:sz w:val="20"/>
        </w:rPr>
        <w:t>Stock Option Activity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there were 311,823 shares available to be granted under the Company’s 2020 Plan.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option activity under the Company’s stock option plans for the years ended December 31, 2020 and 2021:</w:t>
      </w:r>
    </w:p>
    <w:p>
      <w:pPr>
        <w:pStyle w:val="TextBody"/>
        <w:spacing w:before="0" w:after="0"/>
        <w:ind w:left="0" w:right="0" w:firstLine="360"/>
        <w:rPr>
          <w:caps w:val="false"/>
          <w:smallCaps w:val="false"/>
        </w:rPr>
      </w:pPr>
      <w:r>
        <w:rPr>
          <w:caps w:val="false"/>
          <w:smallCaps w:val="false"/>
        </w:rPr>
        <w:t> </w:t>
      </w:r>
    </w:p>
    <w:tbl>
      <w:tblPr>
        <w:tblW w:w="9758" w:type="dxa"/>
        <w:jc w:val="left"/>
        <w:tblInd w:w="0" w:type="dxa"/>
        <w:tblCellMar>
          <w:top w:w="0" w:type="dxa"/>
          <w:left w:w="0" w:type="dxa"/>
          <w:bottom w:w="28" w:type="dxa"/>
          <w:right w:w="0" w:type="dxa"/>
        </w:tblCellMar>
      </w:tblPr>
      <w:tblGrid>
        <w:gridCol w:w="5975"/>
        <w:gridCol w:w="60"/>
        <w:gridCol w:w="68"/>
        <w:gridCol w:w="1121"/>
        <w:gridCol w:w="95"/>
        <w:gridCol w:w="60"/>
        <w:gridCol w:w="211"/>
        <w:gridCol w:w="844"/>
        <w:gridCol w:w="60"/>
        <w:gridCol w:w="60"/>
        <w:gridCol w:w="192"/>
        <w:gridCol w:w="937"/>
        <w:gridCol w:w="75"/>
      </w:tblGrid>
      <w:tr>
        <w:trPr/>
        <w:tc>
          <w:tcPr>
            <w:tcW w:w="5975" w:type="dxa"/>
            <w:tcBorders>
              <w:bottom w:val="single" w:sz="12" w:space="0" w:color="000000"/>
            </w:tcBorders>
            <w:shd w:fill="auto" w:val="clear"/>
            <w:vAlign w:val="center"/>
          </w:tcPr>
          <w:p>
            <w:pPr>
              <w:pStyle w:val="TableContents"/>
              <w:spacing w:before="0" w:after="283"/>
              <w:rPr>
                <w:b/>
              </w:rPr>
            </w:pPr>
            <w:r>
              <w:rPr>
                <w:b/>
              </w:rPr>
              <w:t>(Dollar Amounts, Excluding Exercise Price, in Thousands)</w:t>
            </w:r>
          </w:p>
        </w:tc>
        <w:tc>
          <w:tcPr>
            <w:tcW w:w="60" w:type="dxa"/>
            <w:tcBorders/>
            <w:shd w:fill="auto" w:val="clear"/>
            <w:tcMar>
              <w:bottom w:w="0" w:type="dxa"/>
            </w:tcMar>
            <w:vAlign w:val="center"/>
          </w:tcPr>
          <w:p>
            <w:pPr>
              <w:pStyle w:val="TableContents"/>
              <w:spacing w:before="0" w:after="283"/>
              <w:rPr/>
            </w:pPr>
            <w:r>
              <w:rPr/>
              <w:t> </w:t>
            </w:r>
          </w:p>
        </w:tc>
        <w:tc>
          <w:tcPr>
            <w:tcW w:w="1189" w:type="dxa"/>
            <w:gridSpan w:val="2"/>
            <w:tcBorders>
              <w:bottom w:val="single" w:sz="12" w:space="0" w:color="000000"/>
            </w:tcBorders>
            <w:shd w:fill="auto" w:val="clear"/>
            <w:vAlign w:val="center"/>
          </w:tcPr>
          <w:p>
            <w:pPr>
              <w:pStyle w:val="TableContents"/>
              <w:spacing w:before="0" w:after="283"/>
              <w:jc w:val="center"/>
              <w:rPr>
                <w:b/>
              </w:rPr>
            </w:pPr>
            <w:r>
              <w:rPr>
                <w:b/>
              </w:rPr>
              <w:t xml:space="preserve">Number of </w:t>
              <w:br/>
              <w:t>Options</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55" w:type="dxa"/>
            <w:gridSpan w:val="2"/>
            <w:tcBorders>
              <w:bottom w:val="single" w:sz="12" w:space="0" w:color="000000"/>
            </w:tcBorders>
            <w:shd w:fill="auto" w:val="clear"/>
            <w:vAlign w:val="center"/>
          </w:tcPr>
          <w:p>
            <w:pPr>
              <w:pStyle w:val="TableContents"/>
              <w:spacing w:before="0" w:after="283"/>
              <w:jc w:val="center"/>
              <w:rPr>
                <w:b/>
              </w:rPr>
            </w:pPr>
            <w:r>
              <w:rPr>
                <w:b/>
              </w:rPr>
              <w:t xml:space="preserve">Weighted </w:t>
              <w:br/>
              <w:t xml:space="preserve">Average </w:t>
              <w:br/>
              <w:t xml:space="preserve">Exercise </w:t>
              <w:br/>
              <w:t>Price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29" w:type="dxa"/>
            <w:gridSpan w:val="2"/>
            <w:tcBorders>
              <w:bottom w:val="single" w:sz="12" w:space="0" w:color="000000"/>
            </w:tcBorders>
            <w:shd w:fill="auto" w:val="clear"/>
            <w:vAlign w:val="center"/>
          </w:tcPr>
          <w:p>
            <w:pPr>
              <w:pStyle w:val="TableContents"/>
              <w:spacing w:before="0" w:after="283"/>
              <w:jc w:val="center"/>
              <w:rPr>
                <w:b/>
              </w:rPr>
            </w:pPr>
            <w:r>
              <w:rPr>
                <w:b/>
              </w:rPr>
              <w:t xml:space="preserve">Aggregate </w:t>
              <w:br/>
              <w:t xml:space="preserve">Intrinsic </w:t>
              <w:br/>
              <w:t>Value</w:t>
            </w:r>
          </w:p>
        </w:tc>
        <w:tc>
          <w:tcPr>
            <w:tcW w:w="75" w:type="dxa"/>
            <w:tcBorders/>
            <w:shd w:fill="auto" w:val="clear"/>
            <w:tcMar>
              <w:bottom w:w="0" w:type="dxa"/>
            </w:tcMar>
            <w:vAlign w:val="center"/>
          </w:tcPr>
          <w:p>
            <w:pPr>
              <w:pStyle w:val="TableContents"/>
              <w:spacing w:before="0" w:after="283"/>
              <w:rPr/>
            </w:pPr>
            <w:r>
              <w:rPr/>
              <w:t> </w:t>
            </w:r>
          </w:p>
        </w:tc>
      </w:tr>
      <w:tr>
        <w:trPr/>
        <w:tc>
          <w:tcPr>
            <w:tcW w:w="5975" w:type="dxa"/>
            <w:tcBorders/>
            <w:shd w:fill="CCEEFF" w:val="clear"/>
            <w:tcMar>
              <w:bottom w:w="0" w:type="dxa"/>
            </w:tcMar>
            <w:vAlign w:val="center"/>
          </w:tcPr>
          <w:p>
            <w:pPr>
              <w:pStyle w:val="TableContents"/>
              <w:spacing w:before="0" w:after="283"/>
              <w:rPr/>
            </w:pPr>
            <w:r>
              <w:rPr/>
              <w:t>Options outstanding at December 31, 2019</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1" w:type="dxa"/>
            <w:tcBorders/>
            <w:shd w:fill="CCEEFF" w:val="clear"/>
            <w:tcMar>
              <w:bottom w:w="0" w:type="dxa"/>
            </w:tcMar>
            <w:vAlign w:val="center"/>
          </w:tcPr>
          <w:p>
            <w:pPr>
              <w:pStyle w:val="TableContents"/>
              <w:spacing w:before="0" w:after="283"/>
              <w:jc w:val="right"/>
              <w:rPr/>
            </w:pPr>
            <w:r>
              <w:rPr/>
              <w:t>493,102</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w:t>
            </w:r>
          </w:p>
        </w:tc>
        <w:tc>
          <w:tcPr>
            <w:tcW w:w="844" w:type="dxa"/>
            <w:tcBorders/>
            <w:shd w:fill="CCEEFF" w:val="clear"/>
            <w:tcMar>
              <w:bottom w:w="0" w:type="dxa"/>
            </w:tcMar>
            <w:vAlign w:val="center"/>
          </w:tcPr>
          <w:p>
            <w:pPr>
              <w:pStyle w:val="TableContents"/>
              <w:spacing w:before="0" w:after="283"/>
              <w:jc w:val="right"/>
              <w:rPr/>
            </w:pPr>
            <w:r>
              <w:rPr/>
              <w:t>3.16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w:t>
            </w:r>
          </w:p>
        </w:tc>
        <w:tc>
          <w:tcPr>
            <w:tcW w:w="937"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rPr/>
            </w:pPr>
            <w:r>
              <w:rPr/>
              <w:t>Granted</w:t>
            </w:r>
          </w:p>
        </w:tc>
        <w:tc>
          <w:tcPr>
            <w:tcW w:w="60" w:type="dxa"/>
            <w:tcBorders/>
            <w:shd w:fill="auto" w:val="clear"/>
            <w:tcMar>
              <w:bottom w:w="0" w:type="dxa"/>
            </w:tcMar>
            <w:vAlign w:val="center"/>
          </w:tcPr>
          <w:p>
            <w:pPr>
              <w:pStyle w:val="TableContents"/>
              <w:spacing w:before="0" w:after="283"/>
              <w:rPr/>
            </w:pPr>
            <w:r>
              <w:rPr/>
              <w:t> </w:t>
            </w:r>
          </w:p>
        </w:tc>
        <w:tc>
          <w:tcPr>
            <w:tcW w:w="68" w:type="dxa"/>
            <w:tcBorders/>
            <w:shd w:fill="auto" w:val="clear"/>
            <w:tcMar>
              <w:bottom w:w="0" w:type="dxa"/>
            </w:tcMar>
            <w:vAlign w:val="center"/>
          </w:tcPr>
          <w:p>
            <w:pPr>
              <w:pStyle w:val="TableContents"/>
              <w:spacing w:before="0" w:after="283"/>
              <w:jc w:val="left"/>
              <w:rPr/>
            </w:pPr>
            <w:r>
              <w:rPr/>
              <w:t> </w:t>
            </w:r>
          </w:p>
        </w:tc>
        <w:tc>
          <w:tcPr>
            <w:tcW w:w="1121" w:type="dxa"/>
            <w:tcBorders/>
            <w:shd w:fill="auto" w:val="clear"/>
            <w:tcMar>
              <w:bottom w:w="0" w:type="dxa"/>
            </w:tcMar>
            <w:vAlign w:val="center"/>
          </w:tcPr>
          <w:p>
            <w:pPr>
              <w:pStyle w:val="TableContents"/>
              <w:spacing w:before="0" w:after="283"/>
              <w:jc w:val="right"/>
              <w:rPr/>
            </w:pPr>
            <w:r>
              <w:rPr/>
              <w:t>3,433,941</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844" w:type="dxa"/>
            <w:tcBorders/>
            <w:shd w:fill="auto" w:val="clear"/>
            <w:tcMar>
              <w:bottom w:w="0" w:type="dxa"/>
            </w:tcMar>
            <w:vAlign w:val="center"/>
          </w:tcPr>
          <w:p>
            <w:pPr>
              <w:pStyle w:val="TableContents"/>
              <w:spacing w:before="0" w:after="283"/>
              <w:jc w:val="right"/>
              <w:rPr/>
            </w:pPr>
            <w:r>
              <w:rPr/>
              <w:t>3.49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975" w:type="dxa"/>
            <w:tcBorders/>
            <w:shd w:fill="CCEEFF" w:val="clear"/>
            <w:tcMar>
              <w:bottom w:w="0" w:type="dxa"/>
            </w:tcMar>
            <w:vAlign w:val="center"/>
          </w:tcPr>
          <w:p>
            <w:pPr>
              <w:pStyle w:val="TableContents"/>
              <w:spacing w:before="0" w:after="283"/>
              <w:rPr/>
            </w:pPr>
            <w:r>
              <w:rPr/>
              <w:t>Exercised</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1" w:type="dxa"/>
            <w:tcBorders/>
            <w:shd w:fill="CCEEFF" w:val="clear"/>
            <w:tcMar>
              <w:bottom w:w="0" w:type="dxa"/>
            </w:tcMar>
            <w:vAlign w:val="center"/>
          </w:tcPr>
          <w:p>
            <w:pPr>
              <w:pStyle w:val="TableContents"/>
              <w:spacing w:before="0" w:after="0"/>
              <w:jc w:val="right"/>
              <w:rPr/>
            </w:pPr>
            <w:r>
              <w:rPr/>
              <w:t>—</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 </w:t>
            </w:r>
          </w:p>
        </w:tc>
        <w:tc>
          <w:tcPr>
            <w:tcW w:w="844"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 </w:t>
            </w:r>
          </w:p>
        </w:tc>
        <w:tc>
          <w:tcPr>
            <w:tcW w:w="937"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rPr/>
            </w:pPr>
            <w:r>
              <w:rPr/>
              <w:t>Forfeited/Expired/Cancelled</w:t>
            </w:r>
          </w:p>
        </w:tc>
        <w:tc>
          <w:tcPr>
            <w:tcW w:w="60" w:type="dxa"/>
            <w:tcBorders/>
            <w:shd w:fill="auto" w:val="clear"/>
            <w:tcMar>
              <w:bottom w:w="0" w:type="dxa"/>
            </w:tcMar>
            <w:vAlign w:val="center"/>
          </w:tcPr>
          <w:p>
            <w:pPr>
              <w:pStyle w:val="TableContents"/>
              <w:spacing w:before="0" w:after="283"/>
              <w:rPr/>
            </w:pPr>
            <w:r>
              <w:rPr/>
              <w:t> </w:t>
            </w:r>
          </w:p>
        </w:tc>
        <w:tc>
          <w:tcPr>
            <w:tcW w:w="68" w:type="dxa"/>
            <w:tcBorders>
              <w:bottom w:val="single" w:sz="12" w:space="0" w:color="000000"/>
            </w:tcBorders>
            <w:shd w:fill="auto" w:val="clear"/>
            <w:vAlign w:val="center"/>
          </w:tcPr>
          <w:p>
            <w:pPr>
              <w:pStyle w:val="TableContents"/>
              <w:spacing w:before="0" w:after="283"/>
              <w:jc w:val="left"/>
              <w:rPr/>
            </w:pPr>
            <w:r>
              <w:rPr/>
              <w:t> </w:t>
            </w:r>
          </w:p>
        </w:tc>
        <w:tc>
          <w:tcPr>
            <w:tcW w:w="1121" w:type="dxa"/>
            <w:tcBorders>
              <w:bottom w:val="single" w:sz="12" w:space="0" w:color="000000"/>
            </w:tcBorders>
            <w:shd w:fill="auto" w:val="clear"/>
            <w:vAlign w:val="center"/>
          </w:tcPr>
          <w:p>
            <w:pPr>
              <w:pStyle w:val="TableContents"/>
              <w:spacing w:before="0" w:after="283"/>
              <w:jc w:val="right"/>
              <w:rPr/>
            </w:pPr>
            <w:r>
              <w:rPr/>
              <w:t>(793,934</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844" w:type="dxa"/>
            <w:tcBorders/>
            <w:shd w:fill="auto" w:val="clear"/>
            <w:tcMar>
              <w:bottom w:w="0" w:type="dxa"/>
            </w:tcMar>
            <w:vAlign w:val="center"/>
          </w:tcPr>
          <w:p>
            <w:pPr>
              <w:pStyle w:val="TableContents"/>
              <w:spacing w:before="0" w:after="283"/>
              <w:jc w:val="right"/>
              <w:rPr/>
            </w:pPr>
            <w:r>
              <w:rPr/>
              <w:t>3.20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975" w:type="dxa"/>
            <w:tcBorders/>
            <w:shd w:fill="CCEEFF" w:val="clear"/>
            <w:tcMar>
              <w:bottom w:w="0" w:type="dxa"/>
            </w:tcMar>
            <w:vAlign w:val="center"/>
          </w:tcPr>
          <w:p>
            <w:pPr>
              <w:pStyle w:val="TableContents"/>
              <w:spacing w:before="0" w:after="283"/>
              <w:rPr/>
            </w:pPr>
            <w:r>
              <w:rPr/>
              <w:t>Options outstanding at December 31, 2020</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1" w:type="dxa"/>
            <w:tcBorders/>
            <w:shd w:fill="CCEEFF" w:val="clear"/>
            <w:tcMar>
              <w:bottom w:w="0" w:type="dxa"/>
            </w:tcMar>
            <w:vAlign w:val="center"/>
          </w:tcPr>
          <w:p>
            <w:pPr>
              <w:pStyle w:val="TableContents"/>
              <w:spacing w:before="0" w:after="283"/>
              <w:jc w:val="right"/>
              <w:rPr/>
            </w:pPr>
            <w:r>
              <w:rPr/>
              <w:t>3,133,109</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w:t>
            </w:r>
          </w:p>
        </w:tc>
        <w:tc>
          <w:tcPr>
            <w:tcW w:w="844" w:type="dxa"/>
            <w:tcBorders/>
            <w:shd w:fill="CCEEFF" w:val="clear"/>
            <w:tcMar>
              <w:bottom w:w="0" w:type="dxa"/>
            </w:tcMar>
            <w:vAlign w:val="center"/>
          </w:tcPr>
          <w:p>
            <w:pPr>
              <w:pStyle w:val="TableContents"/>
              <w:spacing w:before="0" w:after="283"/>
              <w:jc w:val="right"/>
              <w:rPr/>
            </w:pPr>
            <w:r>
              <w:rPr/>
              <w:t>3.51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w:t>
            </w:r>
          </w:p>
        </w:tc>
        <w:tc>
          <w:tcPr>
            <w:tcW w:w="937"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rPr/>
            </w:pPr>
            <w:r>
              <w:rPr/>
              <w:t>Granted</w:t>
            </w:r>
          </w:p>
        </w:tc>
        <w:tc>
          <w:tcPr>
            <w:tcW w:w="60" w:type="dxa"/>
            <w:tcBorders/>
            <w:shd w:fill="auto" w:val="clear"/>
            <w:tcMar>
              <w:bottom w:w="0" w:type="dxa"/>
            </w:tcMar>
            <w:vAlign w:val="center"/>
          </w:tcPr>
          <w:p>
            <w:pPr>
              <w:pStyle w:val="TableContents"/>
              <w:spacing w:before="0" w:after="283"/>
              <w:rPr/>
            </w:pPr>
            <w:r>
              <w:rPr/>
              <w:t> </w:t>
            </w:r>
          </w:p>
        </w:tc>
        <w:tc>
          <w:tcPr>
            <w:tcW w:w="68" w:type="dxa"/>
            <w:tcBorders/>
            <w:shd w:fill="auto" w:val="clear"/>
            <w:tcMar>
              <w:bottom w:w="0" w:type="dxa"/>
            </w:tcMar>
            <w:vAlign w:val="center"/>
          </w:tcPr>
          <w:p>
            <w:pPr>
              <w:pStyle w:val="TableContents"/>
              <w:spacing w:before="0" w:after="283"/>
              <w:jc w:val="left"/>
              <w:rPr/>
            </w:pPr>
            <w:r>
              <w:rPr/>
              <w:t> </w:t>
            </w:r>
          </w:p>
        </w:tc>
        <w:tc>
          <w:tcPr>
            <w:tcW w:w="1121" w:type="dxa"/>
            <w:tcBorders/>
            <w:shd w:fill="auto" w:val="clear"/>
            <w:tcMar>
              <w:bottom w:w="0" w:type="dxa"/>
            </w:tcMar>
            <w:vAlign w:val="center"/>
          </w:tcPr>
          <w:p>
            <w:pPr>
              <w:pStyle w:val="TableContents"/>
              <w:spacing w:before="0" w:after="283"/>
              <w:jc w:val="right"/>
              <w:rPr/>
            </w:pPr>
            <w:r>
              <w:rPr/>
              <w:t>1,520,017</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844" w:type="dxa"/>
            <w:tcBorders/>
            <w:shd w:fill="auto" w:val="clear"/>
            <w:tcMar>
              <w:bottom w:w="0" w:type="dxa"/>
            </w:tcMar>
            <w:vAlign w:val="center"/>
          </w:tcPr>
          <w:p>
            <w:pPr>
              <w:pStyle w:val="TableContents"/>
              <w:spacing w:before="0" w:after="283"/>
              <w:jc w:val="right"/>
              <w:rPr/>
            </w:pPr>
            <w:r>
              <w:rPr/>
              <w:t>12.13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975" w:type="dxa"/>
            <w:tcBorders/>
            <w:shd w:fill="CCEEFF" w:val="clear"/>
            <w:tcMar>
              <w:bottom w:w="0" w:type="dxa"/>
            </w:tcMar>
            <w:vAlign w:val="center"/>
          </w:tcPr>
          <w:p>
            <w:pPr>
              <w:pStyle w:val="TableContents"/>
              <w:spacing w:before="0" w:after="283"/>
              <w:rPr/>
            </w:pPr>
            <w:r>
              <w:rPr/>
              <w:t>Exercised</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1" w:type="dxa"/>
            <w:tcBorders/>
            <w:shd w:fill="CCEEFF" w:val="clear"/>
            <w:tcMar>
              <w:bottom w:w="0" w:type="dxa"/>
            </w:tcMar>
            <w:vAlign w:val="center"/>
          </w:tcPr>
          <w:p>
            <w:pPr>
              <w:pStyle w:val="TableContents"/>
              <w:spacing w:before="0" w:after="283"/>
              <w:jc w:val="right"/>
              <w:rPr/>
            </w:pPr>
            <w:r>
              <w:rPr/>
              <w:t>(657,620</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 </w:t>
            </w:r>
          </w:p>
        </w:tc>
        <w:tc>
          <w:tcPr>
            <w:tcW w:w="844" w:type="dxa"/>
            <w:tcBorders/>
            <w:shd w:fill="CCEEFF" w:val="clear"/>
            <w:tcMar>
              <w:bottom w:w="0" w:type="dxa"/>
            </w:tcMar>
            <w:vAlign w:val="center"/>
          </w:tcPr>
          <w:p>
            <w:pPr>
              <w:pStyle w:val="TableContents"/>
              <w:spacing w:before="0" w:after="283"/>
              <w:jc w:val="right"/>
              <w:rPr/>
            </w:pPr>
            <w:r>
              <w:rPr/>
              <w:t>3.23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 </w:t>
            </w:r>
          </w:p>
        </w:tc>
        <w:tc>
          <w:tcPr>
            <w:tcW w:w="937"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rPr/>
            </w:pPr>
            <w:r>
              <w:rPr/>
              <w:t>Forfeited/Expired/Cancelled</w:t>
            </w:r>
          </w:p>
        </w:tc>
        <w:tc>
          <w:tcPr>
            <w:tcW w:w="60" w:type="dxa"/>
            <w:tcBorders/>
            <w:shd w:fill="auto" w:val="clear"/>
            <w:tcMar>
              <w:bottom w:w="0" w:type="dxa"/>
            </w:tcMar>
            <w:vAlign w:val="center"/>
          </w:tcPr>
          <w:p>
            <w:pPr>
              <w:pStyle w:val="TableContents"/>
              <w:spacing w:before="0" w:after="283"/>
              <w:rPr/>
            </w:pPr>
            <w:r>
              <w:rPr/>
              <w:t> </w:t>
            </w:r>
          </w:p>
        </w:tc>
        <w:tc>
          <w:tcPr>
            <w:tcW w:w="68" w:type="dxa"/>
            <w:tcBorders>
              <w:bottom w:val="single" w:sz="12" w:space="0" w:color="000000"/>
            </w:tcBorders>
            <w:shd w:fill="auto" w:val="clear"/>
            <w:vAlign w:val="center"/>
          </w:tcPr>
          <w:p>
            <w:pPr>
              <w:pStyle w:val="TableContents"/>
              <w:spacing w:before="0" w:after="283"/>
              <w:jc w:val="left"/>
              <w:rPr/>
            </w:pPr>
            <w:r>
              <w:rPr/>
              <w:t> </w:t>
            </w:r>
          </w:p>
        </w:tc>
        <w:tc>
          <w:tcPr>
            <w:tcW w:w="1121" w:type="dxa"/>
            <w:tcBorders>
              <w:bottom w:val="single" w:sz="12" w:space="0" w:color="000000"/>
            </w:tcBorders>
            <w:shd w:fill="auto" w:val="clear"/>
            <w:vAlign w:val="center"/>
          </w:tcPr>
          <w:p>
            <w:pPr>
              <w:pStyle w:val="TableContents"/>
              <w:spacing w:before="0" w:after="283"/>
              <w:jc w:val="right"/>
              <w:rPr/>
            </w:pPr>
            <w:r>
              <w:rPr/>
              <w:t>(431,217</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844" w:type="dxa"/>
            <w:tcBorders/>
            <w:shd w:fill="auto" w:val="clear"/>
            <w:tcMar>
              <w:bottom w:w="0" w:type="dxa"/>
            </w:tcMar>
            <w:vAlign w:val="center"/>
          </w:tcPr>
          <w:p>
            <w:pPr>
              <w:pStyle w:val="TableContents"/>
              <w:spacing w:before="0" w:after="283"/>
              <w:jc w:val="right"/>
              <w:rPr/>
            </w:pPr>
            <w:r>
              <w:rPr/>
              <w:t>3.98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975" w:type="dxa"/>
            <w:tcBorders/>
            <w:shd w:fill="CCEEFF" w:val="clear"/>
            <w:tcMar>
              <w:bottom w:w="0" w:type="dxa"/>
            </w:tcMar>
            <w:vAlign w:val="center"/>
          </w:tcPr>
          <w:p>
            <w:pPr>
              <w:pStyle w:val="TableContents"/>
              <w:spacing w:before="0" w:after="283"/>
              <w:rPr/>
            </w:pPr>
            <w:r>
              <w:rPr/>
              <w:t>Options outstanding at December 31, 2021</w:t>
            </w:r>
          </w:p>
        </w:tc>
        <w:tc>
          <w:tcPr>
            <w:tcW w:w="60" w:type="dxa"/>
            <w:tcBorders/>
            <w:shd w:fill="CCEEFF" w:val="clear"/>
            <w:tcMar>
              <w:bottom w:w="0" w:type="dxa"/>
            </w:tcMar>
            <w:vAlign w:val="center"/>
          </w:tcPr>
          <w:p>
            <w:pPr>
              <w:pStyle w:val="TableContents"/>
              <w:spacing w:before="0" w:after="283"/>
              <w:rPr/>
            </w:pPr>
            <w:r>
              <w:rPr/>
              <w:t> </w:t>
            </w:r>
          </w:p>
        </w:tc>
        <w:tc>
          <w:tcPr>
            <w:tcW w:w="68" w:type="dxa"/>
            <w:tcBorders>
              <w:bottom w:val="double" w:sz="10" w:space="0" w:color="000000"/>
            </w:tcBorders>
            <w:shd w:fill="CCEEFF" w:val="clear"/>
            <w:vAlign w:val="center"/>
          </w:tcPr>
          <w:p>
            <w:pPr>
              <w:pStyle w:val="TableContents"/>
              <w:spacing w:before="0" w:after="283"/>
              <w:jc w:val="left"/>
              <w:rPr/>
            </w:pPr>
            <w:r>
              <w:rPr/>
              <w:t> </w:t>
            </w:r>
          </w:p>
        </w:tc>
        <w:tc>
          <w:tcPr>
            <w:tcW w:w="1121" w:type="dxa"/>
            <w:tcBorders>
              <w:bottom w:val="double" w:sz="10" w:space="0" w:color="000000"/>
            </w:tcBorders>
            <w:shd w:fill="CCEEFF" w:val="clear"/>
            <w:vAlign w:val="center"/>
          </w:tcPr>
          <w:p>
            <w:pPr>
              <w:pStyle w:val="TableContents"/>
              <w:spacing w:before="0" w:after="283"/>
              <w:jc w:val="right"/>
              <w:rPr/>
            </w:pPr>
            <w:r>
              <w:rPr/>
              <w:t>3,564,289</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w:t>
            </w:r>
          </w:p>
        </w:tc>
        <w:tc>
          <w:tcPr>
            <w:tcW w:w="844" w:type="dxa"/>
            <w:tcBorders/>
            <w:shd w:fill="CCEEFF" w:val="clear"/>
            <w:tcMar>
              <w:bottom w:w="0" w:type="dxa"/>
            </w:tcMar>
            <w:vAlign w:val="center"/>
          </w:tcPr>
          <w:p>
            <w:pPr>
              <w:pStyle w:val="TableContents"/>
              <w:spacing w:before="0" w:after="283"/>
              <w:jc w:val="right"/>
              <w:rPr/>
            </w:pPr>
            <w:r>
              <w:rPr/>
              <w:t>7.18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w:t>
            </w:r>
          </w:p>
        </w:tc>
        <w:tc>
          <w:tcPr>
            <w:tcW w:w="937" w:type="dxa"/>
            <w:tcBorders/>
            <w:shd w:fill="CCEEFF" w:val="clear"/>
            <w:tcMar>
              <w:bottom w:w="0" w:type="dxa"/>
            </w:tcMar>
            <w:vAlign w:val="center"/>
          </w:tcPr>
          <w:p>
            <w:pPr>
              <w:pStyle w:val="TableContents"/>
              <w:spacing w:before="0" w:after="283"/>
              <w:jc w:val="right"/>
              <w:rPr/>
            </w:pPr>
            <w:r>
              <w:rPr/>
              <w:t>12,527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 w:type="dxa"/>
            <w:tcBorders/>
            <w:shd w:fill="auto" w:val="clear"/>
            <w:tcMar>
              <w:bottom w:w="0" w:type="dxa"/>
            </w:tcMar>
            <w:vAlign w:val="center"/>
          </w:tcPr>
          <w:p>
            <w:pPr>
              <w:pStyle w:val="TableContents"/>
              <w:spacing w:before="0" w:after="283"/>
              <w:jc w:val="left"/>
              <w:rPr/>
            </w:pPr>
            <w:r>
              <w:rPr/>
              <w:t> </w:t>
            </w:r>
          </w:p>
        </w:tc>
        <w:tc>
          <w:tcPr>
            <w:tcW w:w="1121" w:type="dxa"/>
            <w:tcBorders/>
            <w:shd w:fill="auto" w:val="clear"/>
            <w:tcMar>
              <w:bottom w:w="0" w:type="dxa"/>
            </w:tcMar>
            <w:vAlign w:val="center"/>
          </w:tcPr>
          <w:p>
            <w:pPr>
              <w:pStyle w:val="TableContents"/>
              <w:spacing w:before="0" w:after="283"/>
              <w:jc w:val="right"/>
              <w:rPr/>
            </w:pPr>
            <w:r>
              <w:rPr/>
              <w:t> </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844"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5975" w:type="dxa"/>
            <w:tcBorders/>
            <w:shd w:fill="CCEEFF" w:val="clear"/>
            <w:tcMar>
              <w:bottom w:w="0" w:type="dxa"/>
            </w:tcMar>
            <w:vAlign w:val="center"/>
          </w:tcPr>
          <w:p>
            <w:pPr>
              <w:pStyle w:val="TableContents"/>
              <w:spacing w:before="0" w:after="283"/>
              <w:rPr/>
            </w:pPr>
            <w:r>
              <w:rPr/>
              <w:t>Options vested and exercisable as of December 31, 2021</w:t>
            </w:r>
          </w:p>
        </w:tc>
        <w:tc>
          <w:tcPr>
            <w:tcW w:w="60" w:type="dxa"/>
            <w:tcBorders/>
            <w:shd w:fill="CCEEFF" w:val="clear"/>
            <w:tcMar>
              <w:bottom w:w="0" w:type="dxa"/>
            </w:tcMar>
            <w:vAlign w:val="center"/>
          </w:tcPr>
          <w:p>
            <w:pPr>
              <w:pStyle w:val="TableContents"/>
              <w:spacing w:before="0" w:after="283"/>
              <w:rPr/>
            </w:pPr>
            <w:r>
              <w:rPr/>
              <w:t> </w:t>
            </w:r>
          </w:p>
        </w:tc>
        <w:tc>
          <w:tcPr>
            <w:tcW w:w="68" w:type="dxa"/>
            <w:tcBorders>
              <w:bottom w:val="double" w:sz="10" w:space="0" w:color="000000"/>
            </w:tcBorders>
            <w:shd w:fill="CCEEFF" w:val="clear"/>
            <w:vAlign w:val="center"/>
          </w:tcPr>
          <w:p>
            <w:pPr>
              <w:pStyle w:val="TableContents"/>
              <w:spacing w:before="0" w:after="283"/>
              <w:jc w:val="left"/>
              <w:rPr/>
            </w:pPr>
            <w:r>
              <w:rPr/>
              <w:t> </w:t>
            </w:r>
          </w:p>
        </w:tc>
        <w:tc>
          <w:tcPr>
            <w:tcW w:w="1121" w:type="dxa"/>
            <w:tcBorders>
              <w:bottom w:val="double" w:sz="10" w:space="0" w:color="000000"/>
            </w:tcBorders>
            <w:shd w:fill="CCEEFF" w:val="clear"/>
            <w:vAlign w:val="center"/>
          </w:tcPr>
          <w:p>
            <w:pPr>
              <w:pStyle w:val="TableContents"/>
              <w:spacing w:before="0" w:after="283"/>
              <w:jc w:val="right"/>
              <w:rPr/>
            </w:pPr>
            <w:r>
              <w:rPr/>
              <w:t>1,841,558</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1" w:type="dxa"/>
            <w:tcBorders/>
            <w:shd w:fill="CCEEFF" w:val="clear"/>
            <w:tcMar>
              <w:bottom w:w="0" w:type="dxa"/>
            </w:tcMar>
            <w:vAlign w:val="center"/>
          </w:tcPr>
          <w:p>
            <w:pPr>
              <w:pStyle w:val="TableContents"/>
              <w:spacing w:before="0" w:after="283"/>
              <w:jc w:val="left"/>
              <w:rPr/>
            </w:pPr>
            <w:r>
              <w:rPr/>
              <w:t>$</w:t>
            </w:r>
          </w:p>
        </w:tc>
        <w:tc>
          <w:tcPr>
            <w:tcW w:w="844" w:type="dxa"/>
            <w:tcBorders/>
            <w:shd w:fill="CCEEFF" w:val="clear"/>
            <w:tcMar>
              <w:bottom w:w="0" w:type="dxa"/>
            </w:tcMar>
            <w:vAlign w:val="center"/>
          </w:tcPr>
          <w:p>
            <w:pPr>
              <w:pStyle w:val="TableContents"/>
              <w:spacing w:before="0" w:after="283"/>
              <w:jc w:val="right"/>
              <w:rPr/>
            </w:pPr>
            <w:r>
              <w:rPr/>
              <w:t>5.20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2" w:type="dxa"/>
            <w:tcBorders/>
            <w:shd w:fill="CCEEFF" w:val="clear"/>
            <w:tcMar>
              <w:bottom w:w="0" w:type="dxa"/>
            </w:tcMar>
            <w:vAlign w:val="center"/>
          </w:tcPr>
          <w:p>
            <w:pPr>
              <w:pStyle w:val="TableContents"/>
              <w:spacing w:before="0" w:after="283"/>
              <w:jc w:val="left"/>
              <w:rPr/>
            </w:pPr>
            <w:r>
              <w:rPr/>
              <w:t> </w:t>
            </w:r>
          </w:p>
        </w:tc>
        <w:tc>
          <w:tcPr>
            <w:tcW w:w="937"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5975" w:type="dxa"/>
            <w:tcBorders/>
            <w:shd w:fill="auto" w:val="clear"/>
            <w:tcMar>
              <w:bottom w:w="0" w:type="dxa"/>
            </w:tcMar>
            <w:vAlign w:val="center"/>
          </w:tcPr>
          <w:p>
            <w:pPr>
              <w:pStyle w:val="TableContents"/>
              <w:spacing w:before="0" w:after="283"/>
              <w:jc w:val="left"/>
              <w:rPr/>
            </w:pPr>
            <w:r>
              <w:rPr/>
              <w:t>Options vested and expected to vest as of December 31, 2021</w:t>
            </w:r>
          </w:p>
        </w:tc>
        <w:tc>
          <w:tcPr>
            <w:tcW w:w="60" w:type="dxa"/>
            <w:tcBorders/>
            <w:shd w:fill="auto" w:val="clear"/>
            <w:tcMar>
              <w:bottom w:w="0" w:type="dxa"/>
            </w:tcMar>
            <w:vAlign w:val="center"/>
          </w:tcPr>
          <w:p>
            <w:pPr>
              <w:pStyle w:val="TableContents"/>
              <w:spacing w:before="0" w:after="283"/>
              <w:rPr/>
            </w:pPr>
            <w:r>
              <w:rPr/>
              <w:t> </w:t>
            </w:r>
          </w:p>
        </w:tc>
        <w:tc>
          <w:tcPr>
            <w:tcW w:w="68" w:type="dxa"/>
            <w:tcBorders>
              <w:bottom w:val="double" w:sz="10" w:space="0" w:color="000000"/>
            </w:tcBorders>
            <w:shd w:fill="auto" w:val="clear"/>
            <w:vAlign w:val="center"/>
          </w:tcPr>
          <w:p>
            <w:pPr>
              <w:pStyle w:val="TableContents"/>
              <w:spacing w:before="0" w:after="283"/>
              <w:jc w:val="left"/>
              <w:rPr/>
            </w:pPr>
            <w:r>
              <w:rPr/>
              <w:t> </w:t>
            </w:r>
          </w:p>
        </w:tc>
        <w:tc>
          <w:tcPr>
            <w:tcW w:w="1121" w:type="dxa"/>
            <w:tcBorders>
              <w:bottom w:val="double" w:sz="10" w:space="0" w:color="000000"/>
            </w:tcBorders>
            <w:shd w:fill="auto" w:val="clear"/>
            <w:vAlign w:val="center"/>
          </w:tcPr>
          <w:p>
            <w:pPr>
              <w:pStyle w:val="TableContents"/>
              <w:spacing w:before="0" w:after="283"/>
              <w:jc w:val="right"/>
              <w:rPr/>
            </w:pPr>
            <w:r>
              <w:rPr/>
              <w:t>3,340,131</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w:t>
            </w:r>
          </w:p>
        </w:tc>
        <w:tc>
          <w:tcPr>
            <w:tcW w:w="844" w:type="dxa"/>
            <w:tcBorders/>
            <w:shd w:fill="auto" w:val="clear"/>
            <w:tcMar>
              <w:bottom w:w="0" w:type="dxa"/>
            </w:tcMar>
            <w:vAlign w:val="center"/>
          </w:tcPr>
          <w:p>
            <w:pPr>
              <w:pStyle w:val="TableContents"/>
              <w:spacing w:before="0" w:after="283"/>
              <w:jc w:val="right"/>
              <w:rPr/>
            </w:pPr>
            <w:r>
              <w:rPr/>
              <w:t>7.04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92" w:type="dxa"/>
            <w:tcBorders/>
            <w:shd w:fill="auto" w:val="clear"/>
            <w:tcMar>
              <w:bottom w:w="0" w:type="dxa"/>
            </w:tcMar>
            <w:vAlign w:val="center"/>
          </w:tcPr>
          <w:p>
            <w:pPr>
              <w:pStyle w:val="TableContents"/>
              <w:spacing w:before="0" w:after="283"/>
              <w:jc w:val="left"/>
              <w:rPr/>
            </w:pPr>
            <w:r>
              <w:rPr/>
              <w:t> </w:t>
            </w:r>
          </w:p>
        </w:tc>
        <w:tc>
          <w:tcPr>
            <w:tcW w:w="937"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exercisable at December 31, 2021:</w:t>
      </w:r>
    </w:p>
    <w:p>
      <w:pPr>
        <w:pStyle w:val="TextBody"/>
        <w:spacing w:before="0" w:after="0"/>
        <w:ind w:left="0" w:right="0" w:firstLine="360"/>
        <w:rPr>
          <w:caps w:val="false"/>
          <w:smallCaps w:val="false"/>
        </w:rPr>
      </w:pPr>
      <w:r>
        <w:rPr>
          <w:caps w:val="false"/>
          <w:smallCaps w:val="false"/>
        </w:rPr>
        <w:t> </w:t>
      </w:r>
    </w:p>
    <w:tbl>
      <w:tblPr>
        <w:tblW w:w="6407" w:type="dxa"/>
        <w:jc w:val="left"/>
        <w:tblInd w:w="0" w:type="dxa"/>
        <w:tblCellMar>
          <w:top w:w="0" w:type="dxa"/>
          <w:left w:w="0" w:type="dxa"/>
          <w:bottom w:w="0" w:type="dxa"/>
          <w:right w:w="0" w:type="dxa"/>
        </w:tblCellMar>
      </w:tblPr>
      <w:tblGrid>
        <w:gridCol w:w="140"/>
        <w:gridCol w:w="1115"/>
        <w:gridCol w:w="60"/>
        <w:gridCol w:w="60"/>
        <w:gridCol w:w="78"/>
        <w:gridCol w:w="914"/>
        <w:gridCol w:w="78"/>
        <w:gridCol w:w="78"/>
        <w:gridCol w:w="279"/>
        <w:gridCol w:w="1780"/>
        <w:gridCol w:w="78"/>
        <w:gridCol w:w="78"/>
        <w:gridCol w:w="326"/>
        <w:gridCol w:w="1268"/>
        <w:gridCol w:w="75"/>
      </w:tblGrid>
      <w:tr>
        <w:trPr/>
        <w:tc>
          <w:tcPr>
            <w:tcW w:w="12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57"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Options Vested and Exercisable</w:t>
            </w:r>
          </w:p>
        </w:tc>
        <w:tc>
          <w:tcPr>
            <w:tcW w:w="75" w:type="dxa"/>
            <w:tcBorders/>
            <w:shd w:fill="auto" w:val="clear"/>
            <w:vAlign w:val="center"/>
          </w:tcPr>
          <w:p>
            <w:pPr>
              <w:pStyle w:val="TableContents"/>
              <w:spacing w:before="0" w:after="283"/>
              <w:rPr/>
            </w:pPr>
            <w:r>
              <w:rPr/>
              <w:t> </w:t>
            </w:r>
          </w:p>
        </w:tc>
      </w:tr>
      <w:tr>
        <w:trPr/>
        <w:tc>
          <w:tcPr>
            <w:tcW w:w="1255" w:type="dxa"/>
            <w:gridSpan w:val="2"/>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Price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Options</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Weighted Average </w:t>
              <w:br/>
              <w:t xml:space="preserve">Remaining Contractual </w:t>
              <w:br/>
              <w:t>Life (Years)</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shd w:fill="auto" w:val="clear"/>
            <w:vAlign w:val="center"/>
          </w:tcPr>
          <w:p>
            <w:pPr>
              <w:pStyle w:val="TableContents"/>
              <w:spacing w:before="0" w:after="283"/>
              <w:rPr/>
            </w:pPr>
            <w:r>
              <w:rPr/>
              <w:t> </w:t>
            </w:r>
          </w:p>
        </w:tc>
      </w:tr>
      <w:tr>
        <w:trPr/>
        <w:tc>
          <w:tcPr>
            <w:tcW w:w="14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91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790,497</w:t>
            </w:r>
          </w:p>
        </w:tc>
        <w:tc>
          <w:tcPr>
            <w:tcW w:w="78"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8.39</w:t>
            </w:r>
          </w:p>
        </w:tc>
        <w:tc>
          <w:tcPr>
            <w:tcW w:w="78"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w:t>
            </w:r>
          </w:p>
        </w:tc>
        <w:tc>
          <w:tcPr>
            <w:tcW w:w="75" w:type="dxa"/>
            <w:tcBorders/>
            <w:shd w:fill="CCEEFF" w:val="clear"/>
            <w:vAlign w:val="center"/>
          </w:tcPr>
          <w:p>
            <w:pPr>
              <w:pStyle w:val="TableContents"/>
              <w:spacing w:before="0" w:after="283"/>
              <w:rPr/>
            </w:pPr>
            <w:r>
              <w:rPr/>
              <w:t> </w:t>
            </w:r>
          </w:p>
        </w:tc>
      </w:tr>
      <w:tr>
        <w:trPr/>
        <w:tc>
          <w:tcPr>
            <w:tcW w:w="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11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914"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755,402</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78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8.81</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268"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4.86</w:t>
            </w:r>
          </w:p>
        </w:tc>
        <w:tc>
          <w:tcPr>
            <w:tcW w:w="75" w:type="dxa"/>
            <w:tcBorders/>
            <w:shd w:fill="auto" w:val="clear"/>
            <w:vAlign w:val="center"/>
          </w:tcPr>
          <w:p>
            <w:pPr>
              <w:pStyle w:val="TableContents"/>
              <w:spacing w:before="0" w:after="283"/>
              <w:rPr/>
            </w:pPr>
            <w:r>
              <w:rPr/>
              <w:t> </w:t>
            </w:r>
          </w:p>
        </w:tc>
      </w:tr>
      <w:tr>
        <w:trPr/>
        <w:tc>
          <w:tcPr>
            <w:tcW w:w="14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13.84-$14.49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91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295,659</w:t>
            </w:r>
          </w:p>
        </w:tc>
        <w:tc>
          <w:tcPr>
            <w:tcW w:w="78"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9.14</w:t>
            </w:r>
          </w:p>
        </w:tc>
        <w:tc>
          <w:tcPr>
            <w:tcW w:w="78"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13.86</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expected to vest after December 31, 2021:</w:t>
      </w:r>
    </w:p>
    <w:p>
      <w:pPr>
        <w:pStyle w:val="TextBody"/>
        <w:spacing w:before="0" w:after="0"/>
        <w:ind w:left="0" w:right="0" w:firstLine="360"/>
        <w:rPr>
          <w:caps w:val="false"/>
          <w:smallCaps w:val="false"/>
        </w:rPr>
      </w:pPr>
      <w:r>
        <w:rPr>
          <w:caps w:val="false"/>
          <w:smallCaps w:val="false"/>
        </w:rPr>
        <w:t> </w:t>
      </w:r>
    </w:p>
    <w:tbl>
      <w:tblPr>
        <w:tblW w:w="6585" w:type="dxa"/>
        <w:jc w:val="left"/>
        <w:tblInd w:w="0" w:type="dxa"/>
        <w:tblCellMar>
          <w:top w:w="0" w:type="dxa"/>
          <w:left w:w="0" w:type="dxa"/>
          <w:bottom w:w="0" w:type="dxa"/>
          <w:right w:w="0" w:type="dxa"/>
        </w:tblCellMar>
      </w:tblPr>
      <w:tblGrid>
        <w:gridCol w:w="140"/>
        <w:gridCol w:w="1115"/>
        <w:gridCol w:w="60"/>
        <w:gridCol w:w="60"/>
        <w:gridCol w:w="80"/>
        <w:gridCol w:w="1127"/>
        <w:gridCol w:w="80"/>
        <w:gridCol w:w="80"/>
        <w:gridCol w:w="273"/>
        <w:gridCol w:w="1741"/>
        <w:gridCol w:w="80"/>
        <w:gridCol w:w="80"/>
        <w:gridCol w:w="326"/>
        <w:gridCol w:w="1268"/>
        <w:gridCol w:w="75"/>
      </w:tblGrid>
      <w:tr>
        <w:trPr/>
        <w:tc>
          <w:tcPr>
            <w:tcW w:w="12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35" w:type="dxa"/>
            <w:gridSpan w:val="10"/>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Options Vested to Expected to Vest</w:t>
            </w:r>
          </w:p>
        </w:tc>
        <w:tc>
          <w:tcPr>
            <w:tcW w:w="75" w:type="dxa"/>
            <w:tcBorders/>
            <w:shd w:fill="auto" w:val="clear"/>
            <w:vAlign w:val="center"/>
          </w:tcPr>
          <w:p>
            <w:pPr>
              <w:pStyle w:val="TableContents"/>
              <w:spacing w:before="0" w:after="283"/>
              <w:rPr/>
            </w:pPr>
            <w:r>
              <w:rPr/>
              <w:t> </w:t>
            </w:r>
          </w:p>
        </w:tc>
      </w:tr>
      <w:tr>
        <w:trPr/>
        <w:tc>
          <w:tcPr>
            <w:tcW w:w="1255" w:type="dxa"/>
            <w:gridSpan w:val="2"/>
            <w:tcBorders>
              <w:bottom w:val="single" w:sz="12" w:space="0" w:color="000000"/>
            </w:tcBorders>
            <w:shd w:fill="auto" w:val="clear"/>
            <w:tcMar>
              <w:bottom w:w="28" w:type="dxa"/>
            </w:tcMar>
            <w:vAlign w:val="center"/>
          </w:tcPr>
          <w:p>
            <w:pPr>
              <w:pStyle w:val="TableContents"/>
              <w:spacing w:before="0" w:after="283"/>
              <w:rPr>
                <w:b/>
                <w:sz w:val="20"/>
              </w:rPr>
            </w:pPr>
            <w:r>
              <w:rPr>
                <w:b/>
                <w:sz w:val="20"/>
              </w:rPr>
              <w:t>Price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7" w:type="dxa"/>
            <w:gridSpan w:val="2"/>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 xml:space="preserve">Number of </w:t>
              <w:br/>
              <w:t>Options</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4"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Remaining Contractual</w:t>
              <w:br/>
              <w:t>Life (Years)</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shd w:fill="auto" w:val="clear"/>
            <w:vAlign w:val="center"/>
          </w:tcPr>
          <w:p>
            <w:pPr>
              <w:pStyle w:val="TableContents"/>
              <w:spacing w:before="0" w:after="283"/>
              <w:rPr/>
            </w:pPr>
            <w:r>
              <w:rPr/>
              <w:t> </w:t>
            </w:r>
          </w:p>
        </w:tc>
      </w:tr>
      <w:tr>
        <w:trPr/>
        <w:tc>
          <w:tcPr>
            <w:tcW w:w="140" w:type="dxa"/>
            <w:tcBorders/>
            <w:shd w:fill="CCEEFF" w:val="clear"/>
            <w:vAlign w:val="center"/>
          </w:tcPr>
          <w:p>
            <w:pPr>
              <w:pStyle w:val="TableContents"/>
              <w:spacing w:before="0" w:after="283"/>
              <w:rPr>
                <w:sz w:val="20"/>
              </w:rPr>
            </w:pPr>
            <w:r>
              <w:rPr>
                <w:sz w:val="20"/>
              </w:rPr>
              <w:t>$</w:t>
            </w:r>
          </w:p>
        </w:tc>
        <w:tc>
          <w:tcPr>
            <w:tcW w:w="1115" w:type="dxa"/>
            <w:tcBorders/>
            <w:shd w:fill="CCEEFF" w:val="clear"/>
            <w:vAlign w:val="center"/>
          </w:tcPr>
          <w:p>
            <w:pPr>
              <w:pStyle w:val="TableContents"/>
              <w:spacing w:before="0" w:after="283"/>
              <w:jc w:val="right"/>
              <w:rPr>
                <w:sz w:val="20"/>
              </w:rPr>
            </w:pPr>
            <w:r>
              <w:rPr>
                <w:sz w:val="20"/>
              </w:rPr>
              <w:t>2.28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sz w:val="20"/>
              </w:rPr>
            </w:pPr>
            <w:r>
              <w:rPr>
                <w:sz w:val="20"/>
              </w:rPr>
              <w:t>1,023,122</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rPr/>
            </w:pPr>
            <w:r>
              <w:rPr/>
              <w:t> </w:t>
            </w:r>
          </w:p>
        </w:tc>
        <w:tc>
          <w:tcPr>
            <w:tcW w:w="1741" w:type="dxa"/>
            <w:tcBorders/>
            <w:shd w:fill="CCEEFF" w:val="clear"/>
            <w:vAlign w:val="center"/>
          </w:tcPr>
          <w:p>
            <w:pPr>
              <w:pStyle w:val="TableContents"/>
              <w:spacing w:before="0" w:after="283"/>
              <w:jc w:val="right"/>
              <w:rPr>
                <w:sz w:val="20"/>
              </w:rPr>
            </w:pPr>
            <w:r>
              <w:rPr>
                <w:sz w:val="20"/>
              </w:rPr>
              <w:t>8.39</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sz w:val="20"/>
              </w:rPr>
            </w:pPr>
            <w:r>
              <w:rPr>
                <w:sz w:val="20"/>
              </w:rPr>
              <w:t>$</w:t>
            </w:r>
          </w:p>
        </w:tc>
        <w:tc>
          <w:tcPr>
            <w:tcW w:w="1268" w:type="dxa"/>
            <w:tcBorders/>
            <w:shd w:fill="CCEEFF" w:val="clear"/>
            <w:vAlign w:val="center"/>
          </w:tcPr>
          <w:p>
            <w:pPr>
              <w:pStyle w:val="TableContents"/>
              <w:spacing w:before="0" w:after="283"/>
              <w:jc w:val="right"/>
              <w:rPr>
                <w:sz w:val="20"/>
              </w:rPr>
            </w:pPr>
            <w:r>
              <w:rPr>
                <w:sz w:val="20"/>
              </w:rPr>
              <w:t>2.28</w:t>
            </w:r>
          </w:p>
        </w:tc>
        <w:tc>
          <w:tcPr>
            <w:tcW w:w="75" w:type="dxa"/>
            <w:tcBorders/>
            <w:shd w:fill="CCEEFF" w:val="clear"/>
            <w:vAlign w:val="center"/>
          </w:tcPr>
          <w:p>
            <w:pPr>
              <w:pStyle w:val="TableContents"/>
              <w:spacing w:before="0" w:after="283"/>
              <w:rPr/>
            </w:pPr>
            <w:r>
              <w:rPr/>
              <w:t> </w:t>
            </w:r>
          </w:p>
        </w:tc>
      </w:tr>
      <w:tr>
        <w:trPr/>
        <w:tc>
          <w:tcPr>
            <w:tcW w:w="140" w:type="dxa"/>
            <w:tcBorders/>
            <w:shd w:fill="auto" w:val="clear"/>
            <w:vAlign w:val="center"/>
          </w:tcPr>
          <w:p>
            <w:pPr>
              <w:pStyle w:val="TableContents"/>
              <w:spacing w:before="0" w:after="283"/>
              <w:rPr>
                <w:sz w:val="20"/>
              </w:rPr>
            </w:pPr>
            <w:r>
              <w:rPr>
                <w:sz w:val="20"/>
              </w:rPr>
              <w:t>$</w:t>
            </w:r>
          </w:p>
        </w:tc>
        <w:tc>
          <w:tcPr>
            <w:tcW w:w="1115" w:type="dxa"/>
            <w:tcBorders/>
            <w:shd w:fill="auto" w:val="clear"/>
            <w:vAlign w:val="center"/>
          </w:tcPr>
          <w:p>
            <w:pPr>
              <w:pStyle w:val="TableContents"/>
              <w:spacing w:before="0" w:after="283"/>
              <w:jc w:val="right"/>
              <w:rPr>
                <w:sz w:val="20"/>
              </w:rPr>
            </w:pPr>
            <w:r>
              <w:rPr>
                <w:sz w:val="20"/>
              </w:rPr>
              <w:t>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sz w:val="20"/>
              </w:rPr>
            </w:pPr>
            <w:r>
              <w:rPr>
                <w:sz w:val="20"/>
              </w:rPr>
              <w:t>1,084,119</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right"/>
              <w:rPr>
                <w:sz w:val="20"/>
              </w:rPr>
            </w:pPr>
            <w:r>
              <w:rPr>
                <w:sz w:val="20"/>
              </w:rPr>
              <w:t>8.82</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sz w:val="20"/>
              </w:rPr>
            </w:pPr>
            <w:r>
              <w:rPr>
                <w:sz w:val="20"/>
              </w:rPr>
              <w:t>$</w:t>
            </w:r>
          </w:p>
        </w:tc>
        <w:tc>
          <w:tcPr>
            <w:tcW w:w="1268" w:type="dxa"/>
            <w:tcBorders/>
            <w:shd w:fill="auto" w:val="clear"/>
            <w:vAlign w:val="center"/>
          </w:tcPr>
          <w:p>
            <w:pPr>
              <w:pStyle w:val="TableContents"/>
              <w:spacing w:before="0" w:after="283"/>
              <w:jc w:val="right"/>
              <w:rPr>
                <w:sz w:val="20"/>
              </w:rPr>
            </w:pPr>
            <w:r>
              <w:rPr>
                <w:sz w:val="20"/>
              </w:rPr>
              <w:t>4.86</w:t>
            </w:r>
          </w:p>
        </w:tc>
        <w:tc>
          <w:tcPr>
            <w:tcW w:w="75" w:type="dxa"/>
            <w:tcBorders/>
            <w:shd w:fill="auto" w:val="clear"/>
            <w:vAlign w:val="center"/>
          </w:tcPr>
          <w:p>
            <w:pPr>
              <w:pStyle w:val="TableContents"/>
              <w:spacing w:before="0" w:after="283"/>
              <w:rPr/>
            </w:pPr>
            <w:r>
              <w:rPr/>
              <w:t> </w:t>
            </w:r>
          </w:p>
        </w:tc>
      </w:tr>
      <w:tr>
        <w:trPr/>
        <w:tc>
          <w:tcPr>
            <w:tcW w:w="140" w:type="dxa"/>
            <w:tcBorders/>
            <w:shd w:fill="CCEEFF" w:val="clear"/>
            <w:vAlign w:val="center"/>
          </w:tcPr>
          <w:p>
            <w:pPr>
              <w:pStyle w:val="TableContents"/>
              <w:spacing w:before="0" w:after="283"/>
              <w:rPr>
                <w:sz w:val="20"/>
              </w:rPr>
            </w:pPr>
            <w:r>
              <w:rPr>
                <w:sz w:val="20"/>
              </w:rPr>
              <w:t>$</w:t>
            </w:r>
          </w:p>
        </w:tc>
        <w:tc>
          <w:tcPr>
            <w:tcW w:w="1115" w:type="dxa"/>
            <w:tcBorders/>
            <w:shd w:fill="CCEEFF" w:val="clear"/>
            <w:vAlign w:val="center"/>
          </w:tcPr>
          <w:p>
            <w:pPr>
              <w:pStyle w:val="TableContents"/>
              <w:spacing w:before="0" w:after="283"/>
              <w:jc w:val="right"/>
              <w:rPr>
                <w:sz w:val="20"/>
              </w:rPr>
            </w:pPr>
            <w:r>
              <w:rPr>
                <w:sz w:val="20"/>
              </w:rPr>
              <w:t>7.68-$9.20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sz w:val="20"/>
              </w:rPr>
            </w:pPr>
            <w:r>
              <w:rPr>
                <w:sz w:val="20"/>
              </w:rPr>
              <w:t>234,070</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rPr/>
            </w:pPr>
            <w:r>
              <w:rPr/>
              <w:t> </w:t>
            </w:r>
          </w:p>
        </w:tc>
        <w:tc>
          <w:tcPr>
            <w:tcW w:w="1741" w:type="dxa"/>
            <w:tcBorders/>
            <w:shd w:fill="CCEEFF" w:val="clear"/>
            <w:vAlign w:val="center"/>
          </w:tcPr>
          <w:p>
            <w:pPr>
              <w:pStyle w:val="TableContents"/>
              <w:spacing w:before="0" w:after="283"/>
              <w:jc w:val="right"/>
              <w:rPr>
                <w:sz w:val="20"/>
              </w:rPr>
            </w:pPr>
            <w:r>
              <w:rPr>
                <w:sz w:val="20"/>
              </w:rPr>
              <w:t>9.35</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326" w:type="dxa"/>
            <w:tcBorders/>
            <w:shd w:fill="CCEEFF" w:val="clear"/>
            <w:vAlign w:val="center"/>
          </w:tcPr>
          <w:p>
            <w:pPr>
              <w:pStyle w:val="TableContents"/>
              <w:spacing w:before="0" w:after="283"/>
              <w:rPr>
                <w:sz w:val="20"/>
              </w:rPr>
            </w:pPr>
            <w:r>
              <w:rPr>
                <w:sz w:val="20"/>
              </w:rPr>
              <w:t>$</w:t>
            </w:r>
          </w:p>
        </w:tc>
        <w:tc>
          <w:tcPr>
            <w:tcW w:w="1268" w:type="dxa"/>
            <w:tcBorders/>
            <w:shd w:fill="CCEEFF" w:val="clear"/>
            <w:vAlign w:val="center"/>
          </w:tcPr>
          <w:p>
            <w:pPr>
              <w:pStyle w:val="TableContents"/>
              <w:spacing w:before="0" w:after="283"/>
              <w:jc w:val="right"/>
              <w:rPr>
                <w:sz w:val="20"/>
              </w:rPr>
            </w:pPr>
            <w:r>
              <w:rPr>
                <w:sz w:val="20"/>
              </w:rPr>
              <w:t>7.96</w:t>
            </w:r>
          </w:p>
        </w:tc>
        <w:tc>
          <w:tcPr>
            <w:tcW w:w="75" w:type="dxa"/>
            <w:tcBorders/>
            <w:shd w:fill="CCEEFF" w:val="clear"/>
            <w:vAlign w:val="center"/>
          </w:tcPr>
          <w:p>
            <w:pPr>
              <w:pStyle w:val="TableContents"/>
              <w:spacing w:before="0" w:after="283"/>
              <w:rPr/>
            </w:pPr>
            <w:r>
              <w:rPr/>
              <w:t> </w:t>
            </w:r>
          </w:p>
        </w:tc>
      </w:tr>
      <w:tr>
        <w:trPr/>
        <w:tc>
          <w:tcPr>
            <w:tcW w:w="140" w:type="dxa"/>
            <w:tcBorders/>
            <w:shd w:fill="auto" w:val="clear"/>
            <w:vAlign w:val="center"/>
          </w:tcPr>
          <w:p>
            <w:pPr>
              <w:pStyle w:val="TableContents"/>
              <w:spacing w:before="0" w:after="283"/>
              <w:rPr>
                <w:sz w:val="20"/>
              </w:rPr>
            </w:pPr>
            <w:r>
              <w:rPr>
                <w:sz w:val="20"/>
              </w:rPr>
              <w:t>$</w:t>
            </w:r>
          </w:p>
        </w:tc>
        <w:tc>
          <w:tcPr>
            <w:tcW w:w="1115" w:type="dxa"/>
            <w:tcBorders/>
            <w:shd w:fill="auto" w:val="clear"/>
            <w:vAlign w:val="center"/>
          </w:tcPr>
          <w:p>
            <w:pPr>
              <w:pStyle w:val="TableContents"/>
              <w:spacing w:before="0" w:after="283"/>
              <w:jc w:val="right"/>
              <w:rPr>
                <w:sz w:val="20"/>
              </w:rPr>
            </w:pPr>
            <w:r>
              <w:rPr>
                <w:sz w:val="20"/>
              </w:rPr>
              <w:t>13.84-$18.61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sz w:val="20"/>
              </w:rPr>
            </w:pPr>
            <w:r>
              <w:rPr>
                <w:sz w:val="20"/>
              </w:rPr>
              <w:t>998,820</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right"/>
              <w:rPr>
                <w:sz w:val="20"/>
              </w:rPr>
            </w:pPr>
            <w:r>
              <w:rPr>
                <w:sz w:val="20"/>
              </w:rPr>
              <w:t>9.16</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sz w:val="20"/>
              </w:rPr>
            </w:pPr>
            <w:r>
              <w:rPr>
                <w:sz w:val="20"/>
              </w:rPr>
              <w:t>$</w:t>
            </w:r>
          </w:p>
        </w:tc>
        <w:tc>
          <w:tcPr>
            <w:tcW w:w="1268" w:type="dxa"/>
            <w:tcBorders/>
            <w:shd w:fill="auto" w:val="clear"/>
            <w:vAlign w:val="center"/>
          </w:tcPr>
          <w:p>
            <w:pPr>
              <w:pStyle w:val="TableContents"/>
              <w:spacing w:before="0" w:after="283"/>
              <w:jc w:val="right"/>
              <w:rPr>
                <w:sz w:val="20"/>
              </w:rPr>
            </w:pPr>
            <w:r>
              <w:rPr>
                <w:sz w:val="20"/>
              </w:rPr>
              <w:t>14.05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Warrants</w:t>
      </w:r>
    </w:p>
    <w:p>
      <w:pPr>
        <w:pStyle w:val="TextBody"/>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warrants to purchase 271,844 shares of common stock were outstanding. The following table presents the Company’s warrant activity for the years ended December 31, 2021 and 2020: </w:t>
      </w:r>
    </w:p>
    <w:p>
      <w:pPr>
        <w:pStyle w:val="TextBody"/>
        <w:spacing w:before="0" w:after="0"/>
        <w:ind w:left="0" w:right="0" w:firstLine="360"/>
        <w:rPr>
          <w:caps w:val="false"/>
          <w:smallCaps w:val="false"/>
        </w:rPr>
      </w:pPr>
      <w:r>
        <w:rPr>
          <w:caps w:val="false"/>
          <w:smallCaps w:val="false"/>
        </w:rPr>
        <w:t> </w:t>
      </w:r>
    </w:p>
    <w:tbl>
      <w:tblPr>
        <w:tblW w:w="6814" w:type="dxa"/>
        <w:jc w:val="left"/>
        <w:tblInd w:w="0" w:type="dxa"/>
        <w:tblCellMar>
          <w:top w:w="0" w:type="dxa"/>
          <w:left w:w="0" w:type="dxa"/>
          <w:bottom w:w="0" w:type="dxa"/>
          <w:right w:w="0" w:type="dxa"/>
        </w:tblCellMar>
      </w:tblPr>
      <w:tblGrid>
        <w:gridCol w:w="4205"/>
        <w:gridCol w:w="60"/>
        <w:gridCol w:w="81"/>
        <w:gridCol w:w="1184"/>
        <w:gridCol w:w="95"/>
        <w:gridCol w:w="60"/>
        <w:gridCol w:w="254"/>
        <w:gridCol w:w="800"/>
        <w:gridCol w:w="75"/>
      </w:tblGrid>
      <w:tr>
        <w:trPr/>
        <w:tc>
          <w:tcPr>
            <w:tcW w:w="42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Number </w:t>
              <w:br/>
              <w:t>of Warrants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Weighted </w:t>
              <w:br/>
              <w:t xml:space="preserve">Average </w:t>
              <w:br/>
              <w:t xml:space="preserve">Exercise </w:t>
              <w:br/>
              <w:t>Price</w:t>
            </w:r>
          </w:p>
        </w:tc>
        <w:tc>
          <w:tcPr>
            <w:tcW w:w="75"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283"/>
              <w:rPr/>
            </w:pPr>
            <w:r>
              <w:rPr/>
              <w:t>Warrants outstanding at December 31, 2019</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jc w:val="left"/>
              <w:rPr/>
            </w:pPr>
            <w:r>
              <w:rPr/>
              <w:t> </w:t>
            </w:r>
          </w:p>
        </w:tc>
        <w:tc>
          <w:tcPr>
            <w:tcW w:w="1184"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205" w:type="dxa"/>
            <w:tcBorders/>
            <w:shd w:fill="auto" w:val="clear"/>
            <w:vAlign w:val="center"/>
          </w:tcPr>
          <w:p>
            <w:pPr>
              <w:pStyle w:val="TableContents"/>
              <w:spacing w:before="0" w:after="283"/>
              <w:rPr/>
            </w:pPr>
            <w:r>
              <w:rPr/>
              <w:t>Granted</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jc w:val="left"/>
              <w:rPr/>
            </w:pPr>
            <w:r>
              <w:rPr/>
              <w:t> </w:t>
            </w:r>
          </w:p>
        </w:tc>
        <w:tc>
          <w:tcPr>
            <w:tcW w:w="1184" w:type="dxa"/>
            <w:tcBorders/>
            <w:shd w:fill="auto" w:val="clear"/>
            <w:vAlign w:val="center"/>
          </w:tcPr>
          <w:p>
            <w:pPr>
              <w:pStyle w:val="TableContents"/>
              <w:spacing w:before="0" w:after="283"/>
              <w:jc w:val="right"/>
              <w:rPr/>
            </w:pPr>
            <w:r>
              <w:rPr/>
              <w:t>828,171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0.02</w:t>
            </w:r>
          </w:p>
        </w:tc>
        <w:tc>
          <w:tcPr>
            <w:tcW w:w="75" w:type="dxa"/>
            <w:tcBorders/>
            <w:shd w:fill="auto" w:val="clear"/>
            <w:vAlign w:val="center"/>
          </w:tcPr>
          <w:p>
            <w:pPr>
              <w:pStyle w:val="TableContents"/>
              <w:spacing w:before="0" w:after="283"/>
              <w:jc w:val="left"/>
              <w:rPr/>
            </w:pPr>
            <w:r>
              <w:rPr/>
              <w:t> </w:t>
            </w:r>
          </w:p>
        </w:tc>
      </w:tr>
      <w:tr>
        <w:trPr/>
        <w:tc>
          <w:tcPr>
            <w:tcW w:w="4205" w:type="dxa"/>
            <w:tcBorders/>
            <w:shd w:fill="CCEEFF" w:val="clear"/>
            <w:vAlign w:val="center"/>
          </w:tcPr>
          <w:p>
            <w:pPr>
              <w:pStyle w:val="TableContents"/>
              <w:spacing w:before="0" w:after="283"/>
              <w:rPr/>
            </w:pPr>
            <w:r>
              <w:rPr/>
              <w:t>Exercised</w:t>
            </w:r>
          </w:p>
        </w:tc>
        <w:tc>
          <w:tcPr>
            <w:tcW w:w="60" w:type="dxa"/>
            <w:tcBorders/>
            <w:shd w:fill="CCEEFF" w:val="clear"/>
            <w:vAlign w:val="center"/>
          </w:tcPr>
          <w:p>
            <w:pPr>
              <w:pStyle w:val="TableContents"/>
              <w:spacing w:before="0" w:after="283"/>
              <w:rPr/>
            </w:pPr>
            <w:r>
              <w:rPr/>
              <w:t> </w:t>
            </w:r>
          </w:p>
        </w:tc>
        <w:tc>
          <w:tcPr>
            <w:tcW w:w="8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205" w:type="dxa"/>
            <w:tcBorders/>
            <w:shd w:fill="auto" w:val="clear"/>
            <w:vAlign w:val="center"/>
          </w:tcPr>
          <w:p>
            <w:pPr>
              <w:pStyle w:val="TableContents"/>
              <w:spacing w:before="0" w:after="283"/>
              <w:rPr/>
            </w:pPr>
            <w:r>
              <w:rPr/>
              <w:t>Warrants outstanding at December 31, 2020</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jc w:val="left"/>
              <w:rPr/>
            </w:pPr>
            <w:r>
              <w:rPr/>
              <w:t> </w:t>
            </w:r>
          </w:p>
        </w:tc>
        <w:tc>
          <w:tcPr>
            <w:tcW w:w="1184" w:type="dxa"/>
            <w:tcBorders/>
            <w:shd w:fill="auto" w:val="clear"/>
            <w:vAlign w:val="center"/>
          </w:tcPr>
          <w:p>
            <w:pPr>
              <w:pStyle w:val="TableContents"/>
              <w:spacing w:before="0" w:after="283"/>
              <w:jc w:val="right"/>
              <w:rPr/>
            </w:pPr>
            <w:r>
              <w:rPr/>
              <w:t>828,171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w:t>
            </w:r>
          </w:p>
        </w:tc>
        <w:tc>
          <w:tcPr>
            <w:tcW w:w="800" w:type="dxa"/>
            <w:tcBorders/>
            <w:shd w:fill="auto" w:val="clear"/>
            <w:vAlign w:val="center"/>
          </w:tcPr>
          <w:p>
            <w:pPr>
              <w:pStyle w:val="TableContents"/>
              <w:spacing w:before="0" w:after="283"/>
              <w:jc w:val="right"/>
              <w:rPr/>
            </w:pPr>
            <w:r>
              <w:rPr/>
              <w:t>0.02</w:t>
            </w:r>
          </w:p>
        </w:tc>
        <w:tc>
          <w:tcPr>
            <w:tcW w:w="75" w:type="dxa"/>
            <w:tcBorders/>
            <w:shd w:fill="auto" w:val="clear"/>
            <w:vAlign w:val="center"/>
          </w:tcPr>
          <w:p>
            <w:pPr>
              <w:pStyle w:val="TableContents"/>
              <w:spacing w:before="0" w:after="283"/>
              <w:jc w:val="left"/>
              <w:rPr/>
            </w:pPr>
            <w:r>
              <w:rPr/>
              <w:t> </w:t>
            </w:r>
          </w:p>
        </w:tc>
      </w:tr>
      <w:tr>
        <w:trPr/>
        <w:tc>
          <w:tcPr>
            <w:tcW w:w="4205" w:type="dxa"/>
            <w:tcBorders/>
            <w:shd w:fill="CCEEFF" w:val="clear"/>
            <w:vAlign w:val="center"/>
          </w:tcPr>
          <w:p>
            <w:pPr>
              <w:pStyle w:val="TableContents"/>
              <w:spacing w:before="0" w:after="283"/>
              <w:rPr/>
            </w:pPr>
            <w:r>
              <w:rPr/>
              <w:t>Granted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jc w:val="left"/>
              <w:rPr/>
            </w:pPr>
            <w:r>
              <w:rPr/>
              <w:t> </w:t>
            </w:r>
          </w:p>
        </w:tc>
        <w:tc>
          <w:tcPr>
            <w:tcW w:w="1184" w:type="dxa"/>
            <w:tcBorders/>
            <w:shd w:fill="CCEEFF" w:val="clear"/>
            <w:vAlign w:val="center"/>
          </w:tcPr>
          <w:p>
            <w:pPr>
              <w:pStyle w:val="TableContents"/>
              <w:spacing w:before="0" w:after="283"/>
              <w:jc w:val="right"/>
              <w:rPr/>
            </w:pPr>
            <w:r>
              <w:rPr/>
              <w:t>377,968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0.02</w:t>
            </w:r>
          </w:p>
        </w:tc>
        <w:tc>
          <w:tcPr>
            <w:tcW w:w="75" w:type="dxa"/>
            <w:tcBorders/>
            <w:shd w:fill="CCEEFF" w:val="clear"/>
            <w:vAlign w:val="center"/>
          </w:tcPr>
          <w:p>
            <w:pPr>
              <w:pStyle w:val="TableContents"/>
              <w:spacing w:before="0" w:after="283"/>
              <w:jc w:val="left"/>
              <w:rPr/>
            </w:pPr>
            <w:r>
              <w:rPr/>
              <w:t> </w:t>
            </w:r>
          </w:p>
        </w:tc>
      </w:tr>
      <w:tr>
        <w:trPr/>
        <w:tc>
          <w:tcPr>
            <w:tcW w:w="4205" w:type="dxa"/>
            <w:tcBorders/>
            <w:shd w:fill="auto" w:val="clear"/>
            <w:vAlign w:val="center"/>
          </w:tcPr>
          <w:p>
            <w:pPr>
              <w:pStyle w:val="TableContents"/>
              <w:spacing w:before="0" w:after="283"/>
              <w:rPr/>
            </w:pPr>
            <w:r>
              <w:rPr/>
              <w:t>Exercised</w:t>
            </w:r>
          </w:p>
        </w:tc>
        <w:tc>
          <w:tcPr>
            <w:tcW w:w="60" w:type="dxa"/>
            <w:tcBorders/>
            <w:shd w:fill="auto" w:val="clear"/>
            <w:vAlign w:val="center"/>
          </w:tcPr>
          <w:p>
            <w:pPr>
              <w:pStyle w:val="TableContents"/>
              <w:spacing w:before="0" w:after="283"/>
              <w:rPr/>
            </w:pPr>
            <w:r>
              <w:rPr/>
              <w:t> </w:t>
            </w:r>
          </w:p>
        </w:tc>
        <w:tc>
          <w:tcPr>
            <w:tcW w:w="8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4" w:type="dxa"/>
            <w:tcBorders>
              <w:bottom w:val="single" w:sz="12" w:space="0" w:color="000000"/>
            </w:tcBorders>
            <w:shd w:fill="auto" w:val="clear"/>
            <w:tcMar>
              <w:bottom w:w="28" w:type="dxa"/>
            </w:tcMar>
            <w:vAlign w:val="center"/>
          </w:tcPr>
          <w:p>
            <w:pPr>
              <w:pStyle w:val="TableContents"/>
              <w:spacing w:before="0" w:after="283"/>
              <w:jc w:val="right"/>
              <w:rPr/>
            </w:pPr>
            <w:r>
              <w:rPr/>
              <w:t>(934,295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0.02</w:t>
            </w:r>
          </w:p>
        </w:tc>
        <w:tc>
          <w:tcPr>
            <w:tcW w:w="75" w:type="dxa"/>
            <w:tcBorders/>
            <w:shd w:fill="auto" w:val="clear"/>
            <w:vAlign w:val="center"/>
          </w:tcPr>
          <w:p>
            <w:pPr>
              <w:pStyle w:val="TableContents"/>
              <w:spacing w:before="0" w:after="283"/>
              <w:jc w:val="left"/>
              <w:rPr/>
            </w:pPr>
            <w:r>
              <w:rPr/>
              <w:t> </w:t>
            </w:r>
          </w:p>
        </w:tc>
      </w:tr>
      <w:tr>
        <w:trPr/>
        <w:tc>
          <w:tcPr>
            <w:tcW w:w="4205" w:type="dxa"/>
            <w:tcBorders/>
            <w:shd w:fill="CCEEFF" w:val="clear"/>
            <w:vAlign w:val="center"/>
          </w:tcPr>
          <w:p>
            <w:pPr>
              <w:pStyle w:val="TableContents"/>
              <w:spacing w:before="0" w:after="283"/>
              <w:rPr/>
            </w:pPr>
            <w:r>
              <w:rPr/>
              <w:t>Warrants outstanding at December 31, 2021</w:t>
            </w:r>
          </w:p>
        </w:tc>
        <w:tc>
          <w:tcPr>
            <w:tcW w:w="60" w:type="dxa"/>
            <w:tcBorders/>
            <w:shd w:fill="CCEEFF" w:val="clear"/>
            <w:vAlign w:val="center"/>
          </w:tcPr>
          <w:p>
            <w:pPr>
              <w:pStyle w:val="TableContents"/>
              <w:spacing w:before="0" w:after="283"/>
              <w:rPr/>
            </w:pPr>
            <w:r>
              <w:rPr/>
              <w:t> </w:t>
            </w:r>
          </w:p>
        </w:tc>
        <w:tc>
          <w:tcPr>
            <w:tcW w:w="81"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84" w:type="dxa"/>
            <w:tcBorders>
              <w:bottom w:val="double" w:sz="10" w:space="0" w:color="000000"/>
            </w:tcBorders>
            <w:shd w:fill="CCEEFF" w:val="clear"/>
            <w:tcMar>
              <w:bottom w:w="28" w:type="dxa"/>
            </w:tcMar>
            <w:vAlign w:val="center"/>
          </w:tcPr>
          <w:p>
            <w:pPr>
              <w:pStyle w:val="TableContents"/>
              <w:spacing w:before="0" w:after="283"/>
              <w:jc w:val="right"/>
              <w:rPr/>
            </w:pPr>
            <w:r>
              <w:rPr/>
              <w:t>271,844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0.02</w:t>
            </w:r>
          </w:p>
        </w:tc>
        <w:tc>
          <w:tcPr>
            <w:tcW w:w="75" w:type="dxa"/>
            <w:tcBorders/>
            <w:shd w:fill="CCEEFF" w:val="cle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proceeds from the exercise of warrants of $8 thousand during the year ended December 31, 2021. No warrants were exercised during the year ended December 31, 2020.</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Subsequent to December 31, 2021, the Company completed a private placement of our common stock and entered into a securities purchase agreement. Both of these arrangements include warrant issuance provisions. On January 25, 2022, the Company issued a total of 4,586,389 warrants in connection with the private placement entered into with an institutional investor and other accredited investors. The warrant issuance included 1,570,644 pre-funded warrants, with an exercise price of $0.001, and 3,015,745 warrants with exercise prices ranging between $6.80 and $6.90. On March 23, 2022, the Company issued a total of 6,881,108 warrants in connection with its entrance into a securities purchase agreement with an accredited investor. The warrants issued have an exercise price of $6.75. Refer to Note 23 – Subsequent Events included elsewhere in the notes to the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Employee Benefit Plan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employee’s savings and retirement plan under Section 401(k) of the Internal Revenue Code (the “401k Plan”). All full-time U.S. employees become eligible to participate in the 401k Plan. The Company’s contribution to the 401k Plan is discretionary. During the years ended December 31, 2021 and 2020, the Company did not contribute to the 401k Plan.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Income Taxes</w:t>
      </w:r>
    </w:p>
    <w:p>
      <w:pPr>
        <w:pStyle w:val="TextBody"/>
        <w:spacing w:before="0" w:after="0"/>
        <w:ind w:left="360" w:right="0" w:hanging="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years ended December 31, 2021 or December 31, 2020, respectively.</w:t>
      </w:r>
    </w:p>
    <w:p>
      <w:pPr>
        <w:pStyle w:val="TextBody"/>
        <w:spacing w:before="0" w:after="0"/>
        <w:ind w:left="360" w:right="0" w:hanging="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 2021, the Company recorded a tax provision of approximately $25 thousand, comprised of its change in deferred tax liability during the year related to its indefinite lived intangible asset balance. The indefinite lived intangibles are not all available as a source of income and thus are not fully available to offset the Company’s deferred tax assets. As of December 31, 2021, the Company has federal and state net operating loss carryforwards of approximately $52.2 million and $28.9 million, respectively. The Company has not yet filed its federal and state tax returns for 2018, 2019, or 2020. The net operating loss carryforwards for United States income taxes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its net operating loss carryforward deferred tax assets to reduce the assets to zero. Management will review this valuation allowance periodically and make adjustments as necessary.</w:t>
      </w:r>
    </w:p>
    <w:p>
      <w:pPr>
        <w:pStyle w:val="TextBody"/>
        <w:spacing w:before="0" w:after="0"/>
        <w:ind w:left="360" w:right="0" w:hanging="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differences between the U.S. Federal statutory tax rate and the Company’s effective tax rate for financial statement purposes for the years ended December 31, 2021 and 2020:</w:t>
      </w:r>
    </w:p>
    <w:p>
      <w:pPr>
        <w:pStyle w:val="TextBody"/>
        <w:spacing w:before="0" w:after="0"/>
        <w:ind w:left="720" w:right="0" w:firstLine="360"/>
        <w:rPr>
          <w:caps w:val="false"/>
          <w:smallCaps w:val="false"/>
        </w:rPr>
      </w:pPr>
      <w:r>
        <w:rPr>
          <w:caps w:val="false"/>
          <w:smallCaps w:val="false"/>
        </w:rPr>
        <w:t> </w:t>
      </w:r>
    </w:p>
    <w:tbl>
      <w:tblPr>
        <w:tblW w:w="6535" w:type="dxa"/>
        <w:jc w:val="left"/>
        <w:tblInd w:w="0" w:type="dxa"/>
        <w:tblCellMar>
          <w:top w:w="0" w:type="dxa"/>
          <w:left w:w="0" w:type="dxa"/>
          <w:bottom w:w="0" w:type="dxa"/>
          <w:right w:w="0" w:type="dxa"/>
        </w:tblCellMar>
      </w:tblPr>
      <w:tblGrid>
        <w:gridCol w:w="4580"/>
        <w:gridCol w:w="60"/>
        <w:gridCol w:w="60"/>
        <w:gridCol w:w="560"/>
        <w:gridCol w:w="290"/>
        <w:gridCol w:w="60"/>
        <w:gridCol w:w="60"/>
        <w:gridCol w:w="560"/>
        <w:gridCol w:w="305"/>
      </w:tblGrid>
      <w:tr>
        <w:trPr/>
        <w:tc>
          <w:tcPr>
            <w:tcW w:w="45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895" w:type="dxa"/>
            <w:gridSpan w:val="7"/>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r>
      <w:tr>
        <w:trPr/>
        <w:tc>
          <w:tcPr>
            <w:tcW w:w="45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10" w:type="dxa"/>
            <w:gridSpan w:val="3"/>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925" w:type="dxa"/>
            <w:gridSpan w:val="3"/>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r>
      <w:tr>
        <w:trPr/>
        <w:tc>
          <w:tcPr>
            <w:tcW w:w="4580" w:type="dxa"/>
            <w:tcBorders/>
            <w:shd w:fill="CCEEFF" w:val="clear"/>
            <w:vAlign w:val="center"/>
          </w:tcPr>
          <w:p>
            <w:pPr>
              <w:pStyle w:val="TableContents"/>
              <w:spacing w:before="0" w:after="283"/>
              <w:jc w:val="left"/>
              <w:rPr/>
            </w:pPr>
            <w:r>
              <w:rPr/>
              <w:t>US Federal statutory tax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21.00</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21.00</w:t>
            </w:r>
          </w:p>
        </w:tc>
        <w:tc>
          <w:tcPr>
            <w:tcW w:w="305" w:type="dxa"/>
            <w:tcBorders/>
            <w:shd w:fill="CCEEFF" w:val="clear"/>
            <w:vAlign w:val="center"/>
          </w:tcPr>
          <w:p>
            <w:pPr>
              <w:pStyle w:val="TableContents"/>
              <w:spacing w:before="0" w:after="283"/>
              <w:jc w:val="left"/>
              <w:rPr/>
            </w:pPr>
            <w:r>
              <w:rPr/>
              <w:t>%</w:t>
            </w:r>
          </w:p>
        </w:tc>
      </w:tr>
      <w:tr>
        <w:trPr/>
        <w:tc>
          <w:tcPr>
            <w:tcW w:w="4580" w:type="dxa"/>
            <w:tcBorders/>
            <w:shd w:fill="auto" w:val="clear"/>
            <w:vAlign w:val="center"/>
          </w:tcPr>
          <w:p>
            <w:pPr>
              <w:pStyle w:val="TableContents"/>
              <w:spacing w:before="0" w:after="283"/>
              <w:jc w:val="left"/>
              <w:rPr/>
            </w:pPr>
            <w:r>
              <w:rPr/>
              <w:t>State taxes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3.8</w:t>
            </w:r>
          </w:p>
        </w:tc>
        <w:tc>
          <w:tcPr>
            <w:tcW w:w="29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3.0</w:t>
            </w:r>
          </w:p>
        </w:tc>
        <w:tc>
          <w:tcPr>
            <w:tcW w:w="305" w:type="dxa"/>
            <w:tcBorders/>
            <w:shd w:fill="auto" w:val="clear"/>
            <w:vAlign w:val="center"/>
          </w:tcPr>
          <w:p>
            <w:pPr>
              <w:pStyle w:val="TableContents"/>
              <w:spacing w:before="0" w:after="283"/>
              <w:jc w:val="left"/>
              <w:rPr/>
            </w:pPr>
            <w:r>
              <w:rPr/>
              <w:t>%</w:t>
            </w:r>
          </w:p>
        </w:tc>
      </w:tr>
      <w:tr>
        <w:trPr/>
        <w:tc>
          <w:tcPr>
            <w:tcW w:w="4580" w:type="dxa"/>
            <w:tcBorders/>
            <w:shd w:fill="CCEEFF" w:val="clear"/>
            <w:vAlign w:val="center"/>
          </w:tcPr>
          <w:p>
            <w:pPr>
              <w:pStyle w:val="TableContents"/>
              <w:spacing w:before="0" w:after="283"/>
              <w:jc w:val="left"/>
              <w:rPr/>
            </w:pPr>
            <w:r>
              <w:rPr/>
              <w:t>Permanent differences and other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0.1</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0.0</w:t>
            </w:r>
          </w:p>
        </w:tc>
        <w:tc>
          <w:tcPr>
            <w:tcW w:w="305" w:type="dxa"/>
            <w:tcBorders/>
            <w:shd w:fill="CCEEFF" w:val="clear"/>
            <w:vAlign w:val="center"/>
          </w:tcPr>
          <w:p>
            <w:pPr>
              <w:pStyle w:val="TableContents"/>
              <w:spacing w:before="0" w:after="283"/>
              <w:jc w:val="left"/>
              <w:rPr/>
            </w:pPr>
            <w:r>
              <w:rPr/>
              <w:t>%</w:t>
            </w:r>
          </w:p>
        </w:tc>
      </w:tr>
      <w:tr>
        <w:trPr/>
        <w:tc>
          <w:tcPr>
            <w:tcW w:w="4580" w:type="dxa"/>
            <w:tcBorders/>
            <w:shd w:fill="auto" w:val="clear"/>
            <w:vAlign w:val="center"/>
          </w:tcPr>
          <w:p>
            <w:pPr>
              <w:pStyle w:val="TableContents"/>
              <w:spacing w:before="0" w:after="283"/>
              <w:jc w:val="left"/>
              <w:rPr/>
            </w:pPr>
            <w:r>
              <w:rPr/>
              <w:t>Debt extinguishment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1.7</w:t>
            </w:r>
          </w:p>
        </w:tc>
        <w:tc>
          <w:tcPr>
            <w:tcW w:w="29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(5.5</w:t>
            </w:r>
          </w:p>
        </w:tc>
        <w:tc>
          <w:tcPr>
            <w:tcW w:w="305" w:type="dxa"/>
            <w:tcBorders/>
            <w:shd w:fill="auto" w:val="clear"/>
            <w:vAlign w:val="center"/>
          </w:tcPr>
          <w:p>
            <w:pPr>
              <w:pStyle w:val="TableContents"/>
              <w:spacing w:before="0" w:after="283"/>
              <w:jc w:val="left"/>
              <w:rPr/>
            </w:pPr>
            <w:r>
              <w:rPr/>
              <w:t>)%</w:t>
            </w:r>
          </w:p>
        </w:tc>
      </w:tr>
      <w:tr>
        <w:trPr/>
        <w:tc>
          <w:tcPr>
            <w:tcW w:w="4580" w:type="dxa"/>
            <w:tcBorders/>
            <w:shd w:fill="CCEEFF" w:val="clear"/>
            <w:vAlign w:val="center"/>
          </w:tcPr>
          <w:p>
            <w:pPr>
              <w:pStyle w:val="TableContents"/>
              <w:spacing w:before="0" w:after="283"/>
              <w:jc w:val="left"/>
              <w:rPr/>
            </w:pPr>
            <w:r>
              <w:rPr/>
              <w:t>Derivative liabilities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0.0</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(2.8</w:t>
            </w:r>
          </w:p>
        </w:tc>
        <w:tc>
          <w:tcPr>
            <w:tcW w:w="305" w:type="dxa"/>
            <w:tcBorders/>
            <w:shd w:fill="CCEEFF" w:val="clear"/>
            <w:vAlign w:val="center"/>
          </w:tcPr>
          <w:p>
            <w:pPr>
              <w:pStyle w:val="TableContents"/>
              <w:spacing w:before="0" w:after="283"/>
              <w:jc w:val="left"/>
              <w:rPr/>
            </w:pPr>
            <w:r>
              <w:rPr/>
              <w:t>)%</w:t>
            </w:r>
          </w:p>
        </w:tc>
      </w:tr>
      <w:tr>
        <w:trPr/>
        <w:tc>
          <w:tcPr>
            <w:tcW w:w="4580" w:type="dxa"/>
            <w:tcBorders/>
            <w:shd w:fill="auto" w:val="clear"/>
            <w:vAlign w:val="center"/>
          </w:tcPr>
          <w:p>
            <w:pPr>
              <w:pStyle w:val="TableContents"/>
              <w:spacing w:before="0" w:after="283"/>
              <w:jc w:val="left"/>
              <w:rPr/>
            </w:pPr>
            <w:r>
              <w:rPr/>
              <w:t>Debt discount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0.0</w:t>
            </w:r>
          </w:p>
        </w:tc>
        <w:tc>
          <w:tcPr>
            <w:tcW w:w="29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(6.3</w:t>
            </w:r>
          </w:p>
        </w:tc>
        <w:tc>
          <w:tcPr>
            <w:tcW w:w="305" w:type="dxa"/>
            <w:tcBorders/>
            <w:shd w:fill="auto" w:val="clear"/>
            <w:vAlign w:val="center"/>
          </w:tcPr>
          <w:p>
            <w:pPr>
              <w:pStyle w:val="TableContents"/>
              <w:spacing w:before="0" w:after="283"/>
              <w:jc w:val="left"/>
              <w:rPr/>
            </w:pPr>
            <w:r>
              <w:rPr/>
              <w:t>)%</w:t>
            </w:r>
          </w:p>
        </w:tc>
      </w:tr>
      <w:tr>
        <w:trPr/>
        <w:tc>
          <w:tcPr>
            <w:tcW w:w="4580" w:type="dxa"/>
            <w:tcBorders/>
            <w:shd w:fill="CCEEFF" w:val="clear"/>
            <w:vAlign w:val="center"/>
          </w:tcPr>
          <w:p>
            <w:pPr>
              <w:pStyle w:val="TableContents"/>
              <w:spacing w:before="0" w:after="283"/>
              <w:jc w:val="left"/>
              <w:rPr/>
            </w:pPr>
            <w:r>
              <w:rPr/>
              <w:t>Prior period adjustments to opening deferred tax</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2.2</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0.0</w:t>
            </w:r>
          </w:p>
        </w:tc>
        <w:tc>
          <w:tcPr>
            <w:tcW w:w="305" w:type="dxa"/>
            <w:tcBorders/>
            <w:shd w:fill="CCEEFF" w:val="clear"/>
            <w:vAlign w:val="center"/>
          </w:tcPr>
          <w:p>
            <w:pPr>
              <w:pStyle w:val="TableContents"/>
              <w:spacing w:before="0" w:after="283"/>
              <w:jc w:val="left"/>
              <w:rPr/>
            </w:pPr>
            <w:r>
              <w:rPr/>
              <w:t>%</w:t>
            </w:r>
          </w:p>
        </w:tc>
      </w:tr>
      <w:tr>
        <w:trPr/>
        <w:tc>
          <w:tcPr>
            <w:tcW w:w="4580" w:type="dxa"/>
            <w:tcBorders/>
            <w:shd w:fill="auto" w:val="clear"/>
            <w:vAlign w:val="center"/>
          </w:tcPr>
          <w:p>
            <w:pPr>
              <w:pStyle w:val="TableContents"/>
              <w:spacing w:before="0" w:after="283"/>
              <w:jc w:val="left"/>
              <w:rPr/>
            </w:pPr>
            <w:r>
              <w:rPr/>
              <w:t>Stock-based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(2.4</w:t>
            </w:r>
          </w:p>
        </w:tc>
        <w:tc>
          <w:tcPr>
            <w:tcW w:w="29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560" w:type="dxa"/>
            <w:tcBorders/>
            <w:shd w:fill="auto" w:val="clear"/>
            <w:vAlign w:val="center"/>
          </w:tcPr>
          <w:p>
            <w:pPr>
              <w:pStyle w:val="TableContents"/>
              <w:spacing w:before="0" w:after="283"/>
              <w:jc w:val="right"/>
              <w:rPr/>
            </w:pPr>
            <w:r>
              <w:rPr/>
              <w:t>0.0</w:t>
            </w:r>
          </w:p>
        </w:tc>
        <w:tc>
          <w:tcPr>
            <w:tcW w:w="305" w:type="dxa"/>
            <w:tcBorders/>
            <w:shd w:fill="auto" w:val="clear"/>
            <w:vAlign w:val="center"/>
          </w:tcPr>
          <w:p>
            <w:pPr>
              <w:pStyle w:val="TableContents"/>
              <w:spacing w:before="0" w:after="283"/>
              <w:jc w:val="left"/>
              <w:rPr/>
            </w:pPr>
            <w:r>
              <w:rPr/>
              <w:t>%</w:t>
            </w:r>
          </w:p>
        </w:tc>
      </w:tr>
      <w:tr>
        <w:trPr/>
        <w:tc>
          <w:tcPr>
            <w:tcW w:w="4580" w:type="dxa"/>
            <w:tcBorders/>
            <w:shd w:fill="CCEEFF" w:val="clear"/>
            <w:vAlign w:val="center"/>
          </w:tcPr>
          <w:p>
            <w:pPr>
              <w:pStyle w:val="TableContents"/>
              <w:spacing w:before="0" w:after="283"/>
              <w:jc w:val="left"/>
              <w:rPr/>
            </w:pPr>
            <w:r>
              <w:rPr/>
              <w:t>Change in valuation allowance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(26.4</w:t>
            </w:r>
          </w:p>
        </w:tc>
        <w:tc>
          <w:tcPr>
            <w:tcW w:w="290"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(9.4</w:t>
            </w:r>
          </w:p>
        </w:tc>
        <w:tc>
          <w:tcPr>
            <w:tcW w:w="305" w:type="dxa"/>
            <w:tcBorders/>
            <w:shd w:fill="CCEEFF" w:val="clear"/>
            <w:vAlign w:val="center"/>
          </w:tcPr>
          <w:p>
            <w:pPr>
              <w:pStyle w:val="TableContents"/>
              <w:spacing w:before="0" w:after="283"/>
              <w:jc w:val="left"/>
              <w:rPr/>
            </w:pPr>
            <w:r>
              <w:rPr/>
              <w:t>)%</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560" w:type="dxa"/>
            <w:tcBorders>
              <w:bottom w:val="double" w:sz="10" w:space="0" w:color="000000"/>
            </w:tcBorders>
            <w:shd w:fill="auto" w:val="clear"/>
            <w:tcMar>
              <w:bottom w:w="28" w:type="dxa"/>
            </w:tcMar>
            <w:vAlign w:val="center"/>
          </w:tcPr>
          <w:p>
            <w:pPr>
              <w:pStyle w:val="TableContents"/>
              <w:spacing w:before="0" w:after="283"/>
              <w:jc w:val="right"/>
              <w:rPr/>
            </w:pPr>
            <w:r>
              <w:rPr/>
              <w:t>0.00</w:t>
            </w:r>
          </w:p>
        </w:tc>
        <w:tc>
          <w:tcPr>
            <w:tcW w:w="29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560" w:type="dxa"/>
            <w:tcBorders>
              <w:bottom w:val="double" w:sz="10" w:space="0" w:color="000000"/>
            </w:tcBorders>
            <w:shd w:fill="auto" w:val="clear"/>
            <w:tcMar>
              <w:bottom w:w="28" w:type="dxa"/>
            </w:tcMar>
            <w:vAlign w:val="center"/>
          </w:tcPr>
          <w:p>
            <w:pPr>
              <w:pStyle w:val="TableContents"/>
              <w:spacing w:before="0" w:after="283"/>
              <w:jc w:val="right"/>
              <w:rPr/>
            </w:pPr>
            <w:r>
              <w:rPr/>
              <w:t>0.00</w:t>
            </w:r>
          </w:p>
        </w:tc>
        <w:tc>
          <w:tcPr>
            <w:tcW w:w="305" w:type="dxa"/>
            <w:tcBorders/>
            <w:shd w:fill="auto" w:val="clear"/>
            <w:vAlign w:val="center"/>
          </w:tcPr>
          <w:p>
            <w:pPr>
              <w:pStyle w:val="TableContents"/>
              <w:spacing w:before="0" w:after="283"/>
              <w:jc w:val="left"/>
              <w:rPr/>
            </w:pPr>
            <w:r>
              <w:rPr/>
              <w:t>%</w:t>
            </w:r>
          </w:p>
        </w:tc>
      </w:tr>
    </w:tbl>
    <w:p>
      <w:pPr>
        <w:pStyle w:val="TextBody"/>
        <w:spacing w:before="0" w:after="0"/>
        <w:ind w:left="72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deferred tax assets and liabilities as of December 31, 2021 and 2020 are summarized as follows:</w:t>
      </w:r>
    </w:p>
    <w:p>
      <w:pPr>
        <w:pStyle w:val="TextBody"/>
        <w:spacing w:before="0" w:after="0"/>
        <w:ind w:left="270" w:right="0" w:hanging="0"/>
        <w:rPr>
          <w:caps w:val="false"/>
          <w:smallCaps w:val="false"/>
        </w:rPr>
      </w:pPr>
      <w:r>
        <w:rPr>
          <w:caps w:val="false"/>
          <w:smallCaps w:val="false"/>
        </w:rPr>
        <w:t> </w:t>
      </w:r>
    </w:p>
    <w:tbl>
      <w:tblPr>
        <w:tblW w:w="6800" w:type="dxa"/>
        <w:jc w:val="left"/>
        <w:tblInd w:w="0" w:type="dxa"/>
        <w:tblCellMar>
          <w:top w:w="0" w:type="dxa"/>
          <w:left w:w="0" w:type="dxa"/>
          <w:bottom w:w="0" w:type="dxa"/>
          <w:right w:w="0" w:type="dxa"/>
        </w:tblCellMar>
      </w:tblPr>
      <w:tblGrid>
        <w:gridCol w:w="4805"/>
        <w:gridCol w:w="60"/>
        <w:gridCol w:w="140"/>
        <w:gridCol w:w="755"/>
        <w:gridCol w:w="95"/>
        <w:gridCol w:w="60"/>
        <w:gridCol w:w="140"/>
        <w:gridCol w:w="635"/>
        <w:gridCol w:w="110"/>
      </w:tblGrid>
      <w:tr>
        <w:trPr/>
        <w:tc>
          <w:tcPr>
            <w:tcW w:w="48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r>
          </w:p>
        </w:tc>
        <w:tc>
          <w:tcPr>
            <w:tcW w:w="110" w:type="dxa"/>
            <w:tcBorders/>
            <w:shd w:fill="auto" w:val="clear"/>
            <w:vAlign w:val="center"/>
          </w:tcPr>
          <w:p>
            <w:pPr>
              <w:pStyle w:val="TableContents"/>
              <w:spacing w:before="0" w:after="283"/>
              <w:rPr/>
            </w:pPr>
            <w:r>
              <w:rPr/>
              <w:t> </w:t>
            </w:r>
          </w:p>
        </w:tc>
      </w:tr>
      <w:tr>
        <w:trPr/>
        <w:tc>
          <w:tcPr>
            <w:tcW w:w="4805"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283"/>
              <w:jc w:val="left"/>
              <w:rPr/>
            </w:pPr>
            <w:r>
              <w:rPr/>
              <w:t>Net operating loss carryforward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12,565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4,324</w:t>
            </w:r>
          </w:p>
        </w:tc>
        <w:tc>
          <w:tcPr>
            <w:tcW w:w="110"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Accruals, reserves, and other</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2,529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Stock-based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Research and development tax credit carryforward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571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Lease liability</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333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Total deferred tax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16,489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right"/>
              <w:rPr/>
            </w:pPr>
            <w:r>
              <w:rPr/>
              <w:t>4,324</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Valuation allowance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(13,852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(3,077</w:t>
            </w:r>
          </w:p>
        </w:tc>
        <w:tc>
          <w:tcPr>
            <w:tcW w:w="110" w:type="dxa"/>
            <w:tcBorders/>
            <w:shd w:fill="CCEEFF" w:val="clear"/>
            <w:vAlign w:val="center"/>
          </w:tcPr>
          <w:p>
            <w:pPr>
              <w:pStyle w:val="TableContents"/>
              <w:spacing w:before="0" w:after="283"/>
              <w:jc w:val="left"/>
              <w:rPr/>
            </w:pPr>
            <w:r>
              <w:rPr/>
              <w:t>)</w:t>
            </w:r>
          </w:p>
        </w:tc>
      </w:tr>
      <w:tr>
        <w:trPr/>
        <w:tc>
          <w:tcPr>
            <w:tcW w:w="4805" w:type="dxa"/>
            <w:tcBorders/>
            <w:shd w:fill="auto" w:val="clear"/>
            <w:vAlign w:val="center"/>
          </w:tcPr>
          <w:p>
            <w:pPr>
              <w:pStyle w:val="TableContents"/>
              <w:spacing w:before="0" w:after="283"/>
              <w:jc w:val="left"/>
              <w:rPr/>
            </w:pPr>
            <w:r>
              <w:rPr/>
              <w:t>Net deferred tax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755" w:type="dxa"/>
            <w:tcBorders/>
            <w:shd w:fill="auto" w:val="clear"/>
            <w:vAlign w:val="center"/>
          </w:tcPr>
          <w:p>
            <w:pPr>
              <w:pStyle w:val="TableContents"/>
              <w:spacing w:before="0" w:after="283"/>
              <w:jc w:val="right"/>
              <w:rPr/>
            </w:pPr>
            <w:r>
              <w:rPr/>
              <w:t>2,637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635" w:type="dxa"/>
            <w:tcBorders/>
            <w:shd w:fill="auto" w:val="clear"/>
            <w:vAlign w:val="center"/>
          </w:tcPr>
          <w:p>
            <w:pPr>
              <w:pStyle w:val="TableContents"/>
              <w:spacing w:before="0" w:after="283"/>
              <w:jc w:val="right"/>
              <w:rPr/>
            </w:pPr>
            <w:r>
              <w:rPr/>
              <w:t>1,247</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Fixed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(144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(24</w:t>
            </w:r>
          </w:p>
        </w:tc>
        <w:tc>
          <w:tcPr>
            <w:tcW w:w="110" w:type="dxa"/>
            <w:tcBorders/>
            <w:shd w:fill="CCEEFF" w:val="clear"/>
            <w:vAlign w:val="center"/>
          </w:tcPr>
          <w:p>
            <w:pPr>
              <w:pStyle w:val="TableContents"/>
              <w:spacing w:before="0" w:after="283"/>
              <w:jc w:val="left"/>
              <w:rPr/>
            </w:pPr>
            <w:r>
              <w:rPr/>
              <w:t>)</w:t>
            </w:r>
          </w:p>
        </w:tc>
      </w:tr>
      <w:tr>
        <w:trPr/>
        <w:tc>
          <w:tcPr>
            <w:tcW w:w="4805" w:type="dxa"/>
            <w:tcBorders/>
            <w:shd w:fill="auto" w:val="clear"/>
            <w:vAlign w:val="center"/>
          </w:tcPr>
          <w:p>
            <w:pPr>
              <w:pStyle w:val="TableContents"/>
              <w:spacing w:before="0" w:after="283"/>
              <w:jc w:val="left"/>
              <w:rPr/>
            </w:pPr>
            <w:r>
              <w:rPr/>
              <w:t>Intangible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(1,888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right"/>
              <w:rPr/>
            </w:pPr>
            <w:r>
              <w:rPr/>
              <w:t>26</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Debt discount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(1,249</w:t>
            </w:r>
          </w:p>
        </w:tc>
        <w:tc>
          <w:tcPr>
            <w:tcW w:w="110" w:type="dxa"/>
            <w:tcBorders/>
            <w:shd w:fill="CCEEFF" w:val="clear"/>
            <w:vAlign w:val="center"/>
          </w:tcPr>
          <w:p>
            <w:pPr>
              <w:pStyle w:val="TableContents"/>
              <w:spacing w:before="0" w:after="283"/>
              <w:jc w:val="left"/>
              <w:rPr/>
            </w:pPr>
            <w:r>
              <w:rPr/>
              <w:t>)</w:t>
            </w:r>
          </w:p>
        </w:tc>
      </w:tr>
      <w:tr>
        <w:trPr/>
        <w:tc>
          <w:tcPr>
            <w:tcW w:w="4805" w:type="dxa"/>
            <w:tcBorders/>
            <w:shd w:fill="auto" w:val="clear"/>
            <w:vAlign w:val="center"/>
          </w:tcPr>
          <w:p>
            <w:pPr>
              <w:pStyle w:val="TableContents"/>
              <w:spacing w:before="0" w:after="283"/>
              <w:jc w:val="left"/>
              <w:rPr/>
            </w:pPr>
            <w:r>
              <w:rPr/>
              <w:t>Right of use asset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(323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Deferred commissions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(307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Total deferred tax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755" w:type="dxa"/>
            <w:tcBorders>
              <w:bottom w:val="single" w:sz="12" w:space="0" w:color="000000"/>
            </w:tcBorders>
            <w:shd w:fill="auto" w:val="clear"/>
            <w:tcMar>
              <w:bottom w:w="28" w:type="dxa"/>
            </w:tcMar>
            <w:vAlign w:val="center"/>
          </w:tcPr>
          <w:p>
            <w:pPr>
              <w:pStyle w:val="TableContents"/>
              <w:spacing w:before="0" w:after="283"/>
              <w:jc w:val="right"/>
              <w:rPr/>
            </w:pPr>
            <w:r>
              <w:rPr/>
              <w:t>(2,662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63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Net deferred tax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270" w:right="0" w:hanging="0"/>
        <w:rPr>
          <w:caps w:val="false"/>
          <w:smallCaps w:val="false"/>
        </w:rPr>
      </w:pPr>
      <w:r>
        <w:rPr>
          <w:caps w:val="false"/>
          <w:smallCaps w:val="false"/>
        </w:rPr>
        <w:t> </w:t>
      </w:r>
    </w:p>
    <w:p>
      <w:pPr>
        <w:pStyle w:val="TextBody"/>
        <w:spacing w:before="0" w:after="0"/>
        <w:ind w:left="27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federal and state deferred tax assets or liabilities based on the Company’s estimate of future tax effects attributable to temporary differences and carryovers. The Company records a valuation allowance to reduce any deferred tax assets by the amount of any tax benefits that, based on available evidence and judgment, are not expected to be realized.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periods in which those temporary differences become deductible. The Company considers projected future taxable income and planning strategies in making this assessment. As of December 31, 2021, as a result of a three-year cumulative loss and recent events, the Company concluded that a full valuation allowance was necessary to offset its deferred tax assets. The Company also has indefinite lived intangibles and goodwill which generate a deferred tax liability that is not available to fully offset its deferred tax assets due to uncertainty as to when the deferred tax liability will reverse as a source of taxable income. As a result, the Company is in a net deferred tax liability position as of December 31, 2021. The Company intends to maintain a valuation allowance until sufficient positive evidence exists to support its reversal. The Company will continue to evaluate its deferred tax balances to determine any assets that are more likely than not to be realized.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had federal and state income tax net operating loss carryovers $52.2 million and $28.9 million, respectively. Of the federal balance, approximately $675 thousand will expire if not utilized by 2037 and $51.5 million carry forward indefinitely but are only available to offset 80% of taxable income per year. As of December 31, 2021, the Company also had federal research credits of approximately $571 thousand that will expire if not utilized by 2041. The utilization of the Company’s net operating loss carryforwards and research tax credit carryovers could be subject to annual limitations under Section 382 and 383 of the Internal Revenue Code of 1986, and similar state tax provisions due to ownership change limitations that may have occurred previously or that could occur in the future. These ownership changes limit the amount of net operating loss carryforwards and other deferred tax assets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 points over a three-year period. The Company has not conducted an analysis of an ownership change under section 382. To the extent that a study is completed, and an ownership change is deemed to occur, the Company’s net operating losses and tax credits could be limited.</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uncertain tax positions or events leading to uncertainty in a tax position. The Company’s 2016 through 2021 corporate income tax returns are subject to Internal Revenue Service examination. In addition, to the extent that tax attributes are utilized in future years to offset taxable income or income taxes, the IRS and state taxing authorities have the ability to examine the years in which those attributes were generated and adjust the attributes.</w:t>
      </w:r>
    </w:p>
    <w:p>
      <w:pPr>
        <w:pStyle w:val="TextBody"/>
        <w:spacing w:before="0" w:after="0"/>
        <w:ind w:left="360" w:right="0" w:hanging="0"/>
        <w:jc w:val="lef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calculations for all periods have been adjusted to reflect the reverse stock split effected on January 12, 2021. Net loss per share was calculated based on the weighted average number of common stock then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using the weighted-average number of common shares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basic and diluted net loss per share were as follows:</w:t>
      </w:r>
    </w:p>
    <w:p>
      <w:pPr>
        <w:pStyle w:val="TextBody"/>
        <w:spacing w:before="0" w:after="0"/>
        <w:ind w:left="0" w:right="0" w:firstLine="360"/>
        <w:rPr>
          <w:caps w:val="false"/>
          <w:smallCaps w:val="false"/>
        </w:rPr>
      </w:pPr>
      <w:r>
        <w:rPr>
          <w:caps w:val="false"/>
          <w:smallCaps w:val="false"/>
        </w:rPr>
        <w:t> </w:t>
      </w:r>
    </w:p>
    <w:tbl>
      <w:tblPr>
        <w:tblW w:w="8405" w:type="dxa"/>
        <w:jc w:val="left"/>
        <w:tblInd w:w="0" w:type="dxa"/>
        <w:tblCellMar>
          <w:top w:w="0" w:type="dxa"/>
          <w:left w:w="0" w:type="dxa"/>
          <w:bottom w:w="0" w:type="dxa"/>
          <w:right w:w="0" w:type="dxa"/>
        </w:tblCellMar>
      </w:tblPr>
      <w:tblGrid>
        <w:gridCol w:w="6065"/>
        <w:gridCol w:w="60"/>
        <w:gridCol w:w="125"/>
        <w:gridCol w:w="950"/>
        <w:gridCol w:w="80"/>
        <w:gridCol w:w="60"/>
        <w:gridCol w:w="125"/>
        <w:gridCol w:w="845"/>
        <w:gridCol w:w="95"/>
      </w:tblGrid>
      <w:tr>
        <w:trPr/>
        <w:tc>
          <w:tcPr>
            <w:tcW w:w="6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8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6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Excluding Per Share Amounts, in Thousands)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Agrify Corporation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dividend attributable to Preferred A Stockholders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available for common shareholders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 basic and diluted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19,090,932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4,175,867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0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 and diluted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and 2020, the Company excluded the following securities from net loss per share as the effect of including them would have been anti-dilutive. The shares shown represent the number of shares of common stock which would be issued upon conversion in the respective years shown below:</w:t>
      </w:r>
    </w:p>
    <w:p>
      <w:pPr>
        <w:pStyle w:val="TextBody"/>
        <w:spacing w:before="0" w:after="0"/>
        <w:ind w:left="0" w:right="0" w:firstLine="360"/>
        <w:rPr>
          <w:caps w:val="false"/>
          <w:smallCaps w:val="false"/>
        </w:rPr>
      </w:pPr>
      <w:r>
        <w:rPr>
          <w:caps w:val="false"/>
          <w:smallCaps w:val="false"/>
        </w:rPr>
        <w:t> </w:t>
      </w:r>
    </w:p>
    <w:tbl>
      <w:tblPr>
        <w:tblW w:w="4380" w:type="dxa"/>
        <w:jc w:val="left"/>
        <w:tblInd w:w="0" w:type="dxa"/>
        <w:tblCellMar>
          <w:top w:w="0" w:type="dxa"/>
          <w:left w:w="0" w:type="dxa"/>
          <w:bottom w:w="0" w:type="dxa"/>
          <w:right w:w="0" w:type="dxa"/>
        </w:tblCellMar>
      </w:tblPr>
      <w:tblGrid>
        <w:gridCol w:w="2045"/>
        <w:gridCol w:w="60"/>
        <w:gridCol w:w="60"/>
        <w:gridCol w:w="980"/>
        <w:gridCol w:w="60"/>
        <w:gridCol w:w="60"/>
        <w:gridCol w:w="60"/>
        <w:gridCol w:w="980"/>
        <w:gridCol w:w="75"/>
      </w:tblGrid>
      <w:tr>
        <w:trPr/>
        <w:tc>
          <w:tcPr>
            <w:tcW w:w="20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75" w:type="dxa"/>
            <w:tcBorders/>
            <w:shd w:fill="auto"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ind w:left="0" w:right="0" w:hanging="200"/>
              <w:rPr/>
            </w:pPr>
            <w:r>
              <w:rPr/>
              <w:t> </w:t>
            </w:r>
          </w:p>
        </w:tc>
      </w:tr>
      <w:tr>
        <w:trPr/>
        <w:tc>
          <w:tcPr>
            <w:tcW w:w="2045" w:type="dxa"/>
            <w:tcBorders/>
            <w:shd w:fill="CCEEFF" w:val="clear"/>
            <w:vAlign w:val="center"/>
          </w:tcPr>
          <w:p>
            <w:pPr>
              <w:pStyle w:val="TableContents"/>
              <w:spacing w:before="0" w:after="283"/>
              <w:jc w:val="left"/>
              <w:rPr/>
            </w:pPr>
            <w:r>
              <w:rPr/>
              <w:t>Options outstanding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3,564,289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3,133,109</w:t>
            </w:r>
          </w:p>
        </w:tc>
        <w:tc>
          <w:tcPr>
            <w:tcW w:w="75" w:type="dxa"/>
            <w:tcBorders/>
            <w:shd w:fill="CCEEFF" w:val="clear"/>
            <w:vAlign w:val="center"/>
          </w:tcPr>
          <w:p>
            <w:pPr>
              <w:pStyle w:val="TableContents"/>
              <w:spacing w:before="0" w:after="283"/>
              <w:ind w:left="0" w:right="0" w:hanging="200"/>
              <w:jc w:val="left"/>
              <w:rPr/>
            </w:pPr>
            <w:r>
              <w:rPr/>
              <w:t> </w:t>
            </w:r>
          </w:p>
        </w:tc>
      </w:tr>
      <w:tr>
        <w:trPr/>
        <w:tc>
          <w:tcPr>
            <w:tcW w:w="2045" w:type="dxa"/>
            <w:tcBorders/>
            <w:shd w:fill="auto" w:val="clear"/>
            <w:vAlign w:val="center"/>
          </w:tcPr>
          <w:p>
            <w:pPr>
              <w:pStyle w:val="TableContents"/>
              <w:spacing w:before="0" w:after="283"/>
              <w:jc w:val="left"/>
              <w:rPr/>
            </w:pPr>
            <w:r>
              <w:rPr/>
              <w:t>Warrants outstanding</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271,844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828,173</w:t>
            </w:r>
          </w:p>
        </w:tc>
        <w:tc>
          <w:tcPr>
            <w:tcW w:w="75" w:type="dxa"/>
            <w:tcBorders/>
            <w:shd w:fill="auto" w:val="clear"/>
            <w:vAlign w:val="center"/>
          </w:tcPr>
          <w:p>
            <w:pPr>
              <w:pStyle w:val="TableContents"/>
              <w:spacing w:before="0" w:after="283"/>
              <w:ind w:left="0" w:right="0" w:hanging="200"/>
              <w:jc w:val="left"/>
              <w:rPr/>
            </w:pPr>
            <w:r>
              <w:rPr/>
              <w:t> </w:t>
            </w:r>
          </w:p>
        </w:tc>
      </w:tr>
      <w:tr>
        <w:trPr/>
        <w:tc>
          <w:tcPr>
            <w:tcW w:w="20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3,836,133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3,961,282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21 — Commitments and Contingencies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implicit interest rate in its leases was generally not known, the Company’s used its incremental borrowing rate as the discount rate for purposes of determining the present value of its lease liabilities. At December 31, 2021, the Company’s weighted average discount rate utilized for its leases was 7.16%.</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contract contained lease and non-lease elements, both were accounted as a single lease component.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several non-cancellable finance leases for machinery and equipment. The Company’s finance leases have remaining lease terms of one year to five years.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of the Company’s lease activity, for the years ended December 31, 2021 and 2020, is as follows:</w:t>
      </w:r>
    </w:p>
    <w:p>
      <w:pPr>
        <w:pStyle w:val="TextBody"/>
        <w:spacing w:before="0" w:after="0"/>
        <w:ind w:left="0" w:right="0" w:firstLine="360"/>
        <w:rPr>
          <w:caps w:val="false"/>
          <w:smallCaps w:val="false"/>
        </w:rPr>
      </w:pPr>
      <w:r>
        <w:rPr>
          <w:caps w:val="false"/>
          <w:smallCaps w:val="false"/>
        </w:rPr>
        <w:t> </w:t>
      </w:r>
    </w:p>
    <w:tbl>
      <w:tblPr>
        <w:tblW w:w="8905" w:type="dxa"/>
        <w:jc w:val="left"/>
        <w:tblInd w:w="0" w:type="dxa"/>
        <w:tblCellMar>
          <w:top w:w="0" w:type="dxa"/>
          <w:left w:w="0" w:type="dxa"/>
          <w:bottom w:w="28" w:type="dxa"/>
          <w:right w:w="0" w:type="dxa"/>
        </w:tblCellMar>
      </w:tblPr>
      <w:tblGrid>
        <w:gridCol w:w="5510"/>
        <w:gridCol w:w="60"/>
        <w:gridCol w:w="341"/>
        <w:gridCol w:w="1074"/>
        <w:gridCol w:w="215"/>
        <w:gridCol w:w="60"/>
        <w:gridCol w:w="341"/>
        <w:gridCol w:w="1074"/>
        <w:gridCol w:w="230"/>
      </w:tblGrid>
      <w:tr>
        <w:trPr/>
        <w:tc>
          <w:tcPr>
            <w:tcW w:w="5510" w:type="dxa"/>
            <w:tcBorders>
              <w:bottom w:val="single" w:sz="12" w:space="0" w:color="000000"/>
            </w:tcBorders>
            <w:shd w:fill="auto" w:val="clear"/>
            <w:vAlign w:val="center"/>
          </w:tcPr>
          <w:p>
            <w:pPr>
              <w:pStyle w:val="TableContents"/>
              <w:spacing w:before="0" w:after="283"/>
              <w:jc w:val="left"/>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230" w:type="dxa"/>
            <w:tcBorders/>
            <w:shd w:fill="auto" w:val="clear"/>
            <w:tcMar>
              <w:bottom w:w="0" w:type="dxa"/>
            </w:tcMar>
            <w:vAlign w:val="center"/>
          </w:tcPr>
          <w:p>
            <w:pPr>
              <w:pStyle w:val="TableContents"/>
              <w:spacing w:before="0" w:after="283"/>
              <w:rPr/>
            </w:pPr>
            <w:r>
              <w:rPr/>
              <w:t> </w:t>
            </w:r>
          </w:p>
        </w:tc>
      </w:tr>
      <w:tr>
        <w:trPr/>
        <w:tc>
          <w:tcPr>
            <w:tcW w:w="5510" w:type="dxa"/>
            <w:tcBorders/>
            <w:shd w:fill="CCEEFF" w:val="clear"/>
            <w:tcMar>
              <w:bottom w:w="0" w:type="dxa"/>
            </w:tcMar>
            <w:vAlign w:val="center"/>
          </w:tcPr>
          <w:p>
            <w:pPr>
              <w:pStyle w:val="TableContents"/>
              <w:spacing w:before="0" w:after="283"/>
              <w:jc w:val="left"/>
              <w:rPr/>
            </w:pPr>
            <w:r>
              <w:rPr/>
              <w:t>Operating lease cost</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w:t>
            </w:r>
          </w:p>
        </w:tc>
        <w:tc>
          <w:tcPr>
            <w:tcW w:w="1074" w:type="dxa"/>
            <w:tcBorders/>
            <w:shd w:fill="CCEEFF" w:val="clear"/>
            <w:tcMar>
              <w:bottom w:w="0" w:type="dxa"/>
            </w:tcMar>
            <w:vAlign w:val="center"/>
          </w:tcPr>
          <w:p>
            <w:pPr>
              <w:pStyle w:val="TableContents"/>
              <w:spacing w:before="0" w:after="283"/>
              <w:jc w:val="right"/>
              <w:rPr/>
            </w:pPr>
            <w:r>
              <w:rPr/>
              <w:t>396</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w:t>
            </w:r>
          </w:p>
        </w:tc>
        <w:tc>
          <w:tcPr>
            <w:tcW w:w="1074" w:type="dxa"/>
            <w:tcBorders/>
            <w:shd w:fill="CCEEFF" w:val="clear"/>
            <w:tcMar>
              <w:bottom w:w="0" w:type="dxa"/>
            </w:tcMar>
            <w:vAlign w:val="center"/>
          </w:tcPr>
          <w:p>
            <w:pPr>
              <w:pStyle w:val="TableContents"/>
              <w:spacing w:before="0" w:after="0"/>
              <w:jc w:val="right"/>
              <w:rPr/>
            </w:pPr>
            <w:r>
              <w:rPr/>
              <w:t>—</w:t>
            </w:r>
          </w:p>
        </w:tc>
        <w:tc>
          <w:tcPr>
            <w:tcW w:w="230" w:type="dxa"/>
            <w:tcBorders/>
            <w:shd w:fill="CCEEFF" w:val="clear"/>
            <w:tcMar>
              <w:bottom w:w="0" w:type="dxa"/>
            </w:tcMar>
            <w:vAlign w:val="center"/>
          </w:tcPr>
          <w:p>
            <w:pPr>
              <w:pStyle w:val="TableContents"/>
              <w:spacing w:before="0" w:after="283"/>
              <w:jc w:val="left"/>
              <w:rPr/>
            </w:pPr>
            <w:r>
              <w:rPr/>
              <w:t> </w:t>
            </w:r>
          </w:p>
        </w:tc>
      </w:tr>
      <w:tr>
        <w:trPr/>
        <w:tc>
          <w:tcPr>
            <w:tcW w:w="5510" w:type="dxa"/>
            <w:tcBorders/>
            <w:shd w:fill="auto" w:val="clear"/>
            <w:tcMar>
              <w:bottom w:w="0" w:type="dxa"/>
            </w:tcMar>
            <w:vAlign w:val="center"/>
          </w:tcPr>
          <w:p>
            <w:pPr>
              <w:pStyle w:val="TableContents"/>
              <w:spacing w:before="0" w:after="283"/>
              <w:jc w:val="left"/>
              <w:rPr>
                <w:b/>
              </w:rPr>
            </w:pPr>
            <w:r>
              <w:rPr>
                <w:b/>
              </w:rPr>
              <w:t>Finance lease cost:</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 </w:t>
            </w:r>
          </w:p>
        </w:tc>
        <w:tc>
          <w:tcPr>
            <w:tcW w:w="21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 </w:t>
            </w:r>
          </w:p>
        </w:tc>
        <w:tc>
          <w:tcPr>
            <w:tcW w:w="230" w:type="dxa"/>
            <w:tcBorders/>
            <w:shd w:fill="auto" w:val="clear"/>
            <w:tcMar>
              <w:bottom w:w="0" w:type="dxa"/>
            </w:tcMar>
            <w:vAlign w:val="center"/>
          </w:tcPr>
          <w:p>
            <w:pPr>
              <w:pStyle w:val="TableContents"/>
              <w:spacing w:before="0" w:after="283"/>
              <w:ind w:left="0" w:right="0" w:hanging="200"/>
              <w:jc w:val="left"/>
              <w:rPr/>
            </w:pPr>
            <w:r>
              <w:rPr/>
              <w:t> </w:t>
            </w:r>
          </w:p>
        </w:tc>
      </w:tr>
      <w:tr>
        <w:trPr/>
        <w:tc>
          <w:tcPr>
            <w:tcW w:w="5510" w:type="dxa"/>
            <w:tcBorders/>
            <w:shd w:fill="CCEEFF" w:val="clear"/>
            <w:tcMar>
              <w:bottom w:w="0" w:type="dxa"/>
            </w:tcMar>
            <w:vAlign w:val="center"/>
          </w:tcPr>
          <w:p>
            <w:pPr>
              <w:pStyle w:val="TableContents"/>
              <w:spacing w:before="0" w:after="283"/>
              <w:jc w:val="left"/>
              <w:rPr/>
            </w:pPr>
            <w:r>
              <w:rPr/>
              <w:t>Amortization of right-of-use assets</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pPr>
            <w:r>
              <w:rPr/>
              <w:t>179</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pPr>
            <w:r>
              <w:rPr/>
              <w:t>75</w:t>
            </w:r>
          </w:p>
        </w:tc>
        <w:tc>
          <w:tcPr>
            <w:tcW w:w="23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510" w:type="dxa"/>
            <w:tcBorders/>
            <w:shd w:fill="auto" w:val="clear"/>
            <w:tcMar>
              <w:bottom w:w="0" w:type="dxa"/>
            </w:tcMar>
            <w:vAlign w:val="center"/>
          </w:tcPr>
          <w:p>
            <w:pPr>
              <w:pStyle w:val="TableContents"/>
              <w:spacing w:before="0" w:after="283"/>
              <w:jc w:val="left"/>
              <w:rPr/>
            </w:pPr>
            <w:r>
              <w:rPr/>
              <w:t>Interest on lease liabilities</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42</w:t>
            </w:r>
          </w:p>
        </w:tc>
        <w:tc>
          <w:tcPr>
            <w:tcW w:w="21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22</w:t>
            </w:r>
          </w:p>
        </w:tc>
        <w:tc>
          <w:tcPr>
            <w:tcW w:w="230" w:type="dxa"/>
            <w:tcBorders/>
            <w:shd w:fill="auto" w:val="clear"/>
            <w:tcMar>
              <w:bottom w:w="0" w:type="dxa"/>
            </w:tcMar>
            <w:vAlign w:val="center"/>
          </w:tcPr>
          <w:p>
            <w:pPr>
              <w:pStyle w:val="TableContents"/>
              <w:spacing w:before="0" w:after="283"/>
              <w:ind w:left="0" w:right="0" w:hanging="200"/>
              <w:jc w:val="left"/>
              <w:rPr/>
            </w:pPr>
            <w:r>
              <w:rPr/>
              <w:t> </w:t>
            </w:r>
          </w:p>
        </w:tc>
      </w:tr>
      <w:tr>
        <w:trPr/>
        <w:tc>
          <w:tcPr>
            <w:tcW w:w="5510" w:type="dxa"/>
            <w:tcBorders/>
            <w:shd w:fill="CCEEFF" w:val="clear"/>
            <w:tcMar>
              <w:bottom w:w="0" w:type="dxa"/>
            </w:tcMar>
            <w:vAlign w:val="center"/>
          </w:tcPr>
          <w:p>
            <w:pPr>
              <w:pStyle w:val="TableContents"/>
              <w:spacing w:before="0" w:after="283"/>
              <w:jc w:val="left"/>
              <w:rPr/>
            </w:pPr>
            <w:r>
              <w:rPr/>
              <w:t>Short-term lease cost</w:t>
            </w:r>
          </w:p>
        </w:tc>
        <w:tc>
          <w:tcPr>
            <w:tcW w:w="60" w:type="dxa"/>
            <w:tcBorders/>
            <w:shd w:fill="CCEEFF" w:val="clear"/>
            <w:tcMar>
              <w:bottom w:w="0" w:type="dxa"/>
            </w:tcMar>
            <w:vAlign w:val="center"/>
          </w:tcPr>
          <w:p>
            <w:pPr>
              <w:pStyle w:val="TableContents"/>
              <w:spacing w:before="0" w:after="283"/>
              <w:rPr/>
            </w:pPr>
            <w:r>
              <w:rPr/>
              <w:t> </w:t>
            </w:r>
          </w:p>
        </w:tc>
        <w:tc>
          <w:tcPr>
            <w:tcW w:w="341" w:type="dxa"/>
            <w:tcBorders>
              <w:bottom w:val="single" w:sz="12" w:space="0" w:color="000000"/>
            </w:tcBorders>
            <w:shd w:fill="CCEEFF" w:val="clear"/>
            <w:vAlign w:val="center"/>
          </w:tcPr>
          <w:p>
            <w:pPr>
              <w:pStyle w:val="TableContents"/>
              <w:spacing w:before="0" w:after="283"/>
              <w:jc w:val="left"/>
              <w:rPr/>
            </w:pPr>
            <w:r>
              <w:rPr/>
              <w:t> </w:t>
            </w:r>
          </w:p>
        </w:tc>
        <w:tc>
          <w:tcPr>
            <w:tcW w:w="1074" w:type="dxa"/>
            <w:tcBorders>
              <w:bottom w:val="single" w:sz="12" w:space="0" w:color="000000"/>
            </w:tcBorders>
            <w:shd w:fill="CCEEFF" w:val="clear"/>
            <w:vAlign w:val="center"/>
          </w:tcPr>
          <w:p>
            <w:pPr>
              <w:pStyle w:val="TableContents"/>
              <w:spacing w:before="0" w:after="0"/>
              <w:jc w:val="right"/>
              <w:rPr/>
            </w:pPr>
            <w:r>
              <w:rPr/>
              <w:t>—</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bottom w:val="single" w:sz="12" w:space="0" w:color="000000"/>
            </w:tcBorders>
            <w:shd w:fill="CCEEFF" w:val="clear"/>
            <w:vAlign w:val="center"/>
          </w:tcPr>
          <w:p>
            <w:pPr>
              <w:pStyle w:val="TableContents"/>
              <w:spacing w:before="0" w:after="283"/>
              <w:jc w:val="left"/>
              <w:rPr/>
            </w:pPr>
            <w:r>
              <w:rPr/>
              <w:t> </w:t>
            </w:r>
          </w:p>
        </w:tc>
        <w:tc>
          <w:tcPr>
            <w:tcW w:w="1074" w:type="dxa"/>
            <w:tcBorders>
              <w:bottom w:val="single" w:sz="12" w:space="0" w:color="000000"/>
            </w:tcBorders>
            <w:shd w:fill="CCEEFF" w:val="clear"/>
            <w:vAlign w:val="center"/>
          </w:tcPr>
          <w:p>
            <w:pPr>
              <w:pStyle w:val="TableContents"/>
              <w:spacing w:before="0" w:after="283"/>
              <w:jc w:val="right"/>
              <w:rPr/>
            </w:pPr>
            <w:r>
              <w:rPr/>
              <w:t>240</w:t>
            </w:r>
          </w:p>
        </w:tc>
        <w:tc>
          <w:tcPr>
            <w:tcW w:w="23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510" w:type="dxa"/>
            <w:tcBorders/>
            <w:shd w:fill="auto" w:val="clear"/>
            <w:tcMar>
              <w:bottom w:w="0" w:type="dxa"/>
            </w:tcMar>
            <w:vAlign w:val="center"/>
          </w:tcPr>
          <w:p>
            <w:pPr>
              <w:pStyle w:val="TableContents"/>
              <w:spacing w:before="0" w:after="283"/>
              <w:jc w:val="left"/>
              <w:rPr/>
            </w:pPr>
            <w:r>
              <w:rPr/>
              <w:t>Total lease cost</w:t>
            </w:r>
          </w:p>
        </w:tc>
        <w:tc>
          <w:tcPr>
            <w:tcW w:w="60" w:type="dxa"/>
            <w:tcBorders/>
            <w:shd w:fill="auto" w:val="clear"/>
            <w:tcMar>
              <w:bottom w:w="0" w:type="dxa"/>
            </w:tcMar>
            <w:vAlign w:val="center"/>
          </w:tcPr>
          <w:p>
            <w:pPr>
              <w:pStyle w:val="TableContents"/>
              <w:spacing w:before="0" w:after="283"/>
              <w:rPr/>
            </w:pPr>
            <w:r>
              <w:rPr/>
              <w:t> </w:t>
            </w:r>
          </w:p>
        </w:tc>
        <w:tc>
          <w:tcPr>
            <w:tcW w:w="341" w:type="dxa"/>
            <w:tcBorders>
              <w:bottom w:val="double" w:sz="10" w:space="0" w:color="000000"/>
            </w:tcBorders>
            <w:shd w:fill="auto" w:val="clear"/>
            <w:vAlign w:val="center"/>
          </w:tcPr>
          <w:p>
            <w:pPr>
              <w:pStyle w:val="TableContents"/>
              <w:spacing w:before="0" w:after="283"/>
              <w:jc w:val="left"/>
              <w:rPr/>
            </w:pPr>
            <w:r>
              <w:rPr/>
              <w:t>$</w:t>
            </w:r>
          </w:p>
        </w:tc>
        <w:tc>
          <w:tcPr>
            <w:tcW w:w="1074" w:type="dxa"/>
            <w:tcBorders>
              <w:bottom w:val="double" w:sz="10" w:space="0" w:color="000000"/>
            </w:tcBorders>
            <w:shd w:fill="auto" w:val="clear"/>
            <w:vAlign w:val="center"/>
          </w:tcPr>
          <w:p>
            <w:pPr>
              <w:pStyle w:val="TableContents"/>
              <w:spacing w:before="0" w:after="283"/>
              <w:jc w:val="right"/>
              <w:rPr/>
            </w:pPr>
            <w:r>
              <w:rPr/>
              <w:t>617</w:t>
            </w:r>
          </w:p>
        </w:tc>
        <w:tc>
          <w:tcPr>
            <w:tcW w:w="21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41" w:type="dxa"/>
            <w:tcBorders>
              <w:bottom w:val="double" w:sz="10" w:space="0" w:color="000000"/>
            </w:tcBorders>
            <w:shd w:fill="auto" w:val="clear"/>
            <w:vAlign w:val="center"/>
          </w:tcPr>
          <w:p>
            <w:pPr>
              <w:pStyle w:val="TableContents"/>
              <w:spacing w:before="0" w:after="283"/>
              <w:jc w:val="left"/>
              <w:rPr/>
            </w:pPr>
            <w:r>
              <w:rPr/>
              <w:t>$</w:t>
            </w:r>
          </w:p>
        </w:tc>
        <w:tc>
          <w:tcPr>
            <w:tcW w:w="1074" w:type="dxa"/>
            <w:tcBorders>
              <w:bottom w:val="double" w:sz="10" w:space="0" w:color="000000"/>
            </w:tcBorders>
            <w:shd w:fill="auto" w:val="clear"/>
            <w:vAlign w:val="center"/>
          </w:tcPr>
          <w:p>
            <w:pPr>
              <w:pStyle w:val="TableContents"/>
              <w:spacing w:before="0" w:after="283"/>
              <w:jc w:val="right"/>
              <w:rPr/>
            </w:pPr>
            <w:r>
              <w:rPr/>
              <w:t>337</w:t>
            </w:r>
          </w:p>
        </w:tc>
        <w:tc>
          <w:tcPr>
            <w:tcW w:w="230" w:type="dxa"/>
            <w:tcBorders/>
            <w:shd w:fill="auto" w:val="clear"/>
            <w:tcMar>
              <w:bottom w:w="0" w:type="dxa"/>
            </w:tcMar>
            <w:vAlign w:val="center"/>
          </w:tcPr>
          <w:p>
            <w:pPr>
              <w:pStyle w:val="TableContents"/>
              <w:spacing w:before="0" w:after="283"/>
              <w:jc w:val="left"/>
              <w:rPr/>
            </w:pPr>
            <w:r>
              <w:rPr/>
              <w:t> </w:t>
            </w:r>
          </w:p>
        </w:tc>
      </w:tr>
      <w:tr>
        <w:trPr/>
        <w:tc>
          <w:tcPr>
            <w:tcW w:w="551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pPr>
            <w:r>
              <w:rPr/>
              <w:t> </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pPr>
            <w:r>
              <w:rPr/>
              <w:t> </w:t>
            </w:r>
          </w:p>
        </w:tc>
        <w:tc>
          <w:tcPr>
            <w:tcW w:w="23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510" w:type="dxa"/>
            <w:tcBorders/>
            <w:shd w:fill="auto" w:val="clear"/>
            <w:tcMar>
              <w:bottom w:w="0" w:type="dxa"/>
            </w:tcMar>
            <w:vAlign w:val="center"/>
          </w:tcPr>
          <w:p>
            <w:pPr>
              <w:pStyle w:val="TableContents"/>
              <w:spacing w:before="0" w:after="283"/>
              <w:jc w:val="left"/>
              <w:rPr/>
            </w:pPr>
            <w:r>
              <w:rPr/>
              <w:t>Weighted-average remaining lease term – finance leases</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3.11 years</w:t>
            </w:r>
          </w:p>
        </w:tc>
        <w:tc>
          <w:tcPr>
            <w:tcW w:w="21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3.95 years</w:t>
            </w:r>
          </w:p>
        </w:tc>
        <w:tc>
          <w:tcPr>
            <w:tcW w:w="230" w:type="dxa"/>
            <w:tcBorders/>
            <w:shd w:fill="auto" w:val="clear"/>
            <w:tcMar>
              <w:bottom w:w="0" w:type="dxa"/>
            </w:tcMar>
            <w:vAlign w:val="center"/>
          </w:tcPr>
          <w:p>
            <w:pPr>
              <w:pStyle w:val="TableContents"/>
              <w:spacing w:before="0" w:after="283"/>
              <w:ind w:left="0" w:right="0" w:hanging="200"/>
              <w:jc w:val="left"/>
              <w:rPr/>
            </w:pPr>
            <w:r>
              <w:rPr/>
              <w:t> </w:t>
            </w:r>
          </w:p>
        </w:tc>
      </w:tr>
      <w:tr>
        <w:trPr/>
        <w:tc>
          <w:tcPr>
            <w:tcW w:w="5510" w:type="dxa"/>
            <w:tcBorders/>
            <w:shd w:fill="CCEEFF" w:val="clear"/>
            <w:tcMar>
              <w:bottom w:w="0" w:type="dxa"/>
            </w:tcMar>
            <w:vAlign w:val="center"/>
          </w:tcPr>
          <w:p>
            <w:pPr>
              <w:pStyle w:val="TableContents"/>
              <w:spacing w:before="0" w:after="283"/>
              <w:jc w:val="left"/>
              <w:rPr/>
            </w:pPr>
            <w:r>
              <w:rPr/>
              <w:t>Weighted-average remaining lease term – operating leases</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2.36 years</w:t>
            </w:r>
          </w:p>
        </w:tc>
        <w:tc>
          <w:tcPr>
            <w:tcW w:w="21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0"/>
              <w:jc w:val="right"/>
              <w:rPr/>
            </w:pPr>
            <w:r>
              <w:rPr/>
              <w:t>—</w:t>
            </w:r>
          </w:p>
        </w:tc>
        <w:tc>
          <w:tcPr>
            <w:tcW w:w="230"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5510" w:type="dxa"/>
            <w:tcBorders/>
            <w:shd w:fill="auto" w:val="clear"/>
            <w:tcMar>
              <w:bottom w:w="0" w:type="dxa"/>
            </w:tcMar>
            <w:vAlign w:val="center"/>
          </w:tcPr>
          <w:p>
            <w:pPr>
              <w:pStyle w:val="TableContents"/>
              <w:spacing w:before="0" w:after="283"/>
              <w:jc w:val="left"/>
              <w:rPr/>
            </w:pPr>
            <w:r>
              <w:rPr/>
              <w:t>Weighted-average discount rate – finance leases</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8.03</w:t>
            </w:r>
          </w:p>
        </w:tc>
        <w:tc>
          <w:tcPr>
            <w:tcW w:w="21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341" w:type="dxa"/>
            <w:tcBorders/>
            <w:shd w:fill="auto" w:val="clear"/>
            <w:tcMar>
              <w:bottom w:w="0" w:type="dxa"/>
            </w:tcMar>
            <w:vAlign w:val="center"/>
          </w:tcPr>
          <w:p>
            <w:pPr>
              <w:pStyle w:val="TableContents"/>
              <w:spacing w:before="0" w:after="283"/>
              <w:jc w:val="left"/>
              <w:rPr/>
            </w:pPr>
            <w:r>
              <w:rPr/>
              <w:t> </w:t>
            </w:r>
          </w:p>
        </w:tc>
        <w:tc>
          <w:tcPr>
            <w:tcW w:w="1074" w:type="dxa"/>
            <w:tcBorders/>
            <w:shd w:fill="auto" w:val="clear"/>
            <w:tcMar>
              <w:bottom w:w="0" w:type="dxa"/>
            </w:tcMar>
            <w:vAlign w:val="center"/>
          </w:tcPr>
          <w:p>
            <w:pPr>
              <w:pStyle w:val="TableContents"/>
              <w:spacing w:before="0" w:after="283"/>
              <w:jc w:val="right"/>
              <w:rPr/>
            </w:pPr>
            <w:r>
              <w:rPr/>
              <w:t>8.11</w:t>
            </w:r>
          </w:p>
        </w:tc>
        <w:tc>
          <w:tcPr>
            <w:tcW w:w="230" w:type="dxa"/>
            <w:tcBorders/>
            <w:shd w:fill="auto" w:val="clear"/>
            <w:tcMar>
              <w:bottom w:w="0" w:type="dxa"/>
            </w:tcMar>
            <w:vAlign w:val="center"/>
          </w:tcPr>
          <w:p>
            <w:pPr>
              <w:pStyle w:val="TableContents"/>
              <w:spacing w:before="0" w:after="283"/>
              <w:ind w:left="0" w:right="0" w:hanging="200"/>
              <w:jc w:val="left"/>
              <w:rPr/>
            </w:pPr>
            <w:r>
              <w:rPr/>
              <w:t>%</w:t>
            </w:r>
          </w:p>
        </w:tc>
      </w:tr>
      <w:tr>
        <w:trPr/>
        <w:tc>
          <w:tcPr>
            <w:tcW w:w="5510" w:type="dxa"/>
            <w:tcBorders/>
            <w:shd w:fill="CCEEFF" w:val="clear"/>
            <w:tcMar>
              <w:bottom w:w="0" w:type="dxa"/>
            </w:tcMar>
            <w:vAlign w:val="center"/>
          </w:tcPr>
          <w:p>
            <w:pPr>
              <w:pStyle w:val="TableContents"/>
              <w:spacing w:before="0" w:after="283"/>
              <w:jc w:val="left"/>
              <w:rPr/>
            </w:pPr>
            <w:r>
              <w:rPr/>
              <w:t>Weighted-average discount rate – operating leases</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283"/>
              <w:jc w:val="right"/>
              <w:rPr/>
            </w:pPr>
            <w:r>
              <w:rPr/>
              <w:t>6.29</w:t>
            </w:r>
          </w:p>
        </w:tc>
        <w:tc>
          <w:tcPr>
            <w:tcW w:w="21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341" w:type="dxa"/>
            <w:tcBorders/>
            <w:shd w:fill="CCEEFF" w:val="clear"/>
            <w:tcMar>
              <w:bottom w:w="0" w:type="dxa"/>
            </w:tcMar>
            <w:vAlign w:val="center"/>
          </w:tcPr>
          <w:p>
            <w:pPr>
              <w:pStyle w:val="TableContents"/>
              <w:spacing w:before="0" w:after="283"/>
              <w:jc w:val="left"/>
              <w:rPr/>
            </w:pPr>
            <w:r>
              <w:rPr/>
              <w:t> </w:t>
            </w:r>
          </w:p>
        </w:tc>
        <w:tc>
          <w:tcPr>
            <w:tcW w:w="1074" w:type="dxa"/>
            <w:tcBorders/>
            <w:shd w:fill="CCEEFF" w:val="clear"/>
            <w:tcMar>
              <w:bottom w:w="0" w:type="dxa"/>
            </w:tcMar>
            <w:vAlign w:val="center"/>
          </w:tcPr>
          <w:p>
            <w:pPr>
              <w:pStyle w:val="TableContents"/>
              <w:spacing w:before="0" w:after="0"/>
              <w:jc w:val="right"/>
              <w:rPr/>
            </w:pPr>
            <w:r>
              <w:rPr/>
              <w:t>—</w:t>
            </w:r>
          </w:p>
        </w:tc>
        <w:tc>
          <w:tcPr>
            <w:tcW w:w="230" w:type="dxa"/>
            <w:tcBorders/>
            <w:shd w:fill="CCEEFF" w:val="clear"/>
            <w:tcMar>
              <w:bottom w:w="0" w:type="dxa"/>
            </w:tcMar>
            <w:vAlign w:val="center"/>
          </w:tcPr>
          <w:p>
            <w:pPr>
              <w:pStyle w:val="TableContents"/>
              <w:spacing w:before="0" w:after="283"/>
              <w:jc w:val="left"/>
              <w:rPr/>
            </w:pPr>
            <w:r>
              <w:rPr/>
              <w:t>%</w:t>
            </w:r>
          </w:p>
        </w:tc>
      </w:tr>
    </w:tbl>
    <w:p>
      <w:pPr>
        <w:pStyle w:val="TextBody"/>
        <w:spacing w:before="0" w:after="0"/>
        <w:ind w:left="0" w:right="0" w:firstLine="360"/>
        <w:rPr>
          <w:caps w:val="false"/>
          <w:smallCaps w:val="false"/>
        </w:rPr>
      </w:pPr>
      <w:r>
        <w:rPr>
          <w:caps w:val="false"/>
          <w:smallCaps w:val="false"/>
        </w:rPr>
        <w:t> </w:t>
      </w:r>
    </w:p>
    <w:tbl>
      <w:tblPr>
        <w:tblW w:w="6765" w:type="dxa"/>
        <w:jc w:val="left"/>
        <w:tblInd w:w="0" w:type="dxa"/>
        <w:tblCellMar>
          <w:top w:w="0" w:type="dxa"/>
          <w:left w:w="0" w:type="dxa"/>
          <w:bottom w:w="28" w:type="dxa"/>
          <w:right w:w="0" w:type="dxa"/>
        </w:tblCellMar>
      </w:tblPr>
      <w:tblGrid>
        <w:gridCol w:w="3680"/>
        <w:gridCol w:w="60"/>
        <w:gridCol w:w="283"/>
        <w:gridCol w:w="1132"/>
        <w:gridCol w:w="60"/>
        <w:gridCol w:w="60"/>
        <w:gridCol w:w="380"/>
        <w:gridCol w:w="1035"/>
        <w:gridCol w:w="75"/>
      </w:tblGrid>
      <w:tr>
        <w:trPr/>
        <w:tc>
          <w:tcPr>
            <w:tcW w:w="3680" w:type="dxa"/>
            <w:tcBorders>
              <w:bottom w:val="single" w:sz="12" w:space="0" w:color="000000"/>
            </w:tcBorders>
            <w:shd w:fill="auto" w:val="clear"/>
            <w:vAlign w:val="center"/>
          </w:tcPr>
          <w:p>
            <w:pPr>
              <w:pStyle w:val="TableContents"/>
              <w:spacing w:before="0" w:after="283"/>
              <w:jc w:val="left"/>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2020</w:t>
            </w:r>
          </w:p>
        </w:tc>
        <w:tc>
          <w:tcPr>
            <w:tcW w:w="75" w:type="dxa"/>
            <w:tcBorders/>
            <w:shd w:fill="auto" w:val="clear"/>
            <w:tcMar>
              <w:bottom w:w="0" w:type="dxa"/>
            </w:tcMar>
            <w:vAlign w:val="center"/>
          </w:tcPr>
          <w:p>
            <w:pPr>
              <w:pStyle w:val="TableContents"/>
              <w:spacing w:before="0" w:after="283"/>
              <w:rPr/>
            </w:pPr>
            <w:r>
              <w:rPr/>
              <w:t> </w:t>
            </w:r>
          </w:p>
        </w:tc>
      </w:tr>
      <w:tr>
        <w:trPr/>
        <w:tc>
          <w:tcPr>
            <w:tcW w:w="3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3680" w:type="dxa"/>
            <w:tcBorders/>
            <w:shd w:fill="CCEEFF" w:val="clear"/>
            <w:tcMar>
              <w:bottom w:w="0" w:type="dxa"/>
            </w:tcMar>
            <w:vAlign w:val="center"/>
          </w:tcPr>
          <w:p>
            <w:pPr>
              <w:pStyle w:val="TableContents"/>
              <w:spacing w:before="0" w:after="283"/>
              <w:jc w:val="left"/>
              <w:rPr/>
            </w:pPr>
            <w:r>
              <w:rPr/>
              <w:t>Right-of-use assets, net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283"/>
              <w:jc w:val="right"/>
              <w:rPr/>
            </w:pPr>
            <w:r>
              <w:rPr/>
              <w:t>1,859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w:t>
            </w:r>
          </w:p>
        </w:tc>
        <w:tc>
          <w:tcPr>
            <w:tcW w:w="1035" w:type="dxa"/>
            <w:tcBorders/>
            <w:shd w:fill="CCEEFF" w:val="clear"/>
            <w:tcMar>
              <w:bottom w:w="0" w:type="dxa"/>
            </w:tcMar>
            <w:vAlign w:val="center"/>
          </w:tcPr>
          <w:p>
            <w:pPr>
              <w:pStyle w:val="TableContents"/>
              <w:spacing w:before="0" w:after="283"/>
              <w:jc w:val="right"/>
              <w:rPr/>
            </w:pPr>
            <w:r>
              <w:rPr/>
              <w:t>544</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shd w:fill="auto" w:val="clear"/>
            <w:tcMar>
              <w:bottom w:w="0" w:type="dxa"/>
            </w:tcMar>
            <w:vAlign w:val="center"/>
          </w:tcPr>
          <w:p>
            <w:pPr>
              <w:pStyle w:val="TableContents"/>
              <w:spacing w:before="0" w:after="283"/>
              <w:jc w:val="left"/>
              <w:rPr/>
            </w:pPr>
            <w:r>
              <w:rPr/>
              <w:t> </w:t>
            </w:r>
          </w:p>
        </w:tc>
        <w:tc>
          <w:tcPr>
            <w:tcW w:w="1035"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3680" w:type="dxa"/>
            <w:tcBorders/>
            <w:shd w:fill="CCEEFF" w:val="clear"/>
            <w:tcMar>
              <w:bottom w:w="0" w:type="dxa"/>
            </w:tcMar>
            <w:vAlign w:val="center"/>
          </w:tcPr>
          <w:p>
            <w:pPr>
              <w:pStyle w:val="TableContents"/>
              <w:spacing w:before="0" w:after="283"/>
              <w:jc w:val="left"/>
              <w:rPr/>
            </w:pPr>
            <w:r>
              <w:rPr/>
              <w:t>Operating lease liabilities, current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814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 </w:t>
            </w:r>
          </w:p>
        </w:tc>
        <w:tc>
          <w:tcPr>
            <w:tcW w:w="1035"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680" w:type="dxa"/>
            <w:tcBorders/>
            <w:shd w:fill="auto" w:val="clear"/>
            <w:tcMar>
              <w:bottom w:w="0" w:type="dxa"/>
            </w:tcMar>
            <w:vAlign w:val="center"/>
          </w:tcPr>
          <w:p>
            <w:pPr>
              <w:pStyle w:val="TableContents"/>
              <w:spacing w:before="0" w:after="283"/>
              <w:jc w:val="left"/>
              <w:rPr/>
            </w:pPr>
            <w:r>
              <w:rPr/>
              <w:t>Operating lease liabilities, non- current</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single" w:sz="12" w:space="0" w:color="000000"/>
            </w:tcBorders>
            <w:shd w:fill="auto" w:val="clear"/>
            <w:vAlign w:val="center"/>
          </w:tcPr>
          <w:p>
            <w:pPr>
              <w:pStyle w:val="TableContents"/>
              <w:spacing w:before="0" w:after="283"/>
              <w:jc w:val="left"/>
              <w:rPr/>
            </w:pPr>
            <w:r>
              <w:rPr/>
              <w:t> </w:t>
            </w:r>
          </w:p>
        </w:tc>
        <w:tc>
          <w:tcPr>
            <w:tcW w:w="1132" w:type="dxa"/>
            <w:tcBorders>
              <w:bottom w:val="single" w:sz="12" w:space="0" w:color="000000"/>
            </w:tcBorders>
            <w:shd w:fill="auto" w:val="clear"/>
            <w:vAlign w:val="center"/>
          </w:tcPr>
          <w:p>
            <w:pPr>
              <w:pStyle w:val="TableContents"/>
              <w:spacing w:before="0" w:after="283"/>
              <w:jc w:val="right"/>
              <w:rPr/>
            </w:pPr>
            <w:r>
              <w:rPr/>
              <w:t>704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bottom w:val="single" w:sz="12" w:space="0" w:color="000000"/>
            </w:tcBorders>
            <w:shd w:fill="auto" w:val="clear"/>
            <w:vAlign w:val="center"/>
          </w:tcPr>
          <w:p>
            <w:pPr>
              <w:pStyle w:val="TableContents"/>
              <w:spacing w:before="0" w:after="283"/>
              <w:jc w:val="left"/>
              <w:rPr/>
            </w:pPr>
            <w:r>
              <w:rPr/>
              <w:t> </w:t>
            </w:r>
          </w:p>
        </w:tc>
        <w:tc>
          <w:tcPr>
            <w:tcW w:w="1035" w:type="dxa"/>
            <w:tcBorders>
              <w:bottom w:val="single" w:sz="12" w:space="0" w:color="000000"/>
            </w:tcBorders>
            <w:shd w:fill="auto" w:val="cle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3680" w:type="dxa"/>
            <w:tcBorders/>
            <w:shd w:fill="CCEEFF" w:val="clear"/>
            <w:tcMar>
              <w:bottom w:w="0" w:type="dxa"/>
            </w:tcMar>
            <w:vAlign w:val="center"/>
          </w:tcPr>
          <w:p>
            <w:pPr>
              <w:pStyle w:val="TableContents"/>
              <w:spacing w:before="0" w:after="283"/>
              <w:jc w:val="left"/>
              <w:rPr/>
            </w:pPr>
            <w:r>
              <w:rPr/>
              <w:t>Total operating lease liabilities</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double" w:sz="10" w:space="0" w:color="000000"/>
            </w:tcBorders>
            <w:shd w:fill="CCEEFF" w:val="clear"/>
            <w:vAlign w:val="center"/>
          </w:tcPr>
          <w:p>
            <w:pPr>
              <w:pStyle w:val="TableContents"/>
              <w:spacing w:before="0" w:after="283"/>
              <w:jc w:val="left"/>
              <w:rPr/>
            </w:pPr>
            <w:r>
              <w:rPr/>
              <w:t>$</w:t>
            </w:r>
          </w:p>
        </w:tc>
        <w:tc>
          <w:tcPr>
            <w:tcW w:w="1132" w:type="dxa"/>
            <w:tcBorders>
              <w:bottom w:val="double" w:sz="10" w:space="0" w:color="000000"/>
            </w:tcBorders>
            <w:shd w:fill="CCEEFF" w:val="clear"/>
            <w:vAlign w:val="center"/>
          </w:tcPr>
          <w:p>
            <w:pPr>
              <w:pStyle w:val="TableContents"/>
              <w:spacing w:before="0" w:after="283"/>
              <w:jc w:val="right"/>
              <w:rPr/>
            </w:pPr>
            <w:r>
              <w:rPr/>
              <w:t>1,518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bottom w:val="double" w:sz="10" w:space="0" w:color="000000"/>
            </w:tcBorders>
            <w:shd w:fill="CCEEFF" w:val="clear"/>
            <w:vAlign w:val="center"/>
          </w:tcPr>
          <w:p>
            <w:pPr>
              <w:pStyle w:val="TableContents"/>
              <w:spacing w:before="0" w:after="283"/>
              <w:jc w:val="left"/>
              <w:rPr/>
            </w:pPr>
            <w:r>
              <w:rPr/>
              <w:t>$</w:t>
            </w:r>
          </w:p>
        </w:tc>
        <w:tc>
          <w:tcPr>
            <w:tcW w:w="1035" w:type="dxa"/>
            <w:tcBorders>
              <w:bottom w:val="double" w:sz="10" w:space="0" w:color="000000"/>
            </w:tcBorders>
            <w:shd w:fill="CCEEFF" w:val="cle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3" w:type="dxa"/>
            <w:tcBorders/>
            <w:shd w:fill="auto" w:val="clear"/>
            <w:tcMar>
              <w:bottom w:w="0" w:type="dxa"/>
            </w:tcMar>
            <w:vAlign w:val="center"/>
          </w:tcPr>
          <w:p>
            <w:pPr>
              <w:pStyle w:val="TableContents"/>
              <w:spacing w:before="0" w:after="283"/>
              <w:jc w:val="left"/>
              <w:rPr/>
            </w:pPr>
            <w:r>
              <w:rPr/>
              <w:t> </w:t>
            </w:r>
          </w:p>
        </w:tc>
        <w:tc>
          <w:tcPr>
            <w:tcW w:w="1132"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shd w:fill="auto" w:val="clear"/>
            <w:tcMar>
              <w:bottom w:w="0" w:type="dxa"/>
            </w:tcMar>
            <w:vAlign w:val="center"/>
          </w:tcPr>
          <w:p>
            <w:pPr>
              <w:pStyle w:val="TableContents"/>
              <w:spacing w:before="0" w:after="283"/>
              <w:jc w:val="left"/>
              <w:rPr/>
            </w:pPr>
            <w:r>
              <w:rPr/>
              <w:t> </w:t>
            </w:r>
          </w:p>
        </w:tc>
        <w:tc>
          <w:tcPr>
            <w:tcW w:w="1035"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3680" w:type="dxa"/>
            <w:tcBorders/>
            <w:shd w:fill="CCEEFF" w:val="clear"/>
            <w:tcMar>
              <w:bottom w:w="0" w:type="dxa"/>
            </w:tcMar>
            <w:vAlign w:val="center"/>
          </w:tcPr>
          <w:p>
            <w:pPr>
              <w:pStyle w:val="TableContents"/>
              <w:spacing w:before="0" w:after="283"/>
              <w:jc w:val="left"/>
              <w:rPr/>
            </w:pPr>
            <w:r>
              <w:rPr/>
              <w:t>Finance lease liabilities, current</w:t>
            </w:r>
          </w:p>
        </w:tc>
        <w:tc>
          <w:tcPr>
            <w:tcW w:w="60" w:type="dxa"/>
            <w:tcBorders/>
            <w:shd w:fill="CCEEFF" w:val="clear"/>
            <w:tcMar>
              <w:bottom w:w="0" w:type="dxa"/>
            </w:tcMar>
            <w:vAlign w:val="center"/>
          </w:tcPr>
          <w:p>
            <w:pPr>
              <w:pStyle w:val="TableContents"/>
              <w:spacing w:before="0" w:after="283"/>
              <w:rPr/>
            </w:pPr>
            <w:r>
              <w:rPr/>
              <w:t> </w:t>
            </w:r>
          </w:p>
        </w:tc>
        <w:tc>
          <w:tcPr>
            <w:tcW w:w="283" w:type="dxa"/>
            <w:tcBorders/>
            <w:shd w:fill="CCEEFF" w:val="clear"/>
            <w:tcMar>
              <w:bottom w:w="0" w:type="dxa"/>
            </w:tcMar>
            <w:vAlign w:val="center"/>
          </w:tcPr>
          <w:p>
            <w:pPr>
              <w:pStyle w:val="TableContents"/>
              <w:spacing w:before="0" w:after="283"/>
              <w:jc w:val="left"/>
              <w:rPr/>
            </w:pPr>
            <w:r>
              <w:rPr/>
              <w:t>$</w:t>
            </w:r>
          </w:p>
        </w:tc>
        <w:tc>
          <w:tcPr>
            <w:tcW w:w="1132" w:type="dxa"/>
            <w:tcBorders/>
            <w:shd w:fill="CCEEFF" w:val="clear"/>
            <w:tcMar>
              <w:bottom w:w="0" w:type="dxa"/>
            </w:tcMar>
            <w:vAlign w:val="center"/>
          </w:tcPr>
          <w:p>
            <w:pPr>
              <w:pStyle w:val="TableContents"/>
              <w:spacing w:before="0" w:after="283"/>
              <w:jc w:val="right"/>
              <w:rPr/>
            </w:pPr>
            <w:r>
              <w:rPr/>
              <w:t>156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shd w:fill="CCEEFF" w:val="clear"/>
            <w:tcMar>
              <w:bottom w:w="0" w:type="dxa"/>
            </w:tcMar>
            <w:vAlign w:val="center"/>
          </w:tcPr>
          <w:p>
            <w:pPr>
              <w:pStyle w:val="TableContents"/>
              <w:spacing w:before="0" w:after="283"/>
              <w:jc w:val="left"/>
              <w:rPr/>
            </w:pPr>
            <w:r>
              <w:rPr/>
              <w:t>$</w:t>
            </w:r>
          </w:p>
        </w:tc>
        <w:tc>
          <w:tcPr>
            <w:tcW w:w="1035" w:type="dxa"/>
            <w:tcBorders/>
            <w:shd w:fill="CCEEFF" w:val="clear"/>
            <w:tcMar>
              <w:bottom w:w="0" w:type="dxa"/>
            </w:tcMar>
            <w:vAlign w:val="center"/>
          </w:tcPr>
          <w:p>
            <w:pPr>
              <w:pStyle w:val="TableContents"/>
              <w:spacing w:before="0" w:after="283"/>
              <w:jc w:val="right"/>
              <w:rPr/>
            </w:pPr>
            <w:r>
              <w:rPr/>
              <w:t>148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680" w:type="dxa"/>
            <w:tcBorders/>
            <w:shd w:fill="auto" w:val="clear"/>
            <w:tcMar>
              <w:bottom w:w="0" w:type="dxa"/>
            </w:tcMar>
            <w:vAlign w:val="center"/>
          </w:tcPr>
          <w:p>
            <w:pPr>
              <w:pStyle w:val="TableContents"/>
              <w:spacing w:before="0" w:after="283"/>
              <w:jc w:val="left"/>
              <w:rPr/>
            </w:pPr>
            <w:r>
              <w:rPr/>
              <w:t>Finance lease liabilities, non- current</w:t>
            </w:r>
          </w:p>
        </w:tc>
        <w:tc>
          <w:tcPr>
            <w:tcW w:w="60" w:type="dxa"/>
            <w:tcBorders/>
            <w:shd w:fill="auto" w:val="clear"/>
            <w:tcMar>
              <w:bottom w:w="0" w:type="dxa"/>
            </w:tcMar>
            <w:vAlign w:val="center"/>
          </w:tcPr>
          <w:p>
            <w:pPr>
              <w:pStyle w:val="TableContents"/>
              <w:spacing w:before="0" w:after="283"/>
              <w:rPr/>
            </w:pPr>
            <w:r>
              <w:rPr/>
              <w:t> </w:t>
            </w:r>
          </w:p>
        </w:tc>
        <w:tc>
          <w:tcPr>
            <w:tcW w:w="283" w:type="dxa"/>
            <w:tcBorders>
              <w:bottom w:val="single" w:sz="12" w:space="0" w:color="000000"/>
            </w:tcBorders>
            <w:shd w:fill="auto" w:val="clear"/>
            <w:vAlign w:val="center"/>
          </w:tcPr>
          <w:p>
            <w:pPr>
              <w:pStyle w:val="TableContents"/>
              <w:spacing w:before="0" w:after="283"/>
              <w:jc w:val="left"/>
              <w:rPr/>
            </w:pPr>
            <w:r>
              <w:rPr/>
              <w:t> </w:t>
            </w:r>
          </w:p>
        </w:tc>
        <w:tc>
          <w:tcPr>
            <w:tcW w:w="1132" w:type="dxa"/>
            <w:tcBorders>
              <w:bottom w:val="single" w:sz="12" w:space="0" w:color="000000"/>
            </w:tcBorders>
            <w:shd w:fill="auto" w:val="clear"/>
            <w:vAlign w:val="center"/>
          </w:tcPr>
          <w:p>
            <w:pPr>
              <w:pStyle w:val="TableContents"/>
              <w:spacing w:before="0" w:after="283"/>
              <w:jc w:val="right"/>
              <w:rPr/>
            </w:pPr>
            <w:r>
              <w:rPr/>
              <w:t>293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380" w:type="dxa"/>
            <w:tcBorders>
              <w:bottom w:val="single" w:sz="12" w:space="0" w:color="000000"/>
            </w:tcBorders>
            <w:shd w:fill="auto" w:val="clear"/>
            <w:vAlign w:val="center"/>
          </w:tcPr>
          <w:p>
            <w:pPr>
              <w:pStyle w:val="TableContents"/>
              <w:spacing w:before="0" w:after="283"/>
              <w:jc w:val="left"/>
              <w:rPr/>
            </w:pPr>
            <w:r>
              <w:rPr/>
              <w:t> </w:t>
            </w:r>
          </w:p>
        </w:tc>
        <w:tc>
          <w:tcPr>
            <w:tcW w:w="1035" w:type="dxa"/>
            <w:tcBorders>
              <w:bottom w:val="single" w:sz="12" w:space="0" w:color="000000"/>
            </w:tcBorders>
            <w:shd w:fill="auto" w:val="clear"/>
            <w:vAlign w:val="center"/>
          </w:tcPr>
          <w:p>
            <w:pPr>
              <w:pStyle w:val="TableContents"/>
              <w:spacing w:before="0" w:after="283"/>
              <w:jc w:val="right"/>
              <w:rPr/>
            </w:pPr>
            <w:r>
              <w:rPr/>
              <w:t>434</w:t>
            </w:r>
          </w:p>
        </w:tc>
        <w:tc>
          <w:tcPr>
            <w:tcW w:w="75" w:type="dxa"/>
            <w:tcBorders/>
            <w:shd w:fill="auto" w:val="clear"/>
            <w:tcMar>
              <w:bottom w:w="0" w:type="dxa"/>
            </w:tcMar>
            <w:vAlign w:val="center"/>
          </w:tcPr>
          <w:p>
            <w:pPr>
              <w:pStyle w:val="TableContents"/>
              <w:spacing w:before="0" w:after="283"/>
              <w:jc w:val="left"/>
              <w:rPr/>
            </w:pPr>
            <w:r>
              <w:rPr/>
              <w:t> </w:t>
            </w:r>
          </w:p>
        </w:tc>
      </w:tr>
      <w:tr>
        <w:trPr/>
        <w:tc>
          <w:tcPr>
            <w:tcW w:w="3680" w:type="dxa"/>
            <w:tcBorders/>
            <w:shd w:fill="CCEEFF" w:val="clear"/>
            <w:tcMar>
              <w:bottom w:w="0" w:type="dxa"/>
            </w:tcMar>
            <w:vAlign w:val="center"/>
          </w:tcPr>
          <w:p>
            <w:pPr>
              <w:pStyle w:val="TableContents"/>
              <w:spacing w:before="0" w:after="283"/>
              <w:jc w:val="left"/>
              <w:rPr/>
            </w:pPr>
            <w:r>
              <w:rPr/>
              <w:t>Total finance lease liabilities</w:t>
            </w:r>
          </w:p>
        </w:tc>
        <w:tc>
          <w:tcPr>
            <w:tcW w:w="60" w:type="dxa"/>
            <w:tcBorders/>
            <w:shd w:fill="CCEEFF" w:val="clear"/>
            <w:tcMar>
              <w:bottom w:w="0" w:type="dxa"/>
            </w:tcMar>
            <w:vAlign w:val="center"/>
          </w:tcPr>
          <w:p>
            <w:pPr>
              <w:pStyle w:val="TableContents"/>
              <w:spacing w:before="0" w:after="283"/>
              <w:rPr/>
            </w:pPr>
            <w:r>
              <w:rPr/>
              <w:t> </w:t>
            </w:r>
          </w:p>
        </w:tc>
        <w:tc>
          <w:tcPr>
            <w:tcW w:w="283" w:type="dxa"/>
            <w:tcBorders>
              <w:bottom w:val="double" w:sz="10" w:space="0" w:color="000000"/>
            </w:tcBorders>
            <w:shd w:fill="CCEEFF" w:val="clear"/>
            <w:vAlign w:val="center"/>
          </w:tcPr>
          <w:p>
            <w:pPr>
              <w:pStyle w:val="TableContents"/>
              <w:spacing w:before="0" w:after="283"/>
              <w:jc w:val="left"/>
              <w:rPr/>
            </w:pPr>
            <w:r>
              <w:rPr/>
              <w:t>$</w:t>
            </w:r>
          </w:p>
        </w:tc>
        <w:tc>
          <w:tcPr>
            <w:tcW w:w="1132" w:type="dxa"/>
            <w:tcBorders>
              <w:bottom w:val="double" w:sz="10" w:space="0" w:color="000000"/>
            </w:tcBorders>
            <w:shd w:fill="CCEEFF" w:val="clear"/>
            <w:vAlign w:val="center"/>
          </w:tcPr>
          <w:p>
            <w:pPr>
              <w:pStyle w:val="TableContents"/>
              <w:spacing w:before="0" w:after="283"/>
              <w:jc w:val="right"/>
              <w:rPr/>
            </w:pPr>
            <w:r>
              <w:rPr/>
              <w:t>449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80" w:type="dxa"/>
            <w:tcBorders>
              <w:bottom w:val="double" w:sz="10" w:space="0" w:color="000000"/>
            </w:tcBorders>
            <w:shd w:fill="CCEEFF" w:val="clear"/>
            <w:vAlign w:val="center"/>
          </w:tcPr>
          <w:p>
            <w:pPr>
              <w:pStyle w:val="TableContents"/>
              <w:spacing w:before="0" w:after="283"/>
              <w:jc w:val="left"/>
              <w:rPr/>
            </w:pPr>
            <w:r>
              <w:rPr/>
              <w:t>$</w:t>
            </w:r>
          </w:p>
        </w:tc>
        <w:tc>
          <w:tcPr>
            <w:tcW w:w="1035" w:type="dxa"/>
            <w:tcBorders>
              <w:bottom w:val="double" w:sz="10" w:space="0" w:color="000000"/>
            </w:tcBorders>
            <w:shd w:fill="CCEEFF" w:val="clear"/>
            <w:vAlign w:val="center"/>
          </w:tcPr>
          <w:p>
            <w:pPr>
              <w:pStyle w:val="TableContents"/>
              <w:spacing w:before="0" w:after="283"/>
              <w:jc w:val="right"/>
              <w:rPr/>
            </w:pPr>
            <w:r>
              <w:rPr/>
              <w:t>582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and finance lease liabilities as of December 31, 2021 are as follows: </w:t>
      </w:r>
    </w:p>
    <w:p>
      <w:pPr>
        <w:pStyle w:val="TextBody"/>
        <w:spacing w:before="0" w:after="0"/>
        <w:ind w:left="0" w:right="0" w:firstLine="360"/>
        <w:rPr>
          <w:caps w:val="false"/>
          <w:smallCaps w:val="false"/>
        </w:rPr>
      </w:pPr>
      <w:r>
        <w:rPr>
          <w:caps w:val="false"/>
          <w:smallCaps w:val="false"/>
        </w:rPr>
        <w:t> </w:t>
      </w:r>
    </w:p>
    <w:tbl>
      <w:tblPr>
        <w:tblW w:w="4645" w:type="dxa"/>
        <w:jc w:val="left"/>
        <w:tblInd w:w="0" w:type="dxa"/>
        <w:tblCellMar>
          <w:top w:w="0" w:type="dxa"/>
          <w:left w:w="0" w:type="dxa"/>
          <w:bottom w:w="28" w:type="dxa"/>
          <w:right w:w="0" w:type="dxa"/>
        </w:tblCellMar>
      </w:tblPr>
      <w:tblGrid>
        <w:gridCol w:w="2765"/>
        <w:gridCol w:w="60"/>
        <w:gridCol w:w="182"/>
        <w:gridCol w:w="708"/>
        <w:gridCol w:w="80"/>
        <w:gridCol w:w="60"/>
        <w:gridCol w:w="188"/>
        <w:gridCol w:w="507"/>
        <w:gridCol w:w="95"/>
      </w:tblGrid>
      <w:tr>
        <w:trPr/>
        <w:tc>
          <w:tcPr>
            <w:tcW w:w="2765" w:type="dxa"/>
            <w:tcBorders>
              <w:bottom w:val="single" w:sz="12" w:space="0" w:color="000000"/>
            </w:tcBorders>
            <w:shd w:fill="auto" w:val="clear"/>
            <w:vAlign w:val="center"/>
          </w:tcPr>
          <w:p>
            <w:pPr>
              <w:pStyle w:val="TableContents"/>
              <w:spacing w:before="0" w:after="283"/>
              <w:rPr>
                <w:sz w:val="20"/>
              </w:rPr>
            </w:pPr>
            <w:r>
              <w:rPr>
                <w:b/>
                <w:sz w:val="20"/>
              </w:rPr>
              <w:t>(Dollar Amounts in Thousands)</w:t>
            </w:r>
            <w:r>
              <w:rPr>
                <w:sz w:val="20"/>
              </w:rPr>
              <w:t> </w:t>
            </w:r>
          </w:p>
        </w:tc>
        <w:tc>
          <w:tcPr>
            <w:tcW w:w="60" w:type="dxa"/>
            <w:tcBorders/>
            <w:shd w:fill="auto" w:val="clear"/>
            <w:tcMar>
              <w:bottom w:w="0" w:type="dxa"/>
            </w:tcMar>
            <w:vAlign w:val="center"/>
          </w:tcPr>
          <w:p>
            <w:pPr>
              <w:pStyle w:val="TableContents"/>
              <w:spacing w:before="0" w:after="283"/>
              <w:rPr/>
            </w:pPr>
            <w:r>
              <w:rPr/>
              <w:t> </w:t>
            </w:r>
          </w:p>
        </w:tc>
        <w:tc>
          <w:tcPr>
            <w:tcW w:w="890" w:type="dxa"/>
            <w:gridSpan w:val="2"/>
            <w:tcBorders>
              <w:bottom w:val="single" w:sz="12" w:space="0" w:color="000000"/>
            </w:tcBorders>
            <w:shd w:fill="auto" w:val="clear"/>
            <w:vAlign w:val="center"/>
          </w:tcPr>
          <w:p>
            <w:pPr>
              <w:pStyle w:val="TableContents"/>
              <w:spacing w:before="0" w:after="283"/>
              <w:jc w:val="center"/>
              <w:rPr>
                <w:b/>
                <w:sz w:val="20"/>
              </w:rPr>
            </w:pPr>
            <w:r>
              <w:rPr>
                <w:b/>
                <w:sz w:val="20"/>
              </w:rPr>
              <w:t>Operating</w:t>
              <w:br/>
              <w:t>leases</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 w:type="dxa"/>
            <w:gridSpan w:val="2"/>
            <w:tcBorders>
              <w:bottom w:val="single" w:sz="12" w:space="0" w:color="000000"/>
            </w:tcBorders>
            <w:shd w:fill="auto" w:val="clear"/>
            <w:vAlign w:val="center"/>
          </w:tcPr>
          <w:p>
            <w:pPr>
              <w:pStyle w:val="TableContents"/>
              <w:spacing w:before="0" w:after="283"/>
              <w:jc w:val="center"/>
              <w:rPr>
                <w:b/>
                <w:sz w:val="20"/>
              </w:rPr>
            </w:pPr>
            <w:r>
              <w:rPr>
                <w:b/>
                <w:sz w:val="20"/>
              </w:rPr>
              <w:t>Finance</w:t>
              <w:br/>
              <w:t>leases</w:t>
            </w:r>
          </w:p>
        </w:tc>
        <w:tc>
          <w:tcPr>
            <w:tcW w:w="95" w:type="dxa"/>
            <w:tcBorders/>
            <w:shd w:fill="auto" w:val="clear"/>
            <w:tcMar>
              <w:bottom w:w="0" w:type="dxa"/>
            </w:tcMar>
            <w:vAlign w:val="center"/>
          </w:tcPr>
          <w:p>
            <w:pPr>
              <w:pStyle w:val="TableContents"/>
              <w:spacing w:before="0" w:after="283"/>
              <w:rPr/>
            </w:pPr>
            <w:r>
              <w:rPr/>
              <w:t> </w:t>
            </w:r>
          </w:p>
        </w:tc>
      </w:tr>
      <w:tr>
        <w:trPr/>
        <w:tc>
          <w:tcPr>
            <w:tcW w:w="2765" w:type="dxa"/>
            <w:tcBorders/>
            <w:shd w:fill="auto" w:val="clear"/>
            <w:tcMar>
              <w:bottom w:w="0" w:type="dxa"/>
            </w:tcMar>
            <w:vAlign w:val="center"/>
          </w:tcPr>
          <w:p>
            <w:pPr>
              <w:pStyle w:val="TableContents"/>
              <w:spacing w:before="0" w:after="283"/>
              <w:rPr>
                <w:sz w:val="20"/>
              </w:rPr>
            </w:pPr>
            <w:r>
              <w:rPr>
                <w:sz w:val="20"/>
              </w:rPr>
              <w:t>For the year ending December 31,</w:t>
            </w:r>
          </w:p>
        </w:tc>
        <w:tc>
          <w:tcPr>
            <w:tcW w:w="60" w:type="dxa"/>
            <w:tcBorders/>
            <w:shd w:fill="auto" w:val="clear"/>
            <w:tcMar>
              <w:bottom w:w="0" w:type="dxa"/>
            </w:tcMar>
            <w:vAlign w:val="center"/>
          </w:tcPr>
          <w:p>
            <w:pPr>
              <w:pStyle w:val="TableContents"/>
              <w:spacing w:before="0" w:after="283"/>
              <w:rPr/>
            </w:pPr>
            <w:r>
              <w:rPr/>
              <w:t> </w:t>
            </w:r>
          </w:p>
        </w:tc>
        <w:tc>
          <w:tcPr>
            <w:tcW w:w="890" w:type="dxa"/>
            <w:gridSpan w:val="2"/>
            <w:tcBorders/>
            <w:shd w:fill="auto" w:val="clear"/>
            <w:tcMar>
              <w:bottom w:w="0" w:type="dxa"/>
            </w:tcMar>
            <w:vAlign w:val="center"/>
          </w:tcPr>
          <w:p>
            <w:pPr>
              <w:pStyle w:val="TableContents"/>
              <w:spacing w:before="0" w:after="283"/>
              <w:jc w:val="center"/>
              <w:rPr/>
            </w:pPr>
            <w:r>
              <w:rPr/>
              <w:t> </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 w:type="dxa"/>
            <w:gridSpan w:val="2"/>
            <w:tcBorders/>
            <w:shd w:fill="auto" w:val="clear"/>
            <w:tcMar>
              <w:bottom w:w="0" w:type="dxa"/>
            </w:tcMar>
            <w:vAlign w:val="center"/>
          </w:tcPr>
          <w:p>
            <w:pPr>
              <w:pStyle w:val="TableContents"/>
              <w:spacing w:before="0" w:after="283"/>
              <w:jc w:val="center"/>
              <w:rPr/>
            </w:pPr>
            <w:r>
              <w:rPr/>
              <w:t> </w:t>
            </w:r>
          </w:p>
        </w:tc>
        <w:tc>
          <w:tcPr>
            <w:tcW w:w="95" w:type="dxa"/>
            <w:tcBorders/>
            <w:shd w:fill="auto" w:val="clear"/>
            <w:tcMar>
              <w:bottom w:w="0" w:type="dxa"/>
            </w:tcMar>
            <w:vAlign w:val="center"/>
          </w:tcPr>
          <w:p>
            <w:pPr>
              <w:pStyle w:val="TableContents"/>
              <w:spacing w:before="0" w:after="283"/>
              <w:rPr/>
            </w:pPr>
            <w:r>
              <w:rPr/>
              <w:t> </w:t>
            </w:r>
          </w:p>
        </w:tc>
      </w:tr>
      <w:tr>
        <w:trPr/>
        <w:tc>
          <w:tcPr>
            <w:tcW w:w="2765" w:type="dxa"/>
            <w:tcBorders/>
            <w:shd w:fill="CCEEFF" w:val="clear"/>
            <w:tcMar>
              <w:bottom w:w="0" w:type="dxa"/>
            </w:tcMar>
            <w:vAlign w:val="center"/>
          </w:tcPr>
          <w:p>
            <w:pPr>
              <w:pStyle w:val="TableContents"/>
              <w:spacing w:before="0" w:after="283"/>
              <w:rPr>
                <w:sz w:val="20"/>
              </w:rPr>
            </w:pPr>
            <w:r>
              <w:rPr>
                <w:sz w:val="20"/>
              </w:rPr>
              <w:t>2022</w:t>
            </w:r>
          </w:p>
        </w:tc>
        <w:tc>
          <w:tcPr>
            <w:tcW w:w="60" w:type="dxa"/>
            <w:tcBorders/>
            <w:shd w:fill="CCEEFF" w:val="clear"/>
            <w:tcMar>
              <w:bottom w:w="0" w:type="dxa"/>
            </w:tcMar>
            <w:vAlign w:val="center"/>
          </w:tcPr>
          <w:p>
            <w:pPr>
              <w:pStyle w:val="TableContents"/>
              <w:spacing w:before="0" w:after="283"/>
              <w:rPr/>
            </w:pPr>
            <w:r>
              <w:rPr/>
              <w:t> </w:t>
            </w:r>
          </w:p>
        </w:tc>
        <w:tc>
          <w:tcPr>
            <w:tcW w:w="182" w:type="dxa"/>
            <w:tcBorders/>
            <w:shd w:fill="CCEEFF" w:val="clear"/>
            <w:tcMar>
              <w:bottom w:w="0" w:type="dxa"/>
            </w:tcMar>
            <w:vAlign w:val="center"/>
          </w:tcPr>
          <w:p>
            <w:pPr>
              <w:pStyle w:val="TableContents"/>
              <w:spacing w:before="0" w:after="283"/>
              <w:rPr>
                <w:sz w:val="20"/>
              </w:rPr>
            </w:pPr>
            <w:r>
              <w:rPr>
                <w:sz w:val="20"/>
              </w:rPr>
              <w:t>$</w:t>
            </w:r>
          </w:p>
        </w:tc>
        <w:tc>
          <w:tcPr>
            <w:tcW w:w="708" w:type="dxa"/>
            <w:tcBorders/>
            <w:shd w:fill="CCEEFF" w:val="clear"/>
            <w:tcMar>
              <w:bottom w:w="0" w:type="dxa"/>
            </w:tcMar>
            <w:vAlign w:val="center"/>
          </w:tcPr>
          <w:p>
            <w:pPr>
              <w:pStyle w:val="TableContents"/>
              <w:spacing w:before="0" w:after="283"/>
              <w:jc w:val="right"/>
              <w:rPr>
                <w:sz w:val="20"/>
              </w:rPr>
            </w:pPr>
            <w:r>
              <w:rPr>
                <w:sz w:val="20"/>
              </w:rPr>
              <w:t>833</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rPr>
                <w:sz w:val="20"/>
              </w:rPr>
            </w:pPr>
            <w:r>
              <w:rPr>
                <w:sz w:val="20"/>
              </w:rPr>
              <w:t>$</w:t>
            </w:r>
          </w:p>
        </w:tc>
        <w:tc>
          <w:tcPr>
            <w:tcW w:w="507" w:type="dxa"/>
            <w:tcBorders/>
            <w:shd w:fill="CCEEFF" w:val="clear"/>
            <w:tcMar>
              <w:bottom w:w="0" w:type="dxa"/>
            </w:tcMar>
            <w:vAlign w:val="center"/>
          </w:tcPr>
          <w:p>
            <w:pPr>
              <w:pStyle w:val="TableContents"/>
              <w:spacing w:before="0" w:after="283"/>
              <w:jc w:val="right"/>
              <w:rPr>
                <w:sz w:val="20"/>
              </w:rPr>
            </w:pPr>
            <w:r>
              <w:rPr>
                <w:sz w:val="20"/>
              </w:rPr>
              <w:t>186</w:t>
            </w:r>
          </w:p>
        </w:tc>
        <w:tc>
          <w:tcPr>
            <w:tcW w:w="95" w:type="dxa"/>
            <w:tcBorders/>
            <w:shd w:fill="CCEEFF" w:val="clear"/>
            <w:tcMar>
              <w:bottom w:w="0" w:type="dxa"/>
            </w:tcMar>
            <w:vAlign w:val="center"/>
          </w:tcPr>
          <w:p>
            <w:pPr>
              <w:pStyle w:val="TableContents"/>
              <w:spacing w:before="0" w:after="283"/>
              <w:rPr/>
            </w:pPr>
            <w:r>
              <w:rPr/>
              <w:t> </w:t>
            </w:r>
          </w:p>
        </w:tc>
      </w:tr>
      <w:tr>
        <w:trPr/>
        <w:tc>
          <w:tcPr>
            <w:tcW w:w="2765" w:type="dxa"/>
            <w:tcBorders/>
            <w:shd w:fill="auto" w:val="clear"/>
            <w:tcMar>
              <w:bottom w:w="0" w:type="dxa"/>
            </w:tcMar>
            <w:vAlign w:val="center"/>
          </w:tcPr>
          <w:p>
            <w:pPr>
              <w:pStyle w:val="TableContents"/>
              <w:spacing w:before="0" w:after="283"/>
              <w:rPr>
                <w:sz w:val="20"/>
              </w:rPr>
            </w:pPr>
            <w:r>
              <w:rPr>
                <w:sz w:val="20"/>
              </w:rPr>
              <w:t>2023</w:t>
            </w:r>
          </w:p>
        </w:tc>
        <w:tc>
          <w:tcPr>
            <w:tcW w:w="60" w:type="dxa"/>
            <w:tcBorders/>
            <w:shd w:fill="auto" w:val="clear"/>
            <w:tcMar>
              <w:bottom w:w="0" w:type="dxa"/>
            </w:tcMar>
            <w:vAlign w:val="center"/>
          </w:tcPr>
          <w:p>
            <w:pPr>
              <w:pStyle w:val="TableContents"/>
              <w:spacing w:before="0" w:after="283"/>
              <w:rPr/>
            </w:pPr>
            <w:r>
              <w:rPr/>
              <w:t> </w:t>
            </w:r>
          </w:p>
        </w:tc>
        <w:tc>
          <w:tcPr>
            <w:tcW w:w="182" w:type="dxa"/>
            <w:tcBorders/>
            <w:shd w:fill="auto" w:val="clear"/>
            <w:tcMar>
              <w:bottom w:w="0" w:type="dxa"/>
            </w:tcMar>
            <w:vAlign w:val="center"/>
          </w:tcPr>
          <w:p>
            <w:pPr>
              <w:pStyle w:val="TableContents"/>
              <w:spacing w:before="0" w:after="283"/>
              <w:rPr/>
            </w:pPr>
            <w:r>
              <w:rPr/>
              <w:t> </w:t>
            </w:r>
          </w:p>
        </w:tc>
        <w:tc>
          <w:tcPr>
            <w:tcW w:w="708" w:type="dxa"/>
            <w:tcBorders/>
            <w:shd w:fill="auto" w:val="clear"/>
            <w:tcMar>
              <w:bottom w:w="0" w:type="dxa"/>
            </w:tcMar>
            <w:vAlign w:val="center"/>
          </w:tcPr>
          <w:p>
            <w:pPr>
              <w:pStyle w:val="TableContents"/>
              <w:spacing w:before="0" w:after="283"/>
              <w:jc w:val="right"/>
              <w:rPr>
                <w:sz w:val="20"/>
              </w:rPr>
            </w:pPr>
            <w:r>
              <w:rPr>
                <w:sz w:val="20"/>
              </w:rPr>
              <w:t>471</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8" w:type="dxa"/>
            <w:tcBorders/>
            <w:shd w:fill="auto" w:val="clear"/>
            <w:tcMar>
              <w:bottom w:w="0" w:type="dxa"/>
            </w:tcMar>
            <w:vAlign w:val="center"/>
          </w:tcPr>
          <w:p>
            <w:pPr>
              <w:pStyle w:val="TableContents"/>
              <w:spacing w:before="0" w:after="283"/>
              <w:rPr/>
            </w:pPr>
            <w:r>
              <w:rPr/>
              <w:t> </w:t>
            </w:r>
          </w:p>
        </w:tc>
        <w:tc>
          <w:tcPr>
            <w:tcW w:w="507" w:type="dxa"/>
            <w:tcBorders/>
            <w:shd w:fill="auto" w:val="clear"/>
            <w:tcMar>
              <w:bottom w:w="0" w:type="dxa"/>
            </w:tcMar>
            <w:vAlign w:val="center"/>
          </w:tcPr>
          <w:p>
            <w:pPr>
              <w:pStyle w:val="TableContents"/>
              <w:spacing w:before="0" w:after="283"/>
              <w:jc w:val="right"/>
              <w:rPr>
                <w:sz w:val="20"/>
              </w:rPr>
            </w:pPr>
            <w:r>
              <w:rPr>
                <w:sz w:val="20"/>
              </w:rPr>
              <w:t>159</w:t>
            </w:r>
          </w:p>
        </w:tc>
        <w:tc>
          <w:tcPr>
            <w:tcW w:w="95" w:type="dxa"/>
            <w:tcBorders/>
            <w:shd w:fill="auto" w:val="clear"/>
            <w:tcMar>
              <w:bottom w:w="0" w:type="dxa"/>
            </w:tcMar>
            <w:vAlign w:val="center"/>
          </w:tcPr>
          <w:p>
            <w:pPr>
              <w:pStyle w:val="TableContents"/>
              <w:spacing w:before="0" w:after="283"/>
              <w:rPr/>
            </w:pPr>
            <w:r>
              <w:rPr/>
              <w:t> </w:t>
            </w:r>
          </w:p>
        </w:tc>
      </w:tr>
      <w:tr>
        <w:trPr/>
        <w:tc>
          <w:tcPr>
            <w:tcW w:w="2765" w:type="dxa"/>
            <w:tcBorders/>
            <w:shd w:fill="CCEEFF" w:val="clear"/>
            <w:tcMar>
              <w:bottom w:w="0" w:type="dxa"/>
            </w:tcMar>
            <w:vAlign w:val="center"/>
          </w:tcPr>
          <w:p>
            <w:pPr>
              <w:pStyle w:val="TableContents"/>
              <w:spacing w:before="0" w:after="283"/>
              <w:rPr>
                <w:sz w:val="20"/>
              </w:rPr>
            </w:pPr>
            <w:r>
              <w:rPr>
                <w:sz w:val="20"/>
              </w:rPr>
              <w:t>2024</w:t>
            </w:r>
          </w:p>
        </w:tc>
        <w:tc>
          <w:tcPr>
            <w:tcW w:w="60" w:type="dxa"/>
            <w:tcBorders/>
            <w:shd w:fill="CCEEFF" w:val="clear"/>
            <w:tcMar>
              <w:bottom w:w="0" w:type="dxa"/>
            </w:tcMar>
            <w:vAlign w:val="center"/>
          </w:tcPr>
          <w:p>
            <w:pPr>
              <w:pStyle w:val="TableContents"/>
              <w:spacing w:before="0" w:after="283"/>
              <w:rPr/>
            </w:pPr>
            <w:r>
              <w:rPr/>
              <w:t> </w:t>
            </w:r>
          </w:p>
        </w:tc>
        <w:tc>
          <w:tcPr>
            <w:tcW w:w="182" w:type="dxa"/>
            <w:tcBorders/>
            <w:shd w:fill="CCEEFF" w:val="clear"/>
            <w:tcMar>
              <w:bottom w:w="0" w:type="dxa"/>
            </w:tcMar>
            <w:vAlign w:val="center"/>
          </w:tcPr>
          <w:p>
            <w:pPr>
              <w:pStyle w:val="TableContents"/>
              <w:spacing w:before="0" w:after="283"/>
              <w:rPr/>
            </w:pPr>
            <w:r>
              <w:rPr/>
              <w:t> </w:t>
            </w:r>
          </w:p>
        </w:tc>
        <w:tc>
          <w:tcPr>
            <w:tcW w:w="708" w:type="dxa"/>
            <w:tcBorders/>
            <w:shd w:fill="CCEEFF" w:val="clear"/>
            <w:tcMar>
              <w:bottom w:w="0" w:type="dxa"/>
            </w:tcMar>
            <w:vAlign w:val="center"/>
          </w:tcPr>
          <w:p>
            <w:pPr>
              <w:pStyle w:val="TableContents"/>
              <w:spacing w:before="0" w:after="283"/>
              <w:jc w:val="right"/>
              <w:rPr>
                <w:sz w:val="20"/>
              </w:rPr>
            </w:pPr>
            <w:r>
              <w:rPr>
                <w:sz w:val="20"/>
              </w:rPr>
              <w:t>171</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8" w:type="dxa"/>
            <w:tcBorders/>
            <w:shd w:fill="CCEEFF" w:val="clear"/>
            <w:tcMar>
              <w:bottom w:w="0" w:type="dxa"/>
            </w:tcMar>
            <w:vAlign w:val="center"/>
          </w:tcPr>
          <w:p>
            <w:pPr>
              <w:pStyle w:val="TableContents"/>
              <w:spacing w:before="0" w:after="283"/>
              <w:rPr/>
            </w:pPr>
            <w:r>
              <w:rPr/>
              <w:t> </w:t>
            </w:r>
          </w:p>
        </w:tc>
        <w:tc>
          <w:tcPr>
            <w:tcW w:w="507" w:type="dxa"/>
            <w:tcBorders/>
            <w:shd w:fill="CCEEFF" w:val="clear"/>
            <w:tcMar>
              <w:bottom w:w="0" w:type="dxa"/>
            </w:tcMar>
            <w:vAlign w:val="center"/>
          </w:tcPr>
          <w:p>
            <w:pPr>
              <w:pStyle w:val="TableContents"/>
              <w:spacing w:before="0" w:after="283"/>
              <w:jc w:val="right"/>
              <w:rPr>
                <w:sz w:val="20"/>
              </w:rPr>
            </w:pPr>
            <w:r>
              <w:rPr>
                <w:sz w:val="20"/>
              </w:rPr>
              <w:t>97</w:t>
            </w:r>
          </w:p>
        </w:tc>
        <w:tc>
          <w:tcPr>
            <w:tcW w:w="95" w:type="dxa"/>
            <w:tcBorders/>
            <w:shd w:fill="CCEEFF" w:val="clear"/>
            <w:tcMar>
              <w:bottom w:w="0" w:type="dxa"/>
            </w:tcMar>
            <w:vAlign w:val="center"/>
          </w:tcPr>
          <w:p>
            <w:pPr>
              <w:pStyle w:val="TableContents"/>
              <w:spacing w:before="0" w:after="283"/>
              <w:rPr/>
            </w:pPr>
            <w:r>
              <w:rPr/>
              <w:t> </w:t>
            </w:r>
          </w:p>
        </w:tc>
      </w:tr>
      <w:tr>
        <w:trPr/>
        <w:tc>
          <w:tcPr>
            <w:tcW w:w="2765" w:type="dxa"/>
            <w:tcBorders/>
            <w:shd w:fill="auto" w:val="clear"/>
            <w:tcMar>
              <w:bottom w:w="0" w:type="dxa"/>
            </w:tcMar>
            <w:vAlign w:val="center"/>
          </w:tcPr>
          <w:p>
            <w:pPr>
              <w:pStyle w:val="TableContents"/>
              <w:spacing w:before="0" w:after="283"/>
              <w:rPr>
                <w:sz w:val="20"/>
              </w:rPr>
            </w:pPr>
            <w:r>
              <w:rPr>
                <w:sz w:val="20"/>
              </w:rPr>
              <w:t>2025</w:t>
            </w:r>
          </w:p>
        </w:tc>
        <w:tc>
          <w:tcPr>
            <w:tcW w:w="60" w:type="dxa"/>
            <w:tcBorders/>
            <w:shd w:fill="auto" w:val="clear"/>
            <w:tcMar>
              <w:bottom w:w="0" w:type="dxa"/>
            </w:tcMar>
            <w:vAlign w:val="center"/>
          </w:tcPr>
          <w:p>
            <w:pPr>
              <w:pStyle w:val="TableContents"/>
              <w:spacing w:before="0" w:after="283"/>
              <w:rPr/>
            </w:pPr>
            <w:r>
              <w:rPr/>
              <w:t> </w:t>
            </w:r>
          </w:p>
        </w:tc>
        <w:tc>
          <w:tcPr>
            <w:tcW w:w="182" w:type="dxa"/>
            <w:tcBorders/>
            <w:shd w:fill="auto" w:val="clear"/>
            <w:tcMar>
              <w:bottom w:w="0" w:type="dxa"/>
            </w:tcMar>
            <w:vAlign w:val="center"/>
          </w:tcPr>
          <w:p>
            <w:pPr>
              <w:pStyle w:val="TableContents"/>
              <w:spacing w:before="0" w:after="283"/>
              <w:rPr/>
            </w:pPr>
            <w:r>
              <w:rPr/>
              <w:t> </w:t>
            </w:r>
          </w:p>
        </w:tc>
        <w:tc>
          <w:tcPr>
            <w:tcW w:w="708" w:type="dxa"/>
            <w:tcBorders/>
            <w:shd w:fill="auto" w:val="clear"/>
            <w:tcMar>
              <w:bottom w:w="0" w:type="dxa"/>
            </w:tcMar>
            <w:vAlign w:val="center"/>
          </w:tcPr>
          <w:p>
            <w:pPr>
              <w:pStyle w:val="TableContents"/>
              <w:spacing w:before="0" w:after="283"/>
              <w:jc w:val="right"/>
              <w:rPr>
                <w:sz w:val="20"/>
              </w:rPr>
            </w:pPr>
            <w:r>
              <w:rPr>
                <w:sz w:val="20"/>
              </w:rPr>
              <w:t>107</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8" w:type="dxa"/>
            <w:tcBorders/>
            <w:shd w:fill="auto" w:val="clear"/>
            <w:tcMar>
              <w:bottom w:w="0" w:type="dxa"/>
            </w:tcMar>
            <w:vAlign w:val="center"/>
          </w:tcPr>
          <w:p>
            <w:pPr>
              <w:pStyle w:val="TableContents"/>
              <w:spacing w:before="0" w:after="283"/>
              <w:rPr/>
            </w:pPr>
            <w:r>
              <w:rPr/>
              <w:t> </w:t>
            </w:r>
          </w:p>
        </w:tc>
        <w:tc>
          <w:tcPr>
            <w:tcW w:w="507" w:type="dxa"/>
            <w:tcBorders/>
            <w:shd w:fill="auto" w:val="clear"/>
            <w:tcMar>
              <w:bottom w:w="0" w:type="dxa"/>
            </w:tcMar>
            <w:vAlign w:val="center"/>
          </w:tcPr>
          <w:p>
            <w:pPr>
              <w:pStyle w:val="TableContents"/>
              <w:spacing w:before="0" w:after="283"/>
              <w:jc w:val="right"/>
              <w:rPr>
                <w:sz w:val="20"/>
              </w:rPr>
            </w:pPr>
            <w:r>
              <w:rPr>
                <w:sz w:val="20"/>
              </w:rPr>
              <w:t>51</w:t>
            </w:r>
          </w:p>
        </w:tc>
        <w:tc>
          <w:tcPr>
            <w:tcW w:w="95" w:type="dxa"/>
            <w:tcBorders/>
            <w:shd w:fill="auto" w:val="clear"/>
            <w:tcMar>
              <w:bottom w:w="0" w:type="dxa"/>
            </w:tcMar>
            <w:vAlign w:val="center"/>
          </w:tcPr>
          <w:p>
            <w:pPr>
              <w:pStyle w:val="TableContents"/>
              <w:spacing w:before="0" w:after="283"/>
              <w:rPr/>
            </w:pPr>
            <w:r>
              <w:rPr/>
              <w:t> </w:t>
            </w:r>
          </w:p>
        </w:tc>
      </w:tr>
      <w:tr>
        <w:trPr/>
        <w:tc>
          <w:tcPr>
            <w:tcW w:w="2765" w:type="dxa"/>
            <w:tcBorders/>
            <w:shd w:fill="CCEEFF" w:val="clear"/>
            <w:tcMar>
              <w:bottom w:w="0" w:type="dxa"/>
            </w:tcMar>
            <w:vAlign w:val="center"/>
          </w:tcPr>
          <w:p>
            <w:pPr>
              <w:pStyle w:val="TableContents"/>
              <w:spacing w:before="0" w:after="283"/>
              <w:rPr>
                <w:sz w:val="20"/>
              </w:rPr>
            </w:pPr>
            <w:r>
              <w:rPr>
                <w:sz w:val="20"/>
              </w:rPr>
              <w:t>2026</w:t>
            </w:r>
          </w:p>
        </w:tc>
        <w:tc>
          <w:tcPr>
            <w:tcW w:w="60" w:type="dxa"/>
            <w:tcBorders/>
            <w:shd w:fill="CCEEFF" w:val="clear"/>
            <w:tcMar>
              <w:bottom w:w="0" w:type="dxa"/>
            </w:tcMar>
            <w:vAlign w:val="center"/>
          </w:tcPr>
          <w:p>
            <w:pPr>
              <w:pStyle w:val="TableContents"/>
              <w:spacing w:before="0" w:after="283"/>
              <w:rPr/>
            </w:pPr>
            <w:r>
              <w:rPr/>
              <w:t> </w:t>
            </w:r>
          </w:p>
        </w:tc>
        <w:tc>
          <w:tcPr>
            <w:tcW w:w="182" w:type="dxa"/>
            <w:tcBorders>
              <w:bottom w:val="single" w:sz="12" w:space="0" w:color="000000"/>
            </w:tcBorders>
            <w:shd w:fill="CCEEFF" w:val="clear"/>
            <w:vAlign w:val="center"/>
          </w:tcPr>
          <w:p>
            <w:pPr>
              <w:pStyle w:val="TableContents"/>
              <w:spacing w:before="0" w:after="283"/>
              <w:rPr/>
            </w:pPr>
            <w:r>
              <w:rPr/>
              <w:t> </w:t>
            </w:r>
          </w:p>
        </w:tc>
        <w:tc>
          <w:tcPr>
            <w:tcW w:w="708" w:type="dxa"/>
            <w:tcBorders>
              <w:bottom w:val="single" w:sz="12" w:space="0" w:color="000000"/>
            </w:tcBorders>
            <w:shd w:fill="CCEEFF" w:val="clear"/>
            <w:vAlign w:val="center"/>
          </w:tcPr>
          <w:p>
            <w:pPr>
              <w:pStyle w:val="TableContents"/>
              <w:spacing w:before="0" w:after="283"/>
              <w:jc w:val="right"/>
              <w:rPr>
                <w:sz w:val="20"/>
              </w:rPr>
            </w:pPr>
            <w:r>
              <w:rPr>
                <w:sz w:val="20"/>
              </w:rPr>
              <w:t>63</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8" w:type="dxa"/>
            <w:tcBorders>
              <w:bottom w:val="single" w:sz="12" w:space="0" w:color="000000"/>
            </w:tcBorders>
            <w:shd w:fill="CCEEFF" w:val="clear"/>
            <w:vAlign w:val="center"/>
          </w:tcPr>
          <w:p>
            <w:pPr>
              <w:pStyle w:val="TableContents"/>
              <w:spacing w:before="0" w:after="283"/>
              <w:rPr/>
            </w:pPr>
            <w:r>
              <w:rPr/>
              <w:t> </w:t>
            </w:r>
          </w:p>
        </w:tc>
        <w:tc>
          <w:tcPr>
            <w:tcW w:w="507" w:type="dxa"/>
            <w:tcBorders>
              <w:bottom w:val="single" w:sz="12" w:space="0" w:color="000000"/>
            </w:tcBorders>
            <w:shd w:fill="CCEEFF" w:val="clear"/>
            <w:vAlign w:val="center"/>
          </w:tcPr>
          <w:p>
            <w:pPr>
              <w:pStyle w:val="TableContents"/>
              <w:spacing w:before="0" w:after="283"/>
              <w:jc w:val="right"/>
              <w:rPr>
                <w:sz w:val="20"/>
              </w:rPr>
            </w:pPr>
            <w:r>
              <w:rPr>
                <w:sz w:val="20"/>
              </w:rPr>
              <w:t>15</w:t>
            </w:r>
          </w:p>
        </w:tc>
        <w:tc>
          <w:tcPr>
            <w:tcW w:w="95" w:type="dxa"/>
            <w:tcBorders/>
            <w:shd w:fill="CCEEFF" w:val="clear"/>
            <w:tcMar>
              <w:bottom w:w="0" w:type="dxa"/>
            </w:tcMar>
            <w:vAlign w:val="center"/>
          </w:tcPr>
          <w:p>
            <w:pPr>
              <w:pStyle w:val="TableContents"/>
              <w:spacing w:before="0" w:after="283"/>
              <w:rPr/>
            </w:pPr>
            <w:r>
              <w:rPr/>
              <w:t> </w:t>
            </w:r>
          </w:p>
        </w:tc>
      </w:tr>
      <w:tr>
        <w:trPr/>
        <w:tc>
          <w:tcPr>
            <w:tcW w:w="2765" w:type="dxa"/>
            <w:tcBorders/>
            <w:shd w:fill="auto" w:val="clear"/>
            <w:tcMar>
              <w:bottom w:w="0" w:type="dxa"/>
            </w:tcMar>
            <w:vAlign w:val="center"/>
          </w:tcPr>
          <w:p>
            <w:pPr>
              <w:pStyle w:val="TableContents"/>
              <w:spacing w:before="0" w:after="283"/>
              <w:rPr>
                <w:sz w:val="20"/>
              </w:rPr>
            </w:pPr>
            <w:r>
              <w:rPr>
                <w:sz w:val="20"/>
              </w:rPr>
              <w:t>Total minimum lease payments</w:t>
            </w:r>
          </w:p>
        </w:tc>
        <w:tc>
          <w:tcPr>
            <w:tcW w:w="60" w:type="dxa"/>
            <w:tcBorders/>
            <w:shd w:fill="auto" w:val="clear"/>
            <w:tcMar>
              <w:bottom w:w="0" w:type="dxa"/>
            </w:tcMar>
            <w:vAlign w:val="center"/>
          </w:tcPr>
          <w:p>
            <w:pPr>
              <w:pStyle w:val="TableContents"/>
              <w:spacing w:before="0" w:after="283"/>
              <w:rPr/>
            </w:pPr>
            <w:r>
              <w:rPr/>
              <w:t> </w:t>
            </w:r>
          </w:p>
        </w:tc>
        <w:tc>
          <w:tcPr>
            <w:tcW w:w="182" w:type="dxa"/>
            <w:tcBorders>
              <w:bottom w:val="single" w:sz="12" w:space="0" w:color="000000"/>
            </w:tcBorders>
            <w:shd w:fill="auto" w:val="clear"/>
            <w:vAlign w:val="center"/>
          </w:tcPr>
          <w:p>
            <w:pPr>
              <w:pStyle w:val="TableContents"/>
              <w:spacing w:before="0" w:after="283"/>
              <w:rPr/>
            </w:pPr>
            <w:r>
              <w:rPr/>
              <w:t> </w:t>
            </w:r>
          </w:p>
        </w:tc>
        <w:tc>
          <w:tcPr>
            <w:tcW w:w="708" w:type="dxa"/>
            <w:tcBorders>
              <w:bottom w:val="single" w:sz="12" w:space="0" w:color="000000"/>
            </w:tcBorders>
            <w:shd w:fill="auto" w:val="clear"/>
            <w:vAlign w:val="center"/>
          </w:tcPr>
          <w:p>
            <w:pPr>
              <w:pStyle w:val="TableContents"/>
              <w:spacing w:before="0" w:after="283"/>
              <w:jc w:val="right"/>
              <w:rPr>
                <w:sz w:val="20"/>
              </w:rPr>
            </w:pPr>
            <w:r>
              <w:rPr>
                <w:sz w:val="20"/>
              </w:rPr>
              <w:t>1,645</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8" w:type="dxa"/>
            <w:tcBorders>
              <w:bottom w:val="single" w:sz="12" w:space="0" w:color="000000"/>
            </w:tcBorders>
            <w:shd w:fill="auto" w:val="clear"/>
            <w:vAlign w:val="center"/>
          </w:tcPr>
          <w:p>
            <w:pPr>
              <w:pStyle w:val="TableContents"/>
              <w:spacing w:before="0" w:after="283"/>
              <w:rPr/>
            </w:pPr>
            <w:r>
              <w:rPr/>
              <w:t> </w:t>
            </w:r>
          </w:p>
        </w:tc>
        <w:tc>
          <w:tcPr>
            <w:tcW w:w="507" w:type="dxa"/>
            <w:tcBorders>
              <w:bottom w:val="single" w:sz="12" w:space="0" w:color="000000"/>
            </w:tcBorders>
            <w:shd w:fill="auto" w:val="clear"/>
            <w:vAlign w:val="center"/>
          </w:tcPr>
          <w:p>
            <w:pPr>
              <w:pStyle w:val="TableContents"/>
              <w:spacing w:before="0" w:after="283"/>
              <w:jc w:val="right"/>
              <w:rPr>
                <w:sz w:val="20"/>
              </w:rPr>
            </w:pPr>
            <w:r>
              <w:rPr>
                <w:sz w:val="20"/>
              </w:rPr>
              <w:t>508</w:t>
            </w:r>
          </w:p>
        </w:tc>
        <w:tc>
          <w:tcPr>
            <w:tcW w:w="95" w:type="dxa"/>
            <w:tcBorders/>
            <w:shd w:fill="auto" w:val="clear"/>
            <w:tcMar>
              <w:bottom w:w="0" w:type="dxa"/>
            </w:tcMar>
            <w:vAlign w:val="center"/>
          </w:tcPr>
          <w:p>
            <w:pPr>
              <w:pStyle w:val="TableContents"/>
              <w:spacing w:before="0" w:after="283"/>
              <w:rPr/>
            </w:pPr>
            <w:r>
              <w:rPr/>
              <w:t> </w:t>
            </w:r>
          </w:p>
        </w:tc>
      </w:tr>
      <w:tr>
        <w:trPr/>
        <w:tc>
          <w:tcPr>
            <w:tcW w:w="2765" w:type="dxa"/>
            <w:tcBorders/>
            <w:shd w:fill="CCEEFF" w:val="clear"/>
            <w:tcMar>
              <w:bottom w:w="0" w:type="dxa"/>
            </w:tcMar>
            <w:vAlign w:val="center"/>
          </w:tcPr>
          <w:p>
            <w:pPr>
              <w:pStyle w:val="TableContents"/>
              <w:spacing w:before="0" w:after="283"/>
              <w:rPr>
                <w:sz w:val="20"/>
              </w:rPr>
            </w:pPr>
            <w:r>
              <w:rPr>
                <w:sz w:val="20"/>
              </w:rPr>
              <w:t>Less imputed interest</w:t>
            </w:r>
          </w:p>
        </w:tc>
        <w:tc>
          <w:tcPr>
            <w:tcW w:w="60" w:type="dxa"/>
            <w:tcBorders/>
            <w:shd w:fill="CCEEFF" w:val="clear"/>
            <w:tcMar>
              <w:bottom w:w="0" w:type="dxa"/>
            </w:tcMar>
            <w:vAlign w:val="center"/>
          </w:tcPr>
          <w:p>
            <w:pPr>
              <w:pStyle w:val="TableContents"/>
              <w:spacing w:before="0" w:after="283"/>
              <w:rPr/>
            </w:pPr>
            <w:r>
              <w:rPr/>
              <w:t> </w:t>
            </w:r>
          </w:p>
        </w:tc>
        <w:tc>
          <w:tcPr>
            <w:tcW w:w="182" w:type="dxa"/>
            <w:tcBorders>
              <w:bottom w:val="single" w:sz="12" w:space="0" w:color="000000"/>
            </w:tcBorders>
            <w:shd w:fill="CCEEFF" w:val="clear"/>
            <w:vAlign w:val="center"/>
          </w:tcPr>
          <w:p>
            <w:pPr>
              <w:pStyle w:val="TableContents"/>
              <w:spacing w:before="0" w:after="283"/>
              <w:rPr/>
            </w:pPr>
            <w:r>
              <w:rPr/>
              <w:t> </w:t>
            </w:r>
          </w:p>
        </w:tc>
        <w:tc>
          <w:tcPr>
            <w:tcW w:w="708" w:type="dxa"/>
            <w:tcBorders>
              <w:bottom w:val="single" w:sz="12" w:space="0" w:color="000000"/>
            </w:tcBorders>
            <w:shd w:fill="CCEEFF" w:val="clear"/>
            <w:vAlign w:val="center"/>
          </w:tcPr>
          <w:p>
            <w:pPr>
              <w:pStyle w:val="TableContents"/>
              <w:spacing w:before="0" w:after="283"/>
              <w:jc w:val="right"/>
              <w:rPr>
                <w:sz w:val="20"/>
              </w:rPr>
            </w:pPr>
            <w:r>
              <w:rPr>
                <w:sz w:val="20"/>
              </w:rPr>
              <w:t>(127</w:t>
            </w:r>
          </w:p>
        </w:tc>
        <w:tc>
          <w:tcPr>
            <w:tcW w:w="80" w:type="dxa"/>
            <w:tcBorders/>
            <w:shd w:fill="CCEEFF" w:val="clear"/>
            <w:tcMar>
              <w:bottom w:w="0" w:type="dxa"/>
            </w:tcMar>
            <w:vAlign w:val="center"/>
          </w:tcPr>
          <w:p>
            <w:pPr>
              <w:pStyle w:val="TableContents"/>
              <w:spacing w:before="0" w:after="283"/>
              <w:rPr>
                <w:sz w:val="20"/>
              </w:rPr>
            </w:pPr>
            <w:r>
              <w:rPr>
                <w:sz w:val="20"/>
              </w:rPr>
              <w:t>)</w:t>
            </w:r>
          </w:p>
        </w:tc>
        <w:tc>
          <w:tcPr>
            <w:tcW w:w="60" w:type="dxa"/>
            <w:tcBorders/>
            <w:shd w:fill="CCEEFF" w:val="clear"/>
            <w:tcMar>
              <w:bottom w:w="0" w:type="dxa"/>
            </w:tcMar>
            <w:vAlign w:val="center"/>
          </w:tcPr>
          <w:p>
            <w:pPr>
              <w:pStyle w:val="TableContents"/>
              <w:spacing w:before="0" w:after="283"/>
              <w:rPr/>
            </w:pPr>
            <w:r>
              <w:rPr/>
              <w:t> </w:t>
            </w:r>
          </w:p>
        </w:tc>
        <w:tc>
          <w:tcPr>
            <w:tcW w:w="188" w:type="dxa"/>
            <w:tcBorders>
              <w:bottom w:val="single" w:sz="12" w:space="0" w:color="000000"/>
            </w:tcBorders>
            <w:shd w:fill="CCEEFF" w:val="clear"/>
            <w:vAlign w:val="center"/>
          </w:tcPr>
          <w:p>
            <w:pPr>
              <w:pStyle w:val="TableContents"/>
              <w:spacing w:before="0" w:after="283"/>
              <w:rPr/>
            </w:pPr>
            <w:r>
              <w:rPr/>
              <w:t> </w:t>
            </w:r>
          </w:p>
        </w:tc>
        <w:tc>
          <w:tcPr>
            <w:tcW w:w="507" w:type="dxa"/>
            <w:tcBorders>
              <w:bottom w:val="single" w:sz="12" w:space="0" w:color="000000"/>
            </w:tcBorders>
            <w:shd w:fill="CCEEFF" w:val="clear"/>
            <w:vAlign w:val="center"/>
          </w:tcPr>
          <w:p>
            <w:pPr>
              <w:pStyle w:val="TableContents"/>
              <w:spacing w:before="0" w:after="283"/>
              <w:jc w:val="right"/>
              <w:rPr>
                <w:sz w:val="20"/>
              </w:rPr>
            </w:pPr>
            <w:r>
              <w:rPr>
                <w:sz w:val="20"/>
              </w:rPr>
              <w:t>(59</w:t>
            </w:r>
          </w:p>
        </w:tc>
        <w:tc>
          <w:tcPr>
            <w:tcW w:w="95" w:type="dxa"/>
            <w:tcBorders/>
            <w:shd w:fill="CCEEFF" w:val="clear"/>
            <w:tcMar>
              <w:bottom w:w="0" w:type="dxa"/>
            </w:tcMar>
            <w:vAlign w:val="center"/>
          </w:tcPr>
          <w:p>
            <w:pPr>
              <w:pStyle w:val="TableContents"/>
              <w:spacing w:before="0" w:after="283"/>
              <w:rPr>
                <w:sz w:val="20"/>
              </w:rPr>
            </w:pPr>
            <w:r>
              <w:rPr>
                <w:sz w:val="20"/>
              </w:rPr>
              <w:t>)</w:t>
            </w:r>
          </w:p>
        </w:tc>
      </w:tr>
      <w:tr>
        <w:trPr/>
        <w:tc>
          <w:tcPr>
            <w:tcW w:w="2765" w:type="dxa"/>
            <w:tcBorders/>
            <w:shd w:fill="auto" w:val="clear"/>
            <w:tcMar>
              <w:bottom w:w="0" w:type="dxa"/>
            </w:tcMar>
            <w:vAlign w:val="center"/>
          </w:tcPr>
          <w:p>
            <w:pPr>
              <w:pStyle w:val="TableContents"/>
              <w:spacing w:before="0" w:after="283"/>
              <w:rPr>
                <w:sz w:val="20"/>
              </w:rPr>
            </w:pPr>
            <w:r>
              <w:rPr>
                <w:sz w:val="20"/>
              </w:rPr>
              <w:t>Total lease liabilities</w:t>
            </w:r>
          </w:p>
        </w:tc>
        <w:tc>
          <w:tcPr>
            <w:tcW w:w="60" w:type="dxa"/>
            <w:tcBorders/>
            <w:shd w:fill="auto" w:val="clear"/>
            <w:tcMar>
              <w:bottom w:w="0" w:type="dxa"/>
            </w:tcMar>
            <w:vAlign w:val="center"/>
          </w:tcPr>
          <w:p>
            <w:pPr>
              <w:pStyle w:val="TableContents"/>
              <w:spacing w:before="0" w:after="283"/>
              <w:rPr/>
            </w:pPr>
            <w:r>
              <w:rPr/>
              <w:t> </w:t>
            </w:r>
          </w:p>
        </w:tc>
        <w:tc>
          <w:tcPr>
            <w:tcW w:w="182" w:type="dxa"/>
            <w:tcBorders>
              <w:bottom w:val="double" w:sz="12" w:space="0" w:color="000000"/>
            </w:tcBorders>
            <w:shd w:fill="auto" w:val="clear"/>
            <w:vAlign w:val="center"/>
          </w:tcPr>
          <w:p>
            <w:pPr>
              <w:pStyle w:val="TableContents"/>
              <w:spacing w:before="0" w:after="283"/>
              <w:rPr>
                <w:sz w:val="20"/>
              </w:rPr>
            </w:pPr>
            <w:r>
              <w:rPr>
                <w:sz w:val="20"/>
              </w:rPr>
              <w:t>$</w:t>
            </w:r>
          </w:p>
        </w:tc>
        <w:tc>
          <w:tcPr>
            <w:tcW w:w="708" w:type="dxa"/>
            <w:tcBorders>
              <w:bottom w:val="double" w:sz="12" w:space="0" w:color="000000"/>
            </w:tcBorders>
            <w:shd w:fill="auto" w:val="clear"/>
            <w:vAlign w:val="center"/>
          </w:tcPr>
          <w:p>
            <w:pPr>
              <w:pStyle w:val="TableContents"/>
              <w:spacing w:before="0" w:after="283"/>
              <w:jc w:val="right"/>
              <w:rPr>
                <w:sz w:val="20"/>
              </w:rPr>
            </w:pPr>
            <w:r>
              <w:rPr>
                <w:sz w:val="20"/>
              </w:rPr>
              <w:t>1,518</w:t>
            </w:r>
          </w:p>
        </w:tc>
        <w:tc>
          <w:tcPr>
            <w:tcW w:w="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8" w:type="dxa"/>
            <w:tcBorders>
              <w:bottom w:val="double" w:sz="12" w:space="0" w:color="000000"/>
            </w:tcBorders>
            <w:shd w:fill="auto" w:val="clear"/>
            <w:vAlign w:val="center"/>
          </w:tcPr>
          <w:p>
            <w:pPr>
              <w:pStyle w:val="TableContents"/>
              <w:spacing w:before="0" w:after="283"/>
              <w:rPr>
                <w:sz w:val="20"/>
              </w:rPr>
            </w:pPr>
            <w:r>
              <w:rPr>
                <w:sz w:val="20"/>
              </w:rPr>
              <w:t>$</w:t>
            </w:r>
          </w:p>
        </w:tc>
        <w:tc>
          <w:tcPr>
            <w:tcW w:w="507" w:type="dxa"/>
            <w:tcBorders>
              <w:bottom w:val="double" w:sz="12" w:space="0" w:color="000000"/>
            </w:tcBorders>
            <w:shd w:fill="auto" w:val="clear"/>
            <w:vAlign w:val="center"/>
          </w:tcPr>
          <w:p>
            <w:pPr>
              <w:pStyle w:val="TableContents"/>
              <w:spacing w:before="0" w:after="283"/>
              <w:jc w:val="right"/>
              <w:rPr>
                <w:sz w:val="20"/>
              </w:rPr>
            </w:pPr>
            <w:r>
              <w:rPr>
                <w:sz w:val="20"/>
              </w:rPr>
              <w:t>449</w:t>
            </w:r>
          </w:p>
        </w:tc>
        <w:tc>
          <w:tcPr>
            <w:tcW w:w="9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Legal Proceedings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Release of Claims Agreement. On March 10, 2021, the Company moved to dismiss all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July 29, 2021, the Company filed a separate arbitration in Boston, Massachusetts against Cooper and Weinstein, in which the Company alleges that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Cooper and Weinstein during the time they were TriGrow employees. The Company does not believe these claims have any merit and intend to vigorously defend against them.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Agreement with Mack Molding Co.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Company entered into a five-year supply agreement with Mack Molding Co. (“Mack”) pursuant to which Mack will become a key supplier of VFUs. In February 2021, the Company placed a purchase order with Mack amounting to approximately $5.2 million towards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more efficiently meet the potential future demand of its customers. The supply agreement contemplates that, following an introductory period, the Company will negotiate a minimum percentage of the VFU requirements that the Company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Agreements with Related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2019, the Company entered into a distribution agreement with Bluezone for distribution rights to the Bluezone products with certain exclusivity rights. The agreement requires minimum purchases amounting to $480 thousand and $600 thousand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$309 thousand of the committed $660 thousand second year purchases through December 31, 2021. Bluezone is a related party to the Company.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 thousand, for the year ended December 31, 2022 for $750 thousand, and for the year ended December 31, 2023 for $1.1 million, which amount may increase by 3% for the later years. The Company had $40 thousand in purchases of Enozo product for the year ended December 31, 2021, compared to $38 thousand for the year ended December 31, 2020. Enozo is a related party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Committed Purchase Agreement with Related Parties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4D Bios,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the Company’s purchase commitment totaled $1.9 million. The Company settled all outstanding commitments, leaving no open committed purchases as of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Greenstone Holdings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2021, Greenstone Holdings purchased 239 VFUs from the Company of which 60 VFUs were already in Greenstone Holdings possession under a lease agreement. Under the lease agreement, Greenstone Holdings owed Agrify a production service fee of $300 per pound of flower produced and contained an option to purchase the equipment within the lease agreement. The term of this agreement was for ten years but was terminated upon signing the purchase agreement for the 239 VFUs. The remaining 179 VFUs were shipped to Greenstone Holdings storage facility on December 30, 2021 and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Related Parties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officers and directors of the Company are involved in other business activities and may, in the future, become involved in other business opportunities that become available.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net purchasing (sales) activity with entities identified as related parties to the Company:</w:t>
      </w:r>
    </w:p>
    <w:p>
      <w:pPr>
        <w:pStyle w:val="TextBody"/>
        <w:spacing w:before="0" w:after="0"/>
        <w:ind w:left="0" w:right="0" w:firstLine="360"/>
        <w:rPr>
          <w:caps w:val="false"/>
          <w:smallCaps w:val="false"/>
        </w:rPr>
      </w:pPr>
      <w:r>
        <w:rPr>
          <w:caps w:val="false"/>
          <w:smallCaps w:val="false"/>
        </w:rPr>
        <w:t> </w:t>
      </w:r>
    </w:p>
    <w:tbl>
      <w:tblPr>
        <w:tblW w:w="5255" w:type="dxa"/>
        <w:jc w:val="left"/>
        <w:tblInd w:w="0" w:type="dxa"/>
        <w:tblCellMar>
          <w:top w:w="0" w:type="dxa"/>
          <w:left w:w="0" w:type="dxa"/>
          <w:bottom w:w="0" w:type="dxa"/>
          <w:right w:w="0" w:type="dxa"/>
        </w:tblCellMar>
      </w:tblPr>
      <w:tblGrid>
        <w:gridCol w:w="3260"/>
        <w:gridCol w:w="60"/>
        <w:gridCol w:w="140"/>
        <w:gridCol w:w="755"/>
        <w:gridCol w:w="95"/>
        <w:gridCol w:w="60"/>
        <w:gridCol w:w="140"/>
        <w:gridCol w:w="635"/>
        <w:gridCol w:w="110"/>
      </w:tblGrid>
      <w:tr>
        <w:trPr/>
        <w:tc>
          <w:tcPr>
            <w:tcW w:w="3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Year ended </w:t>
              <w:br/>
              <w:t>December 31,</w:t>
            </w:r>
          </w:p>
        </w:tc>
        <w:tc>
          <w:tcPr>
            <w:tcW w:w="110" w:type="dxa"/>
            <w:tcBorders/>
            <w:shd w:fill="auto" w:val="clear"/>
            <w:vAlign w:val="center"/>
          </w:tcPr>
          <w:p>
            <w:pPr>
              <w:pStyle w:val="TableContents"/>
              <w:spacing w:before="0" w:after="283"/>
              <w:rPr/>
            </w:pPr>
            <w:r>
              <w:rPr/>
              <w:t> </w:t>
            </w:r>
          </w:p>
        </w:tc>
      </w:tr>
      <w:tr>
        <w:trPr/>
        <w:tc>
          <w:tcPr>
            <w:tcW w:w="3260" w:type="dxa"/>
            <w:tcBorders>
              <w:bottom w:val="single" w:sz="12" w:space="0" w:color="000000"/>
            </w:tcBorders>
            <w:shd w:fill="auto" w:val="clear"/>
            <w:tcMar>
              <w:bottom w:w="28" w:type="dxa"/>
            </w:tcMar>
            <w:vAlign w:val="center"/>
          </w:tcPr>
          <w:p>
            <w:pPr>
              <w:pStyle w:val="TableContents"/>
              <w:spacing w:before="0" w:after="283"/>
              <w:rPr>
                <w:b/>
              </w:rPr>
            </w:pPr>
            <w:r>
              <w:rPr>
                <w:b/>
              </w:rPr>
              <w:t>(Dollar Amounts in Thousands)</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ind w:left="0" w:right="0" w:hanging="200"/>
              <w:rPr/>
            </w:pPr>
            <w:r>
              <w:rPr/>
              <w:t> </w:t>
            </w:r>
          </w:p>
        </w:tc>
      </w:tr>
      <w:tr>
        <w:trPr/>
        <w:tc>
          <w:tcPr>
            <w:tcW w:w="3260" w:type="dxa"/>
            <w:tcBorders/>
            <w:shd w:fill="CCEEFF" w:val="clear"/>
            <w:vAlign w:val="center"/>
          </w:tcPr>
          <w:p>
            <w:pPr>
              <w:pStyle w:val="TableContents"/>
              <w:spacing w:before="0" w:after="283"/>
              <w:rPr/>
            </w:pPr>
            <w:r>
              <w:rPr/>
              <w:t>Bluezone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309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35" w:type="dxa"/>
            <w:tcBorders/>
            <w:shd w:fill="CCEEFF" w:val="clear"/>
            <w:vAlign w:val="center"/>
          </w:tcPr>
          <w:p>
            <w:pPr>
              <w:pStyle w:val="TableContents"/>
              <w:spacing w:before="0" w:after="283"/>
              <w:jc w:val="right"/>
              <w:rPr/>
            </w:pPr>
            <w:r>
              <w:rPr/>
              <w:t>694</w:t>
            </w:r>
          </w:p>
        </w:tc>
        <w:tc>
          <w:tcPr>
            <w:tcW w:w="110" w:type="dxa"/>
            <w:tcBorders/>
            <w:shd w:fill="CCEEFF" w:val="clear"/>
            <w:vAlign w:val="center"/>
          </w:tcPr>
          <w:p>
            <w:pPr>
              <w:pStyle w:val="TableContents"/>
              <w:spacing w:before="0" w:after="283"/>
              <w:ind w:left="0" w:right="0" w:hanging="200"/>
              <w:jc w:val="left"/>
              <w:rPr/>
            </w:pPr>
            <w:r>
              <w:rPr/>
              <w:t> </w:t>
            </w:r>
          </w:p>
        </w:tc>
      </w:tr>
      <w:tr>
        <w:trPr/>
        <w:tc>
          <w:tcPr>
            <w:tcW w:w="3260" w:type="dxa"/>
            <w:tcBorders/>
            <w:shd w:fill="auto" w:val="clear"/>
            <w:vAlign w:val="center"/>
          </w:tcPr>
          <w:p>
            <w:pPr>
              <w:pStyle w:val="TableContents"/>
              <w:spacing w:before="0" w:after="283"/>
              <w:rPr/>
            </w:pPr>
            <w:r>
              <w:rPr/>
              <w:t>4D Bios (1)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1,312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right"/>
              <w:rPr/>
            </w:pPr>
            <w:r>
              <w:rPr/>
              <w:t>1,128</w:t>
            </w:r>
          </w:p>
        </w:tc>
        <w:tc>
          <w:tcPr>
            <w:tcW w:w="110" w:type="dxa"/>
            <w:tcBorders/>
            <w:shd w:fill="auto" w:val="clear"/>
            <w:vAlign w:val="center"/>
          </w:tcPr>
          <w:p>
            <w:pPr>
              <w:pStyle w:val="TableContents"/>
              <w:spacing w:before="0" w:after="283"/>
              <w:ind w:left="0" w:right="0" w:hanging="200"/>
              <w:jc w:val="left"/>
              <w:rPr/>
            </w:pPr>
            <w:r>
              <w:rPr/>
              <w:t> </w:t>
            </w:r>
          </w:p>
        </w:tc>
      </w:tr>
      <w:tr>
        <w:trPr/>
        <w:tc>
          <w:tcPr>
            <w:tcW w:w="3260" w:type="dxa"/>
            <w:tcBorders/>
            <w:shd w:fill="CCEEFF" w:val="clear"/>
            <w:vAlign w:val="center"/>
          </w:tcPr>
          <w:p>
            <w:pPr>
              <w:pStyle w:val="TableContents"/>
              <w:spacing w:before="0" w:after="283"/>
              <w:rPr/>
            </w:pPr>
            <w:r>
              <w:rPr/>
              <w:t>Enozo</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123</w:t>
            </w:r>
          </w:p>
        </w:tc>
        <w:tc>
          <w:tcPr>
            <w:tcW w:w="110" w:type="dxa"/>
            <w:tcBorders/>
            <w:shd w:fill="CCEEFF" w:val="clear"/>
            <w:vAlign w:val="center"/>
          </w:tcPr>
          <w:p>
            <w:pPr>
              <w:pStyle w:val="TableContents"/>
              <w:spacing w:before="0" w:after="283"/>
              <w:ind w:left="0" w:right="0" w:hanging="200"/>
              <w:jc w:val="left"/>
              <w:rPr/>
            </w:pPr>
            <w:r>
              <w:rPr/>
              <w:t> </w:t>
            </w:r>
          </w:p>
        </w:tc>
      </w:tr>
      <w:tr>
        <w:trPr/>
        <w:tc>
          <w:tcPr>
            <w:tcW w:w="3260" w:type="dxa"/>
            <w:tcBorders/>
            <w:shd w:fill="auto" w:val="clear"/>
            <w:vAlign w:val="center"/>
          </w:tcPr>
          <w:p>
            <w:pPr>
              <w:pStyle w:val="TableContents"/>
              <w:spacing w:before="0" w:after="283"/>
              <w:jc w:val="left"/>
              <w:rPr/>
            </w:pPr>
            <w:r>
              <w:rPr/>
              <w:t>Cannae Policy Group</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50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200"/>
              <w:jc w:val="left"/>
              <w:rPr/>
            </w:pPr>
            <w:r>
              <w:rPr/>
              <w:t> </w:t>
            </w:r>
          </w:p>
        </w:tc>
      </w:tr>
      <w:tr>
        <w:trPr/>
        <w:tc>
          <w:tcPr>
            <w:tcW w:w="3260" w:type="dxa"/>
            <w:tcBorders/>
            <w:shd w:fill="CCEEFF" w:val="clear"/>
            <w:vAlign w:val="center"/>
          </w:tcPr>
          <w:p>
            <w:pPr>
              <w:pStyle w:val="TableContents"/>
              <w:spacing w:before="0" w:after="283"/>
              <w:jc w:val="left"/>
              <w:rPr/>
            </w:pPr>
            <w:r>
              <w:rPr/>
              <w:t>Topline Performance Solutions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3260" w:type="dxa"/>
            <w:tcBorders/>
            <w:shd w:fill="auto" w:val="clear"/>
            <w:vAlign w:val="center"/>
          </w:tcPr>
          <w:p>
            <w:pPr>
              <w:pStyle w:val="TableContents"/>
              <w:spacing w:before="0" w:after="283"/>
              <w:jc w:val="left"/>
              <w:rPr/>
            </w:pPr>
            <w:r>
              <w:rPr/>
              <w:t>Valiant Americas, LLC.</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6,048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right"/>
              <w:rPr/>
            </w:pPr>
            <w:r>
              <w:rPr/>
              <w:t>7,085</w:t>
            </w:r>
          </w:p>
        </w:tc>
        <w:tc>
          <w:tcPr>
            <w:tcW w:w="110" w:type="dxa"/>
            <w:tcBorders/>
            <w:shd w:fill="auto" w:val="clear"/>
            <w:vAlign w:val="center"/>
          </w:tcPr>
          <w:p>
            <w:pPr>
              <w:pStyle w:val="TableContents"/>
              <w:spacing w:before="0" w:after="283"/>
              <w:ind w:left="0" w:right="0" w:hanging="200"/>
              <w:jc w:val="left"/>
              <w:rPr/>
            </w:pPr>
            <w:r>
              <w:rPr/>
              <w:t> </w:t>
            </w:r>
          </w:p>
        </w:tc>
      </w:tr>
      <w:tr>
        <w:trPr/>
        <w:tc>
          <w:tcPr>
            <w:tcW w:w="3260" w:type="dxa"/>
            <w:tcBorders/>
            <w:shd w:fill="CCEEFF" w:val="clear"/>
            <w:vAlign w:val="center"/>
          </w:tcPr>
          <w:p>
            <w:pPr>
              <w:pStyle w:val="TableContents"/>
              <w:spacing w:before="0" w:after="283"/>
              <w:rPr/>
            </w:pPr>
            <w:r>
              <w:rPr/>
              <w:t>Cannaquip</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3260" w:type="dxa"/>
            <w:tcBorders/>
            <w:shd w:fill="auto" w:val="clear"/>
            <w:vAlign w:val="center"/>
          </w:tcPr>
          <w:p>
            <w:pPr>
              <w:pStyle w:val="TableContents"/>
              <w:spacing w:before="0" w:after="283"/>
              <w:rPr/>
            </w:pPr>
            <w:r>
              <w:rPr/>
              <w:t>NEIA</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jc w:val="right"/>
              <w:rPr/>
            </w:pPr>
            <w:r>
              <w:rPr/>
              <w:t>(22,010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right"/>
              <w:rPr/>
            </w:pPr>
            <w:r>
              <w:rPr/>
              <w:t>(3,916</w:t>
            </w:r>
          </w:p>
        </w:tc>
        <w:tc>
          <w:tcPr>
            <w:tcW w:w="110" w:type="dxa"/>
            <w:tcBorders/>
            <w:shd w:fill="auto" w:val="clear"/>
            <w:vAlign w:val="center"/>
          </w:tcPr>
          <w:p>
            <w:pPr>
              <w:pStyle w:val="TableContents"/>
              <w:spacing w:before="0" w:after="283"/>
              <w:ind w:left="0" w:right="0" w:hanging="200"/>
              <w:jc w:val="left"/>
              <w:rPr/>
            </w:pPr>
            <w:r>
              <w:rPr/>
              <w:t>)</w:t>
            </w:r>
          </w:p>
        </w:tc>
      </w:tr>
      <w:tr>
        <w:trPr/>
        <w:tc>
          <w:tcPr>
            <w:tcW w:w="3260" w:type="dxa"/>
            <w:tcBorders/>
            <w:shd w:fill="CCEEFF" w:val="clear"/>
            <w:vAlign w:val="center"/>
          </w:tcPr>
          <w:p>
            <w:pPr>
              <w:pStyle w:val="TableContents"/>
              <w:spacing w:before="0" w:after="283"/>
              <w:jc w:val="left"/>
              <w:rPr/>
            </w:pPr>
            <w:r>
              <w:rPr/>
              <w:t>Greenstone Holdings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(9,429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(9</w:t>
            </w:r>
          </w:p>
        </w:tc>
        <w:tc>
          <w:tcPr>
            <w:tcW w:w="110" w:type="dxa"/>
            <w:tcBorders/>
            <w:shd w:fill="CCEEFF" w:val="clear"/>
            <w:vAlign w:val="center"/>
          </w:tcPr>
          <w:p>
            <w:pPr>
              <w:pStyle w:val="TableContents"/>
              <w:spacing w:before="0" w:after="283"/>
              <w:ind w:left="0" w:right="0" w:hanging="200"/>
              <w:jc w:val="left"/>
              <w:rPr/>
            </w:pPr>
            <w:r>
              <w:rPr/>
              <w:t>)</w:t>
            </w:r>
          </w:p>
        </w:tc>
      </w:tr>
      <w:tr>
        <w:trPr/>
        <w:tc>
          <w:tcPr>
            <w:tcW w:w="3260" w:type="dxa"/>
            <w:tcBorders/>
            <w:shd w:fill="auto" w:val="clear"/>
            <w:vAlign w:val="center"/>
          </w:tcPr>
          <w:p>
            <w:pPr>
              <w:pStyle w:val="TableContents"/>
              <w:spacing w:before="0" w:after="283"/>
              <w:jc w:val="left"/>
              <w:rPr/>
            </w:pPr>
            <w:r>
              <w:rPr/>
              <w:t>Living Green Farm</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755" w:type="dxa"/>
            <w:tcBorders/>
            <w:shd w:fill="auto" w:val="clear"/>
            <w:vAlign w:val="center"/>
          </w:tcPr>
          <w:p>
            <w:pPr>
              <w:pStyle w:val="TableContents"/>
              <w:spacing w:before="0" w:after="283"/>
              <w:jc w:val="right"/>
              <w:rPr/>
            </w:pPr>
            <w:r>
              <w:rPr/>
              <w:t>(58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63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Purchases from 4D for the year ended December 31, 2020 includes $480 thousand related to a down payment on inventory orders.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net related party (payable) receivable as of December 31, 2021 and December 31, 2020:</w:t>
      </w:r>
    </w:p>
    <w:p>
      <w:pPr>
        <w:pStyle w:val="TextBody"/>
        <w:spacing w:before="0" w:after="0"/>
        <w:ind w:left="0" w:right="0" w:firstLine="360"/>
        <w:rPr>
          <w:caps w:val="false"/>
          <w:smallCaps w:val="false"/>
        </w:rPr>
      </w:pPr>
      <w:r>
        <w:rPr>
          <w:caps w:val="false"/>
          <w:smallCaps w:val="false"/>
        </w:rPr>
        <w:t> </w:t>
      </w:r>
    </w:p>
    <w:tbl>
      <w:tblPr>
        <w:tblW w:w="6499" w:type="dxa"/>
        <w:jc w:val="left"/>
        <w:tblInd w:w="0" w:type="dxa"/>
        <w:tblCellMar>
          <w:top w:w="0" w:type="dxa"/>
          <w:left w:w="0" w:type="dxa"/>
          <w:bottom w:w="28" w:type="dxa"/>
          <w:right w:w="0" w:type="dxa"/>
        </w:tblCellMar>
      </w:tblPr>
      <w:tblGrid>
        <w:gridCol w:w="3260"/>
        <w:gridCol w:w="60"/>
        <w:gridCol w:w="251"/>
        <w:gridCol w:w="1223"/>
        <w:gridCol w:w="95"/>
        <w:gridCol w:w="60"/>
        <w:gridCol w:w="295"/>
        <w:gridCol w:w="1180"/>
        <w:gridCol w:w="75"/>
      </w:tblGrid>
      <w:tr>
        <w:trPr/>
        <w:tc>
          <w:tcPr>
            <w:tcW w:w="3260" w:type="dxa"/>
            <w:tcBorders>
              <w:bottom w:val="single" w:sz="12" w:space="0" w:color="000000"/>
            </w:tcBorders>
            <w:shd w:fill="auto" w:val="clear"/>
            <w:vAlign w:val="center"/>
          </w:tcPr>
          <w:p>
            <w:pPr>
              <w:pStyle w:val="TableContents"/>
              <w:spacing w:before="0" w:after="283"/>
              <w:rPr>
                <w:b/>
              </w:rPr>
            </w:pPr>
            <w:r>
              <w:rPr>
                <w:b/>
              </w:rPr>
              <w:t>(Dollar Amounts in Thousands)</w:t>
            </w:r>
          </w:p>
        </w:tc>
        <w:tc>
          <w:tcPr>
            <w:tcW w:w="60" w:type="dxa"/>
            <w:tcBorders/>
            <w:shd w:fill="auto" w:val="clear"/>
            <w:tcMar>
              <w:bottom w:w="0" w:type="dxa"/>
            </w:tcMar>
            <w:vAlign w:val="center"/>
          </w:tcPr>
          <w:p>
            <w:pPr>
              <w:pStyle w:val="TableContents"/>
              <w:spacing w:before="0" w:after="283"/>
              <w:rPr/>
            </w:pPr>
            <w:r>
              <w:rPr/>
              <w:t> </w:t>
            </w:r>
          </w:p>
        </w:tc>
        <w:tc>
          <w:tcPr>
            <w:tcW w:w="1474"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2021</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75" w:type="dxa"/>
            <w:gridSpan w:val="2"/>
            <w:tcBorders>
              <w:bottom w:val="single" w:sz="12" w:space="0" w:color="000000"/>
            </w:tcBorders>
            <w:shd w:fill="auto" w:val="clear"/>
            <w:vAlign w:val="center"/>
          </w:tcPr>
          <w:p>
            <w:pPr>
              <w:pStyle w:val="TableContents"/>
              <w:spacing w:before="0" w:after="283"/>
              <w:jc w:val="center"/>
              <w:rPr>
                <w:b/>
              </w:rPr>
            </w:pPr>
            <w:r>
              <w:rPr>
                <w:b/>
              </w:rPr>
              <w:t xml:space="preserve">December 31, </w:t>
              <w:br/>
              <w:t>2020</w:t>
            </w:r>
          </w:p>
        </w:tc>
        <w:tc>
          <w:tcPr>
            <w:tcW w:w="75" w:type="dxa"/>
            <w:tcBorders/>
            <w:shd w:fill="auto" w:val="clear"/>
            <w:tcMar>
              <w:bottom w:w="0" w:type="dxa"/>
            </w:tcMar>
            <w:vAlign w:val="center"/>
          </w:tcPr>
          <w:p>
            <w:pPr>
              <w:pStyle w:val="TableContents"/>
              <w:spacing w:before="0" w:after="283"/>
              <w:rPr/>
            </w:pPr>
            <w:r>
              <w:rPr/>
              <w:t> </w:t>
            </w:r>
          </w:p>
        </w:tc>
      </w:tr>
      <w:tr>
        <w:trPr/>
        <w:tc>
          <w:tcPr>
            <w:tcW w:w="3260" w:type="dxa"/>
            <w:tcBorders/>
            <w:shd w:fill="CCEEFF" w:val="clear"/>
            <w:tcMar>
              <w:bottom w:w="0" w:type="dxa"/>
            </w:tcMar>
            <w:vAlign w:val="center"/>
          </w:tcPr>
          <w:p>
            <w:pPr>
              <w:pStyle w:val="TableContents"/>
              <w:spacing w:before="0" w:after="283"/>
              <w:rPr/>
            </w:pPr>
            <w:r>
              <w:rPr/>
              <w:t>Bluezone</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3" w:type="dxa"/>
            <w:tcBorders/>
            <w:shd w:fill="CCEEFF" w:val="clear"/>
            <w:tcMar>
              <w:bottom w:w="0" w:type="dxa"/>
            </w:tcMar>
            <w:vAlign w:val="center"/>
          </w:tcPr>
          <w:p>
            <w:pPr>
              <w:pStyle w:val="TableContents"/>
              <w:spacing w:before="0" w:after="0"/>
              <w:jc w:val="right"/>
              <w:rPr/>
            </w:pPr>
            <w:r>
              <w:rPr/>
              <w:t>—</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180" w:type="dxa"/>
            <w:tcBorders/>
            <w:shd w:fill="CCEEFF" w:val="clear"/>
            <w:tcMar>
              <w:bottom w:w="0" w:type="dxa"/>
            </w:tcMar>
            <w:vAlign w:val="center"/>
          </w:tcPr>
          <w:p>
            <w:pPr>
              <w:pStyle w:val="TableContents"/>
              <w:spacing w:before="0" w:after="283"/>
              <w:jc w:val="right"/>
              <w:rPr/>
            </w:pPr>
            <w:r>
              <w:rPr/>
              <w:t>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Cannae Policy Group</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(8</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60" w:type="dxa"/>
            <w:tcBorders/>
            <w:shd w:fill="CCEEFF" w:val="clear"/>
            <w:tcMar>
              <w:bottom w:w="0" w:type="dxa"/>
            </w:tcMar>
            <w:vAlign w:val="center"/>
          </w:tcPr>
          <w:p>
            <w:pPr>
              <w:pStyle w:val="TableContents"/>
              <w:spacing w:before="0" w:after="283"/>
              <w:rPr/>
            </w:pPr>
            <w:r>
              <w:rPr/>
              <w:t>Cannaquip</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(21</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260" w:type="dxa"/>
            <w:tcBorders/>
            <w:shd w:fill="auto" w:val="clear"/>
            <w:tcMar>
              <w:bottom w:w="0" w:type="dxa"/>
            </w:tcMar>
            <w:vAlign w:val="center"/>
          </w:tcPr>
          <w:p>
            <w:pPr>
              <w:pStyle w:val="TableContents"/>
              <w:spacing w:before="0" w:after="283"/>
              <w:jc w:val="left"/>
              <w:rPr/>
            </w:pPr>
            <w:r>
              <w:rPr/>
              <w:t>Greenstone Holdings</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11,177</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0"/>
              <w:jc w:val="right"/>
              <w:rPr/>
            </w:pPr>
            <w:r>
              <w:rPr/>
              <w:t>—</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60" w:type="dxa"/>
            <w:tcBorders/>
            <w:shd w:fill="CCEEFF" w:val="clear"/>
            <w:tcMar>
              <w:bottom w:w="0" w:type="dxa"/>
            </w:tcMar>
            <w:vAlign w:val="center"/>
          </w:tcPr>
          <w:p>
            <w:pPr>
              <w:pStyle w:val="TableContents"/>
              <w:spacing w:before="0" w:after="283"/>
              <w:jc w:val="left"/>
              <w:rPr/>
            </w:pPr>
            <w:r>
              <w:rPr/>
              <w:t>Living Green Farm</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3" w:type="dxa"/>
            <w:tcBorders/>
            <w:shd w:fill="CCEEFF" w:val="clear"/>
            <w:tcMar>
              <w:bottom w:w="0" w:type="dxa"/>
            </w:tcMar>
            <w:vAlign w:val="center"/>
          </w:tcPr>
          <w:p>
            <w:pPr>
              <w:pStyle w:val="TableContents"/>
              <w:spacing w:before="0" w:after="283"/>
              <w:jc w:val="right"/>
              <w:rPr/>
            </w:pPr>
            <w:r>
              <w:rPr/>
              <w:t>34</w:t>
            </w:r>
          </w:p>
        </w:tc>
        <w:tc>
          <w:tcPr>
            <w:tcW w:w="9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180" w:type="dxa"/>
            <w:tcBorders/>
            <w:shd w:fill="CCEEFF" w:val="clear"/>
            <w:tcMar>
              <w:bottom w:w="0" w:type="dxa"/>
            </w:tcMar>
            <w:vAlign w:val="center"/>
          </w:tcPr>
          <w:p>
            <w:pPr>
              <w:pStyle w:val="TableContents"/>
              <w:spacing w:before="0" w:after="0"/>
              <w:jc w:val="right"/>
              <w:rPr/>
            </w:pPr>
            <w:r>
              <w:rPr/>
              <w:t>—</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260" w:type="dxa"/>
            <w:tcBorders/>
            <w:shd w:fill="auto" w:val="clear"/>
            <w:tcMar>
              <w:bottom w:w="0" w:type="dxa"/>
            </w:tcMar>
            <w:vAlign w:val="center"/>
          </w:tcPr>
          <w:p>
            <w:pPr>
              <w:pStyle w:val="TableContents"/>
              <w:spacing w:before="0" w:after="283"/>
              <w:rPr/>
            </w:pPr>
            <w:r>
              <w:rPr/>
              <w:t>NEIA</w:t>
            </w:r>
          </w:p>
        </w:tc>
        <w:tc>
          <w:tcPr>
            <w:tcW w:w="60" w:type="dxa"/>
            <w:tcBorders/>
            <w:shd w:fill="auto" w:val="clear"/>
            <w:tcMar>
              <w:bottom w:w="0" w:type="dxa"/>
            </w:tcMar>
            <w:vAlign w:val="center"/>
          </w:tcPr>
          <w:p>
            <w:pPr>
              <w:pStyle w:val="TableContents"/>
              <w:spacing w:before="0" w:after="283"/>
              <w:rPr/>
            </w:pPr>
            <w:r>
              <w:rPr/>
              <w:t> </w:t>
            </w:r>
          </w:p>
        </w:tc>
        <w:tc>
          <w:tcPr>
            <w:tcW w:w="251" w:type="dxa"/>
            <w:tcBorders/>
            <w:shd w:fill="auto" w:val="clear"/>
            <w:tcMar>
              <w:bottom w:w="0" w:type="dxa"/>
            </w:tcMar>
            <w:vAlign w:val="center"/>
          </w:tcPr>
          <w:p>
            <w:pPr>
              <w:pStyle w:val="TableContents"/>
              <w:spacing w:before="0" w:after="283"/>
              <w:jc w:val="left"/>
              <w:rPr/>
            </w:pPr>
            <w:r>
              <w:rPr/>
              <w:t> </w:t>
            </w:r>
          </w:p>
        </w:tc>
        <w:tc>
          <w:tcPr>
            <w:tcW w:w="1223" w:type="dxa"/>
            <w:tcBorders/>
            <w:shd w:fill="auto" w:val="clear"/>
            <w:tcMar>
              <w:bottom w:w="0" w:type="dxa"/>
            </w:tcMar>
            <w:vAlign w:val="center"/>
          </w:tcPr>
          <w:p>
            <w:pPr>
              <w:pStyle w:val="TableContents"/>
              <w:spacing w:before="0" w:after="283"/>
              <w:jc w:val="right"/>
              <w:rPr/>
            </w:pPr>
            <w:r>
              <w:rPr/>
              <w:t>3,500</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95" w:type="dxa"/>
            <w:tcBorders/>
            <w:shd w:fill="auto" w:val="clear"/>
            <w:tcMar>
              <w:bottom w:w="0" w:type="dxa"/>
            </w:tcMar>
            <w:vAlign w:val="center"/>
          </w:tcPr>
          <w:p>
            <w:pPr>
              <w:pStyle w:val="TableContents"/>
              <w:spacing w:before="0" w:after="283"/>
              <w:jc w:val="left"/>
              <w:rPr/>
            </w:pPr>
            <w:r>
              <w:rPr/>
              <w:t> </w:t>
            </w:r>
          </w:p>
        </w:tc>
        <w:tc>
          <w:tcPr>
            <w:tcW w:w="1180" w:type="dxa"/>
            <w:tcBorders/>
            <w:shd w:fill="auto" w:val="clear"/>
            <w:tcMar>
              <w:bottom w:w="0" w:type="dxa"/>
            </w:tcMar>
            <w:vAlign w:val="center"/>
          </w:tcPr>
          <w:p>
            <w:pPr>
              <w:pStyle w:val="TableContents"/>
              <w:spacing w:before="0" w:after="283"/>
              <w:jc w:val="right"/>
              <w:rPr/>
            </w:pPr>
            <w:r>
              <w:rPr/>
              <w:t>1,665</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60" w:type="dxa"/>
            <w:tcBorders/>
            <w:shd w:fill="CCEEFF" w:val="clear"/>
            <w:tcMar>
              <w:bottom w:w="0" w:type="dxa"/>
            </w:tcMar>
            <w:vAlign w:val="center"/>
          </w:tcPr>
          <w:p>
            <w:pPr>
              <w:pStyle w:val="TableContents"/>
              <w:spacing w:before="0" w:after="283"/>
              <w:jc w:val="left"/>
              <w:rPr/>
            </w:pPr>
            <w:r>
              <w:rPr/>
              <w:t>Valiant Americas, LLC.</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3" w:type="dxa"/>
            <w:tcBorders/>
            <w:shd w:fill="CCEEFF" w:val="clear"/>
            <w:tcMar>
              <w:bottom w:w="0" w:type="dxa"/>
            </w:tcMar>
            <w:vAlign w:val="center"/>
          </w:tcPr>
          <w:p>
            <w:pPr>
              <w:pStyle w:val="TableContents"/>
              <w:spacing w:before="0" w:after="283"/>
              <w:jc w:val="right"/>
              <w:rPr/>
            </w:pPr>
            <w:r>
              <w:rPr/>
              <w:t>(922</w:t>
            </w:r>
          </w:p>
        </w:tc>
        <w:tc>
          <w:tcPr>
            <w:tcW w:w="95"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180" w:type="dxa"/>
            <w:tcBorders/>
            <w:shd w:fill="CCEEFF" w:val="clear"/>
            <w:tcMar>
              <w:bottom w:w="0" w:type="dxa"/>
            </w:tcMar>
            <w:vAlign w:val="center"/>
          </w:tcPr>
          <w:p>
            <w:pPr>
              <w:pStyle w:val="TableContents"/>
              <w:spacing w:before="0" w:after="283"/>
              <w:jc w:val="right"/>
              <w:rPr/>
            </w:pPr>
            <w:r>
              <w:rPr/>
              <w:t>4,246</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23 —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2022, the Company entered into a Securities Purchase Agreement (the “Securities Agreement”) with an institutional investor and other accredited investors for the sale by the Company of (i) 2,450,350 shares (the “Shares”) of the Company’s common stock, par value $0.001 per share (the “Common Stock”), (ii) pre-funded warrants (the “Pre-Funded Warrants”) to purchase up to an aggregate of 1,570,644 shares of Common Stock and (iii) warrants to purchase up to an aggregate of 3,015,745 shares of Common Stock (the “Common Warrants” and, collectively with the Pre-Funded Warrants, the “Warrants”), in a private placement offering. The combined purchase price for one share of Common Stock (or one Pre-Funded Warrant) and accompanying fraction of a Common Warrant was $6.80.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the Warrants are exercisable six months from issuance. Each Pre-Funded Warrant is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Chang, Chairman and Chief Executive Officer of the Company, and Stuart Wilcox, a member of the Company’s Board of Directors, participated in the private placement on the same terms as other investors except for a combined purchase price of $6.90.</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private placement were approximately $27.3 million, before deducting the placement agent’s fees and other offering expenses, and excluding the proceeds, if any, from the exercise of the Warrants.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Acquisition of Lab Society; Purchase Consideration</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2022, the Company entered into an Agreement and Plan of Merger (the “Merger Agreement”) with LS Holdings Corp. (“Lab Society”), Lab Society NewCo, LLC, a newly formed wholly 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 owned subsidiary of the Company (the “Lab Society Acquisition”).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Lab Society Acquisition consisted of: (a) $4.0 million in cash, subject to certain adjustments for working capital, cash and indebtedness of Lab Society at closing; (b) 425,611 shares of the Company’s common stock (the “Buyer Shares”); and (c) the Earn-out Consideration (as defined below), to the extent earned.</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withheld 127,682 of the Buyer Shares issuable to the Owners (the “Holdback Lab Buyer Shares”) for the purpose of securing any post-closing adjustment owed to the Company and any claim for indemnification or payment of damages to which the Company may be entitled under the Merger Agreement. The Holdback Lab Buyer Shares shall be released following the twelve (12) month anniversary of the Closing Date in accordance with and subject to the conditions of the Merger Agreement.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the Company’s common stock.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2022, the Company entered into a Securities Purchase Agreement (the “Securities Purchase Agreement”) with an accredited investor (the “Investor”), pursuant to which, among other things, the Company agreed to issue and sell to the Investor, in a private placement transaction (the “Private Placement”), in exchange for the payment by the Investor of $65 million, less applicable expenses as set forth in the Securities Purchase Agreement, (i) a senior secured promissory note in an aggregate principal amount of $65 million (the “Note”), and (ii) a warrant (the “Warrant”) to purchase up to an aggregate of 6,881,108 shares of common stock of the Company, par value $0.001 per share (“Common Stock”).</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will be a senior secured obligation of the Company and ranks senior to all indebtedness of the Company. The Company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will have a stated interest rate of 6.75% per annum, and the Company will be required to pay interest on March 1, June 1, September 1 and December 1 of each calendar year through and including the Maturity Date. Following the one-year anniversary of the Note’s issuance, the Company may, in lieu of paying interest in cash, pay such interest in kind, in which case interest on the Note will be calculated at the rate of 8.75% per annum and will be added to the principal amount of the Note.</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one-year anniversary of the Note’s issuance, the Company may prepay all (but not less than all) of the Note by redemption at a price equal to 106.75% of the then-outstanding principal amount under the Note plus accrued but unpaid interest. The Investor will also have the option of requiring the Company to redeem the Note if the Company undergoes a fundamental change at a price equal to 107% of the then-outstanding principal amount under the Note plus any accrued interest thereon.</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the Common Stock on the trading day immediately prior to such subsequent closing.</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will impose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EBITDA targets, and (v) require the Company to maintain minimum amounts of cash on hand. If an event of default under the Note occurs, the Investor can elect to redeem the Note for cash equal to 115% of the then-outstanding principal amount of the Note (or such lesser principal amount accelerated by the Investor), plus accrued and unpaid interest, including default interest, which accrues at a rate per annum equal to 15% from the date of a default or event of default.</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Note is fully repaid, the Investor will, subject to certain exceptions, have the right to participate for up to 30% of any debt, preferred stock or equity-linked financing of the Company or its subsidiaries.</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to be issued in the initial closing will have an exercise price of $6.75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“Warrant Shares”), in which case the Warrant shall also be exercisable on a cashless exercise basis at the Investor’s election. The Securities Purchase Agreement requires the Company to file resale registration statements with respect to the Warrant Shares as soon as practicable and in any event within 45 days following the initial closing and any subsequent closings.</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will provide that in no event will the number of shares of Common Stock issued upon exercise of the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(61st) day after notice of such request by the Investor to increase its beneficial ownership limit has been delivered to the Company).</w:t>
      </w:r>
    </w:p>
    <w:p>
      <w:pPr>
        <w:pStyle w:val="TextBody"/>
        <w:spacing w:before="0" w:after="0"/>
        <w:ind w:left="0" w:right="0" w:firstLine="360"/>
        <w:jc w:val="left"/>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Note and the Warrant.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F-43</w:t>
      </w:r>
    </w:p>
    <w:p>
      <w:pPr>
        <w:pStyle w:val="TextBody"/>
        <w:ind w:left="0" w:right="0" w:firstLine="360"/>
        <w:rPr>
          <w:caps w:val="false"/>
          <w:smallCaps w:val="false"/>
          <w:bdr w:val="single" w:sz="12" w:space="1" w:color="000000"/>
        </w:rPr>
      </w:pPr>
      <w:r>
        <w:rPr>
          <w:caps w:val="false"/>
          <w:smallCaps w:val="false"/>
          <w:bdr w:val="single" w:sz="12" w:space="1" w:color="000000"/>
        </w:rPr>
        <w:t> </w:t>
      </w:r>
    </w:p>
    <w:p>
      <w:pPr>
        <w:pStyle w:val="TextBody"/>
        <w:spacing w:before="0" w:after="0"/>
        <w:ind w:left="0" w:right="0" w:firstLine="360"/>
        <w:rPr>
          <w:caps w:val="false"/>
          <w:smallCaps w:val="false"/>
        </w:rPr>
      </w:pPr>
      <w:r>
        <w:rPr>
          <w:caps w:val="false"/>
          <w:smallCaps w:val="false"/>
        </w:rPr>
        <w:t> </w:t>
      </w:r>
      <w:r>
        <w:br w:type="page"/>
      </w:r>
    </w:p>
    <w:p>
      <w:pPr>
        <w:pStyle w:val="TextBody"/>
        <w:jc w:val="right"/>
        <w:rPr>
          <w:b/>
        </w:rPr>
      </w:pPr>
      <w:bookmarkStart w:id="35" w:name="f10k2021ex10-15_agrifycorp.htm"/>
      <w:bookmarkStart w:id="36" w:name="ksf10k2021ex1015_agrifycorp"/>
      <w:bookmarkEnd w:id="35"/>
      <w:bookmarkEnd w:id="36"/>
      <w:r>
        <w:rPr>
          <w:b/>
        </w:rPr>
        <w:t>Exhibit 10.15</w:t>
      </w:r>
    </w:p>
    <w:p>
      <w:pPr>
        <w:pStyle w:val="TextBody"/>
        <w:rPr/>
      </w:pPr>
      <w:r>
        <w:rPr/>
        <w:t> </w:t>
      </w:r>
    </w:p>
    <w:p>
      <w:pPr>
        <w:pStyle w:val="TextBody"/>
        <w:jc w:val="left"/>
        <w:rPr/>
      </w:pPr>
      <w:r>
        <w:rPr/>
        <w:drawing>
          <wp:inline distT="0" distB="0" distL="0" distR="0">
            <wp:extent cx="20383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7"/>
                    <a:stretch>
                      <a:fillRect/>
                    </a:stretch>
                  </pic:blipFill>
                  <pic:spPr bwMode="auto">
                    <a:xfrm>
                      <a:off x="0" y="0"/>
                      <a:ext cx="2038350" cy="533400"/>
                    </a:xfrm>
                    <a:prstGeom prst="rect">
                      <a:avLst/>
                    </a:prstGeom>
                  </pic:spPr>
                </pic:pic>
              </a:graphicData>
            </a:graphic>
          </wp:inline>
        </w:drawing>
      </w:r>
    </w:p>
    <w:p>
      <w:pPr>
        <w:pStyle w:val="TextBody"/>
        <w:rPr/>
      </w:pPr>
      <w:r>
        <w:rPr/>
        <w:t> </w:t>
      </w:r>
    </w:p>
    <w:tbl>
      <w:tblPr>
        <w:tblW w:w="2950" w:type="dxa"/>
        <w:jc w:val="left"/>
        <w:tblInd w:w="0" w:type="dxa"/>
        <w:tblCellMar>
          <w:top w:w="0" w:type="dxa"/>
          <w:left w:w="0" w:type="dxa"/>
          <w:bottom w:w="0" w:type="dxa"/>
          <w:right w:w="0" w:type="dxa"/>
        </w:tblCellMar>
      </w:tblPr>
      <w:tblGrid>
        <w:gridCol w:w="1130"/>
        <w:gridCol w:w="1820"/>
      </w:tblGrid>
      <w:tr>
        <w:trPr/>
        <w:tc>
          <w:tcPr>
            <w:tcW w:w="1130" w:type="dxa"/>
            <w:tcBorders/>
            <w:shd w:fill="auto" w:val="clear"/>
            <w:vAlign w:val="center"/>
          </w:tcPr>
          <w:p>
            <w:pPr>
              <w:pStyle w:val="TableContents"/>
              <w:spacing w:before="0" w:after="283"/>
              <w:rPr/>
            </w:pPr>
            <w:r>
              <w:rPr/>
              <w:t>Niv Krikov</w:t>
            </w:r>
          </w:p>
        </w:tc>
        <w:tc>
          <w:tcPr>
            <w:tcW w:w="1820" w:type="dxa"/>
            <w:tcBorders/>
            <w:shd w:fill="auto" w:val="clear"/>
            <w:vAlign w:val="center"/>
          </w:tcPr>
          <w:p>
            <w:pPr>
              <w:pStyle w:val="TableContents"/>
              <w:spacing w:before="0" w:after="283"/>
              <w:jc w:val="right"/>
              <w:rPr/>
            </w:pPr>
            <w:r>
              <w:rPr/>
              <w:t>November 3, 2021</w:t>
            </w:r>
          </w:p>
        </w:tc>
      </w:tr>
    </w:tbl>
    <w:p>
      <w:pPr>
        <w:pStyle w:val="TextBody"/>
        <w:rPr/>
      </w:pPr>
      <w:r>
        <w:rPr/>
        <w:t>215 Fisher Street</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02492 Dear Niv,</w:t>
      </w:r>
    </w:p>
    <w:p>
      <w:pPr>
        <w:pStyle w:val="TextBody"/>
        <w:spacing w:before="0" w:after="0"/>
        <w:ind w:left="0" w:right="0" w:firstLine="719"/>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discussed and agreed, your employment with Agrify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will terminate effective November 10, 2021 (the “</w:t>
      </w:r>
      <w:r>
        <w:rPr>
          <w:rFonts w:ascii="Times New Roman;Times;Serif" w:hAnsi="Times New Roman;Times;Serif"/>
          <w:b w:val="false"/>
          <w:i w:val="false"/>
          <w:caps w:val="false"/>
          <w:smallCaps w:val="false"/>
          <w:sz w:val="20"/>
          <w:u w:val="single"/>
        </w:rPr>
        <w:t>Separation Date</w:t>
      </w:r>
      <w:r>
        <w:rPr>
          <w:rFonts w:ascii="Times New Roman;Times;Serif" w:hAnsi="Times New Roman;Times;Serif"/>
          <w:b w:val="false"/>
          <w:i w:val="false"/>
          <w:caps w:val="false"/>
          <w:smallCaps w:val="false"/>
          <w:sz w:val="20"/>
        </w:rPr>
        <w:t>”). If you timely sign this letter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the Company will provide you with the Severance Benefits described below, on the condition that you comply with all the terms set forth herein.</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Separation</w:t>
      </w:r>
      <w:r>
        <w:rPr>
          <w:rFonts w:ascii="Times New Roman;Times;Serif" w:hAnsi="Times New Roman;Times;Serif"/>
          <w:b w:val="false"/>
          <w:i w:val="false"/>
          <w:caps w:val="false"/>
          <w:smallCaps w:val="false"/>
          <w:sz w:val="20"/>
        </w:rPr>
        <w:t>. Regardless of whether you sign this Agreement, on the Separation Date, you will receive payment of all wages earned, including your earned bonus for Q3 and Q4, any commissions, expense reimbursement and all unused vacation time accrued, through the Separation Date. Following the Separation Date, you will no longer be an employee of the Company and, except as specifically provided below, you will not be eligible to participate in any of the Company’s bonus plans or employee benefit plans except as specifically provided by law, or by the terms of the plans themselves.</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In consideration of the mutual covenants set forth herein, the Company will continue to pay you an amount equal to your current annual base salary, less applicable withholding and deductions, through June 30, 2022 (the “</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in accordance with the Company’s regular payroll periods and procedures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The first payment shall be made on the first regular Company payroll date following the date you sign this Agreement and the seven-day rescission period expires. The first payment shall include any retroactive amounts accrued. Payment of the Severance Pay is contingent upon your compliance with the terms of this Agreement. You acknowledge and agree that the Severance Pay is over and above anything owed to you by law, contract, or under the policies of the Company, and that it is being provided to you expressly in exchange for you entering into this Agreement.</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Group Benefits.</w:t>
      </w:r>
      <w:r>
        <w:rPr>
          <w:rFonts w:ascii="Times New Roman;Times;Serif" w:hAnsi="Times New Roman;Times;Serif"/>
          <w:b w:val="false"/>
          <w:i w:val="false"/>
          <w:caps w:val="false"/>
          <w:smallCaps w:val="false"/>
          <w:sz w:val="20"/>
        </w:rPr>
        <w:t xml:space="preserve"> Your participation in the Company’s group medical, dental and vision insurance plans shall terminate on November 30, 2021, except as provided under COBRA. If you elect to continue your participation in the Company’s group medical, dental and vision insurance plans in accordance with COBRA, the Company will pay the full monthly premium from December 1, 2021 through June 30, 2022. As for other Company group benefits, you will continue to be enrolled in the Company’s group plans at your current levels of enrollment through June 30, 2022, at the Company’s expense. The Company will provide you with information regarding your rights under COBRA on or before November 21, 2021.</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Employee Stock Options.</w:t>
      </w:r>
      <w:r>
        <w:rPr>
          <w:rFonts w:ascii="Times New Roman;Times;Serif" w:hAnsi="Times New Roman;Times;Serif"/>
          <w:b w:val="false"/>
          <w:i w:val="false"/>
          <w:caps w:val="false"/>
          <w:smallCaps w:val="false"/>
          <w:sz w:val="20"/>
        </w:rPr>
        <w:t xml:space="preserve"> The options previously granted to you will continue to vest through June 30, 2022, in accordance with the Company’s Stock Plan and your option grants. Your vested options shall be eligible for exercise until September 30,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Niv Krikov Page 2</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Continuing Assistance</w:t>
      </w:r>
      <w:r>
        <w:rPr>
          <w:rFonts w:ascii="Times New Roman;Times;Serif" w:hAnsi="Times New Roman;Times;Serif"/>
          <w:b w:val="false"/>
          <w:i w:val="false"/>
          <w:caps w:val="false"/>
          <w:smallCaps w:val="false"/>
          <w:sz w:val="20"/>
        </w:rPr>
        <w:t>. The Severance Benefits described above are subject to you continuing to serve as an advisor through December 31, 2021. As an advisor, you agree to be available by telephone or email to assist in the transition of your duties and answer any questions relating to your CFO responsibilities. The Company understands that you may have other obligations during the Advisory Period. Accordingly, the Company anticipates that you will need to devote approximately ten (10) hours per week to advisory services. The Company acknowledges that you have a planned vacation starting the week of December 23, 2021 and will have limited availability that week.</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General Release</w:t>
      </w:r>
      <w:r>
        <w:rPr>
          <w:rFonts w:ascii="Times New Roman;Times;Serif" w:hAnsi="Times New Roman;Times;Serif"/>
          <w:b w:val="false"/>
          <w:i w:val="false"/>
          <w:caps w:val="false"/>
          <w:smallCaps w:val="false"/>
          <w:sz w:val="20"/>
        </w:rPr>
        <w:t>. On behalf of yourself, your agents, assignees, attorneys, heirs, executors and administrators, you agree and do release and forever discharge the Company, its affiliates, parents, subsidiaries, officers, directors, employees, attorneys and agents, individually and in their official capacities (collectively, the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xml:space="preserve">”) from any and all claims and causes of action, known or unknown, including but not limited to those arising out of or relating to your employment by the Company or your separation from employment. This release includes, but is not limited to, any claims you may have under any federal, state, or local employment laws; any federal, state, or local laws prohibiting discrimination in employment, including but not limited to the federal Civil Rights Acts, the Americans with Disabilities Act, Massachusetts employment discrimination statute (including Mass. Gen. Laws ch. 151B); claims under the Employee Retirement Income Security Act; claims under any federal, state or local leave laws, including but not limited to the Family Medical Leave Act; claims for unpaid salary, wages, commissions, bonuses or other compensation under the Fair Labor Standards Act, the Massachusetts Wage Act (including Mass. Gen. Laws ch. 149, § 148), or any federal, state or local wage and hour laws or wage claim statutes; claims alleging any legal restriction on the Company’s right to terminate its employees; any personal injury claims, including without limitation, wrongful discharge, detrimental reliance, violation of privacy rights, defamation, misrepresentation, tortious interference with business expectancy, emotional distress; or any claims alleging breach of express or implied contract. This release does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waive: (i) your right to enforce the terms of this Agreement; (ii) any claims that cannot be released by law, or any future claims that have not arisen as of the date that you signed this Agreement; (iii) any rights you may have under the Company’s employee benefit and equity plans (such rights shall be governed by the terms of those plans and applicable law); or (iv) any rights you may have to indemnification and legal defense as a former employee and officer of the Company, pursuant to applicable law and Company bylaws, policies, and insurance policies.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further specifically acknowledge that:</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2"/>
        <w:gridCol w:w="9935"/>
      </w:tblGrid>
      <w:tr>
        <w:trPr/>
        <w:tc>
          <w:tcPr>
            <w:tcW w:w="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jc w:val="left"/>
              <w:rPr/>
            </w:pPr>
            <w:r>
              <w:rPr/>
              <w:t>(a)</w:t>
            </w:r>
          </w:p>
        </w:tc>
        <w:tc>
          <w:tcPr>
            <w:tcW w:w="9935" w:type="dxa"/>
            <w:tcBorders/>
            <w:shd w:fill="auto" w:val="clear"/>
            <w:vAlign w:val="center"/>
          </w:tcPr>
          <w:p>
            <w:pPr>
              <w:pStyle w:val="TableContents"/>
              <w:spacing w:before="0" w:after="283"/>
              <w:jc w:val="left"/>
              <w:rPr/>
            </w:pPr>
            <w:r>
              <w:rPr/>
              <w:t>This release is part of an agreement between you and the Company that is written in a manner that you understand. The Company is giving you money and other things of value that you would not otherwise be entitled to receive.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3"/>
        <w:gridCol w:w="9904"/>
      </w:tblGrid>
      <w:tr>
        <w:trPr/>
        <w:tc>
          <w:tcPr>
            <w:tcW w:w="3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jc w:val="left"/>
              <w:rPr/>
            </w:pPr>
            <w:r>
              <w:rPr/>
              <w:t>(b)</w:t>
            </w:r>
          </w:p>
        </w:tc>
        <w:tc>
          <w:tcPr>
            <w:tcW w:w="9904" w:type="dxa"/>
            <w:tcBorders/>
            <w:shd w:fill="auto" w:val="clear"/>
            <w:vAlign w:val="center"/>
          </w:tcPr>
          <w:p>
            <w:pPr>
              <w:pStyle w:val="TableContents"/>
              <w:spacing w:before="0" w:after="283"/>
              <w:jc w:val="left"/>
              <w:rPr/>
            </w:pPr>
            <w:r>
              <w:rPr/>
              <w:t>The Company hereby advises you in writing to consult an attorney, and you have been given the opportunity to consult with counsel of your own choosing.</w:t>
            </w:r>
          </w:p>
        </w:tc>
      </w:tr>
    </w:tbl>
    <w:p>
      <w:pPr>
        <w:pStyle w:val="TextBody"/>
        <w:rPr/>
      </w:pPr>
      <w:r>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Niv Krikov Page 3</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7"/>
        <w:gridCol w:w="9960"/>
      </w:tblGrid>
      <w:tr>
        <w:trPr/>
        <w:tc>
          <w:tcPr>
            <w:tcW w:w="3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jc w:val="left"/>
              <w:rPr/>
            </w:pPr>
            <w:r>
              <w:rPr/>
              <w:t>(c)</w:t>
            </w:r>
          </w:p>
        </w:tc>
        <w:tc>
          <w:tcPr>
            <w:tcW w:w="9960" w:type="dxa"/>
            <w:tcBorders/>
            <w:shd w:fill="auto" w:val="clear"/>
            <w:vAlign w:val="center"/>
          </w:tcPr>
          <w:p>
            <w:pPr>
              <w:pStyle w:val="TableContents"/>
              <w:spacing w:before="0" w:after="283"/>
              <w:jc w:val="left"/>
              <w:rPr/>
            </w:pPr>
            <w:r>
              <w:rPr/>
              <w:t>You have been given 21 days to consider signing this Agreement (the “</w:t>
            </w:r>
            <w:r>
              <w:rPr>
                <w:u w:val="single"/>
              </w:rPr>
              <w:t>Consideration Period</w:t>
            </w:r>
            <w:r>
              <w:rPr/>
              <w:t>”), and you understand that, if you sign this Agreement within the Consideration Period, you may revoke this Agreement within seven days of signing and delivering it. This Agreement will not become effective until the end of such seven-day period. In the event you exercise your right to revoke this Agreement, all obligations of the Company under the Agreement will cease. You further understand that if you sign this Agreement prior to the expiration of the Consideration Period, you have waived any remaining portion of the Consideration Period. If you timely revoke this Agreement after signing, you acknowledge and agree that any amounts payable hereunder that have been paid to you prior to the date of revocation, shall be repaid to the Company simultaneously with the delivery of the revocation.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3"/>
        <w:gridCol w:w="9924"/>
      </w:tblGrid>
      <w:tr>
        <w:trPr/>
        <w:tc>
          <w:tcPr>
            <w:tcW w:w="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jc w:val="left"/>
              <w:rPr/>
            </w:pPr>
            <w:r>
              <w:rPr/>
              <w:t>(d)</w:t>
            </w:r>
          </w:p>
        </w:tc>
        <w:tc>
          <w:tcPr>
            <w:tcW w:w="9924" w:type="dxa"/>
            <w:tcBorders/>
            <w:shd w:fill="auto" w:val="clear"/>
            <w:vAlign w:val="center"/>
          </w:tcPr>
          <w:p>
            <w:pPr>
              <w:pStyle w:val="TableContents"/>
              <w:spacing w:before="0" w:after="283"/>
              <w:jc w:val="left"/>
              <w:rPr/>
            </w:pPr>
            <w:r>
              <w:rPr/>
              <w:t>By signing this Agreement, you understand that you are waiving all rights and claims for age discrimination arising under the Age Discrimination in Employment Act and other similar federal, state and local statues, regulations, orders and the common law.</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1"/>
        <w:gridCol w:w="9916"/>
      </w:tblGrid>
      <w:tr>
        <w:trPr/>
        <w:tc>
          <w:tcPr>
            <w:tcW w:w="3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jc w:val="left"/>
              <w:rPr/>
            </w:pPr>
            <w:r>
              <w:rPr/>
              <w:t>(e)</w:t>
            </w:r>
          </w:p>
        </w:tc>
        <w:tc>
          <w:tcPr>
            <w:tcW w:w="9916" w:type="dxa"/>
            <w:tcBorders/>
            <w:shd w:fill="auto" w:val="clear"/>
            <w:vAlign w:val="center"/>
          </w:tcPr>
          <w:p>
            <w:pPr>
              <w:pStyle w:val="TableContents"/>
              <w:spacing w:before="0" w:after="283"/>
              <w:jc w:val="left"/>
              <w:rPr/>
            </w:pPr>
            <w:r>
              <w:rPr/>
              <w:t>You are not releasing or waiving any rights or claims for age discrimination or otherwise which may arise after the date this Agreement is signed.</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 Pending Suits</w:t>
      </w:r>
      <w:r>
        <w:rPr>
          <w:rFonts w:ascii="Times New Roman;Times;Serif" w:hAnsi="Times New Roman;Times;Serif"/>
          <w:b w:val="false"/>
          <w:i w:val="false"/>
          <w:caps w:val="false"/>
          <w:smallCaps w:val="false"/>
          <w:sz w:val="20"/>
        </w:rPr>
        <w:t>. You acknowledge and agree that you have not filed any lawsuit or complaint against the Company or any of the other Releasees in any court of law or administrative agency that is pending as of the date you sign this Agreement. You further agree to waive any right to accept any monetary award obtained on your behalf from any Releasee by any local, state or federal governmental agency for any claim otherwise subject to the release set forth in this Agreement.</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Unless as required by law or valid subpoena, you agree, on behalf of yourself, your agents, assignees, attorneys, heirs, executors and administrators, not to make any oral or written communication to any person or entity which has the effect of damaging the reputation of, or otherwise working in any way to the detriment of, the Company, the Releasees, or the Company’s products and services. The Company agrees that it will not issue any press release or public statement that disparages you or has the effect of damaging your reputation. Likewise, the Company agrees that its executives and members of its Board of Directors will not make any oral or written communication to any person or entity which has the effect of damaging the reputation of, or otherwise working in any way to the detriment of you. Absent a written request from you, inquiries from potential employers will be directed to the Company’s Director of HR, Sheryl Elliott, who will provide only the titles you held and the dates of your employment.</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Non-Solicitation; Non-Disclosure</w:t>
      </w:r>
      <w:r>
        <w:rPr>
          <w:rFonts w:ascii="Times New Roman;Times;Serif" w:hAnsi="Times New Roman;Times;Serif"/>
          <w:b w:val="false"/>
          <w:i w:val="false"/>
          <w:caps w:val="false"/>
          <w:smallCaps w:val="false"/>
          <w:sz w:val="20"/>
        </w:rPr>
        <w:t>. You acknowledge and agree that the Proprietary Information, Inventions, and Non-Solicitation Agreement between you and the Company (the “</w:t>
      </w:r>
      <w:r>
        <w:rPr>
          <w:rFonts w:ascii="Times New Roman;Times;Serif" w:hAnsi="Times New Roman;Times;Serif"/>
          <w:b w:val="false"/>
          <w:i w:val="false"/>
          <w:caps w:val="false"/>
          <w:smallCaps w:val="false"/>
          <w:sz w:val="20"/>
          <w:u w:val="single"/>
        </w:rPr>
        <w:t>Proprietary Information Agreement</w:t>
      </w:r>
      <w:r>
        <w:rPr>
          <w:rFonts w:ascii="Times New Roman;Times;Serif" w:hAnsi="Times New Roman;Times;Serif"/>
          <w:b w:val="false"/>
          <w:i w:val="false"/>
          <w:caps w:val="false"/>
          <w:smallCaps w:val="false"/>
          <w:sz w:val="20"/>
        </w:rPr>
        <w:t>”) remains in full force and effect, subject to the understanding that the restrictions set forth in Section 5 of the Proprietary Information Agreement will not preclude you from working with or doing business with “any consultant or independent contractor” with whom you worked, did business, or otherwise interacted before you became an employee of the Company.</w:t>
      </w:r>
    </w:p>
    <w:p>
      <w:pPr>
        <w:pStyle w:val="TextBody"/>
        <w:spacing w:before="0" w:after="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Niv Krikov Page 4</w:t>
      </w:r>
    </w:p>
    <w:p>
      <w:pPr>
        <w:pStyle w:val="TextBody"/>
        <w:spacing w:before="0" w:after="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You and the Company agree to maintain the terms of this Agreement as confidential information, subject to disclosure only pursuant to the requirements of the law. Notwithstanding the following, you may inform your immediate family and legal and financial advisors of the terms hereof on the basis that they shall similarly maintain the confidentiality of said terms. You may also share this Agreement with taxing authorities and the Department of unemployment Assistance if requested to do so. Finally, you may share Section 9 of this Agreement with a potential or new employer.</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Return of Company Property</w:t>
      </w:r>
      <w:r>
        <w:rPr>
          <w:rFonts w:ascii="Times New Roman;Times;Serif" w:hAnsi="Times New Roman;Times;Serif"/>
          <w:b w:val="false"/>
          <w:i w:val="false"/>
          <w:caps w:val="false"/>
          <w:smallCaps w:val="false"/>
          <w:sz w:val="20"/>
        </w:rPr>
        <w:t>. By signing this Agreement, you represent that you have returned to the Company all property belonging to the Company including, but not limited to, all keys, office equipment, documents, records, client files, written materials, computer, electronic information, credit cards bearing the Company’s name, and other Company property (originals or copies on whatever form) in your possession. You represent that you will retain no copies of confidential documents, and that you will make no attempt to acquire such documents in the future. Notwithstanding the foregoing, the Company agrees that you may retain possession of the laptop computer issued to you during your employment. You agree to make the computer available to the Company’s IT personnel for the purpose of removing any Company confidential information.</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Non-Admission</w:t>
      </w:r>
      <w:r>
        <w:rPr>
          <w:rFonts w:ascii="Times New Roman;Times;Serif" w:hAnsi="Times New Roman;Times;Serif"/>
          <w:b w:val="false"/>
          <w:i w:val="false"/>
          <w:caps w:val="false"/>
          <w:smallCaps w:val="false"/>
          <w:sz w:val="20"/>
        </w:rPr>
        <w:t>. The existence and execution of this Agreement shall not be considered, and shall not be admissible in any proceeding, as an admission by the Company, its affiliates, officers, directors, employees, or agents, of any liability, error, violation or omission.</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if for any reason any part hereof shall be found to be unenforceable, the remaining provisions shall be enforced in full.</w:t>
      </w:r>
    </w:p>
    <w:p>
      <w:pPr>
        <w:pStyle w:val="TextBody"/>
        <w:spacing w:before="0" w:after="0"/>
        <w:ind w:left="0" w:right="0" w:firstLine="720"/>
        <w:jc w:val="left"/>
        <w:rPr>
          <w:caps w:val="false"/>
          <w:smallCaps w:val="false"/>
        </w:rPr>
      </w:pPr>
      <w:r>
        <w:rPr>
          <w:caps w:val="false"/>
          <w:smallCaps w:val="false"/>
        </w:rPr>
        <w:t> </w:t>
      </w:r>
    </w:p>
    <w:p>
      <w:pPr>
        <w:pStyle w:val="TextBody"/>
        <w:spacing w:before="0" w:after="0"/>
        <w:ind w:left="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counterparts, each of which shall be an original, but all of which together shall constitute one agreement. A facsimile or PDF signature shall be deemed an original and valid signature.</w:t>
      </w:r>
    </w:p>
    <w:p>
      <w:pPr>
        <w:pStyle w:val="TextBody"/>
        <w:spacing w:before="0" w:after="0"/>
        <w:jc w:val="left"/>
        <w:rPr>
          <w:caps w:val="false"/>
          <w:smallCaps w:val="false"/>
        </w:rPr>
      </w:pPr>
      <w:r>
        <w:rPr>
          <w:caps w:val="false"/>
          <w:smallCaps w:val="false"/>
        </w:rPr>
        <w:t> </w:t>
      </w:r>
    </w:p>
    <w:p>
      <w:pPr>
        <w:pStyle w:val="TextBody"/>
        <w:spacing w:before="0" w:after="0"/>
        <w:ind w:left="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agree that this is an individually negotiated agreement, and not part of any continuing arrangement, plan, scheme or program.</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You acknowledge that this Agreement constitutes an articulation of all pay and benefits to which you are entitled, and that you are not entitled to any other payments, benefits or privileges that have not been specifically included in this Agreement.</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supersedes all prior written, verbal, or implied agreements between you and the Company, except for the Proprietary Information Agreement, as set forth in Section 9 above and your equity agreements with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may not be modified except in writing signed by you and an Officer of the Company. This Agreement shall be construed under the laws of the Commonwealth of Massachusetts and shall be binding upon your heirs and personal representatives, and the successors and assigns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You further acknowledge that no promises or representations have been made to you by any person to induce you to enter into this Agreement other than the express terms set forth herein.</w:t>
      </w:r>
    </w:p>
    <w:p>
      <w:pPr>
        <w:pStyle w:val="TextBody"/>
        <w:spacing w:before="0" w:after="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Should you decide to file for unemployment benefits, the Company will not contest your application, but will respond truthfully to any requests for information from the applicable government department.</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Niv Krikov Page 5</w:t>
      </w:r>
    </w:p>
    <w:p>
      <w:pPr>
        <w:pStyle w:val="TextBody"/>
        <w:spacing w:before="0" w:after="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you choose to accept this Agreement, please sign and date below where indicated and return it to me. Please do not hesitate to contact me if you have questions.</w:t>
      </w:r>
    </w:p>
    <w:p>
      <w:pPr>
        <w:pStyle w:val="TextBody"/>
        <w:spacing w:before="0" w:after="0"/>
        <w:rPr>
          <w:caps w:val="false"/>
          <w:smallCaps w:val="false"/>
        </w:rPr>
      </w:pPr>
      <w:r>
        <w:rPr>
          <w:caps w:val="false"/>
          <w:smallCaps w:val="false"/>
        </w:rPr>
        <w:t> </w:t>
      </w:r>
    </w:p>
    <w:tbl>
      <w:tblPr>
        <w:tblW w:w="4299" w:type="dxa"/>
        <w:jc w:val="left"/>
        <w:tblInd w:w="0" w:type="dxa"/>
        <w:tblCellMar>
          <w:top w:w="0" w:type="dxa"/>
          <w:left w:w="0" w:type="dxa"/>
          <w:bottom w:w="0" w:type="dxa"/>
          <w:right w:w="0" w:type="dxa"/>
        </w:tblCellMar>
      </w:tblPr>
      <w:tblGrid>
        <w:gridCol w:w="2315"/>
        <w:gridCol w:w="60"/>
        <w:gridCol w:w="669"/>
        <w:gridCol w:w="1255"/>
      </w:tblGrid>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2"/>
            <w:tcBorders/>
            <w:shd w:fill="auto" w:val="clear"/>
            <w:vAlign w:val="center"/>
          </w:tcPr>
          <w:p>
            <w:pPr>
              <w:pStyle w:val="TableContents"/>
              <w:spacing w:before="0" w:after="283"/>
              <w:rPr/>
            </w:pPr>
            <w:r>
              <w:rPr/>
              <w:t>Very truly yours,</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rPr/>
            </w:pPr>
            <w:r>
              <w:rPr/>
              <w:t> </w:t>
            </w:r>
          </w:p>
        </w:tc>
        <w:tc>
          <w:tcPr>
            <w:tcW w:w="1255"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2"/>
            <w:tcBorders>
              <w:bottom w:val="single" w:sz="12" w:space="0" w:color="000000"/>
            </w:tcBorders>
            <w:shd w:fill="auto" w:val="clear"/>
            <w:tcMar>
              <w:bottom w:w="28" w:type="dxa"/>
            </w:tcMar>
            <w:vAlign w:val="center"/>
          </w:tcPr>
          <w:p>
            <w:pPr>
              <w:pStyle w:val="TableContents"/>
              <w:spacing w:before="0" w:after="283"/>
              <w:rPr/>
            </w:pPr>
            <w:r>
              <w:rPr/>
              <w:t>/s/ Raymond Chang</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2"/>
            <w:tcBorders/>
            <w:shd w:fill="auto" w:val="clear"/>
            <w:vAlign w:val="center"/>
          </w:tcPr>
          <w:p>
            <w:pPr>
              <w:pStyle w:val="TableContents"/>
              <w:spacing w:before="0" w:after="283"/>
              <w:rPr/>
            </w:pPr>
            <w:r>
              <w:rPr/>
              <w:t>Raymond Chang</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2"/>
            <w:tcBorders/>
            <w:shd w:fill="auto" w:val="clear"/>
            <w:vAlign w:val="center"/>
          </w:tcPr>
          <w:p>
            <w:pPr>
              <w:pStyle w:val="TableContents"/>
              <w:spacing w:before="0" w:after="283"/>
              <w:rPr/>
            </w:pPr>
            <w:r>
              <w:rPr/>
              <w:t>President</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2"/>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b/>
              </w:rPr>
            </w:pPr>
            <w:r>
              <w:rPr>
                <w:b/>
              </w:rPr>
              <w:t>Accepted and Agreed:</w:t>
            </w:r>
          </w:p>
        </w:tc>
        <w:tc>
          <w:tcPr>
            <w:tcW w:w="60"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rPr/>
            </w:pPr>
            <w:r>
              <w:rPr/>
              <w:t> </w:t>
            </w:r>
          </w:p>
        </w:tc>
        <w:tc>
          <w:tcPr>
            <w:tcW w:w="1255"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rPr/>
            </w:pPr>
            <w:r>
              <w:rPr/>
              <w:t> </w:t>
            </w:r>
          </w:p>
        </w:tc>
        <w:tc>
          <w:tcPr>
            <w:tcW w:w="1255" w:type="dxa"/>
            <w:tcBorders/>
            <w:shd w:fill="auto" w:val="clear"/>
            <w:vAlign w:val="center"/>
          </w:tcPr>
          <w:p>
            <w:pPr>
              <w:pStyle w:val="TableContents"/>
              <w:spacing w:before="0" w:after="283"/>
              <w:rPr/>
            </w:pPr>
            <w:r>
              <w:rPr/>
              <w:t> </w:t>
            </w:r>
          </w:p>
        </w:tc>
      </w:tr>
      <w:tr>
        <w:trPr/>
        <w:tc>
          <w:tcPr>
            <w:tcW w:w="2315" w:type="dxa"/>
            <w:tcBorders>
              <w:bottom w:val="single" w:sz="12" w:space="0" w:color="000000"/>
            </w:tcBorders>
            <w:shd w:fill="auto" w:val="clear"/>
            <w:tcMar>
              <w:bottom w:w="28" w:type="dxa"/>
            </w:tcMar>
            <w:vAlign w:val="center"/>
          </w:tcPr>
          <w:p>
            <w:pPr>
              <w:pStyle w:val="TableContents"/>
              <w:spacing w:before="0" w:after="283"/>
              <w:rPr/>
            </w:pPr>
            <w:r>
              <w:rPr/>
              <w:t>/s/ Niv Krikov</w:t>
            </w:r>
          </w:p>
        </w:tc>
        <w:tc>
          <w:tcPr>
            <w:tcW w:w="60"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rPr/>
            </w:pPr>
            <w:r>
              <w:rPr/>
              <w:t>Date:</w:t>
            </w:r>
          </w:p>
        </w:tc>
        <w:tc>
          <w:tcPr>
            <w:tcW w:w="1255" w:type="dxa"/>
            <w:tcBorders>
              <w:bottom w:val="single" w:sz="12" w:space="0" w:color="000000"/>
            </w:tcBorders>
            <w:shd w:fill="auto" w:val="clear"/>
            <w:tcMar>
              <w:bottom w:w="28" w:type="dxa"/>
            </w:tcMar>
            <w:vAlign w:val="center"/>
          </w:tcPr>
          <w:p>
            <w:pPr>
              <w:pStyle w:val="TableContents"/>
              <w:spacing w:before="0" w:after="283"/>
              <w:rPr/>
            </w:pPr>
            <w:r>
              <w:rPr/>
              <w:t>11/7/2021</w:t>
            </w:r>
          </w:p>
        </w:tc>
      </w:tr>
      <w:tr>
        <w:trPr/>
        <w:tc>
          <w:tcPr>
            <w:tcW w:w="2315" w:type="dxa"/>
            <w:tcBorders/>
            <w:shd w:fill="auto" w:val="clear"/>
            <w:vAlign w:val="center"/>
          </w:tcPr>
          <w:p>
            <w:pPr>
              <w:pStyle w:val="TableContents"/>
              <w:spacing w:before="0" w:after="283"/>
              <w:rPr/>
            </w:pPr>
            <w:r>
              <w:rPr/>
              <w:t>Niv Krikov</w:t>
            </w:r>
          </w:p>
        </w:tc>
        <w:tc>
          <w:tcPr>
            <w:tcW w:w="60"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rPr/>
            </w:pPr>
            <w:r>
              <w:rPr/>
              <w:t> </w:t>
            </w:r>
          </w:p>
        </w:tc>
        <w:tc>
          <w:tcPr>
            <w:tcW w:w="1255" w:type="dxa"/>
            <w:tcBorders/>
            <w:shd w:fill="auto" w:val="clear"/>
            <w:vAlign w:val="center"/>
          </w:tcPr>
          <w:p>
            <w:pPr>
              <w:pStyle w:val="TableContents"/>
              <w:spacing w:before="0" w:after="283"/>
              <w:rPr/>
            </w:pPr>
            <w:r>
              <w:rPr/>
              <w:t> </w:t>
            </w:r>
          </w:p>
        </w:tc>
      </w:tr>
    </w:tbl>
    <w:p>
      <w:pPr>
        <w:pStyle w:val="TextBody"/>
        <w:spacing w:before="0" w:after="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rPr/>
      </w:pPr>
      <w:r>
        <w:rPr/>
        <w:t> </w:t>
      </w:r>
      <w:r>
        <w:br w:type="page"/>
      </w:r>
    </w:p>
    <w:p>
      <w:pPr>
        <w:pStyle w:val="TextBody"/>
        <w:spacing w:before="0" w:after="0"/>
        <w:ind w:left="7920" w:right="0" w:hanging="0"/>
        <w:jc w:val="right"/>
        <w:rPr>
          <w:rFonts w:ascii="Times New Roman;Times;Serif" w:hAnsi="Times New Roman;Times;Serif"/>
          <w:b/>
          <w:i w:val="false"/>
          <w:caps w:val="false"/>
          <w:smallCaps w:val="false"/>
          <w:sz w:val="20"/>
        </w:rPr>
      </w:pPr>
      <w:bookmarkStart w:id="37" w:name="f10k2021ex21-1_agrifycorp.htm"/>
      <w:bookmarkStart w:id="38" w:name="ksf10k2021ex211_agrifycorp"/>
      <w:bookmarkEnd w:id="37"/>
      <w:bookmarkEnd w:id="38"/>
      <w:r>
        <w:rPr>
          <w:rFonts w:ascii="Times New Roman;Times;Serif" w:hAnsi="Times New Roman;Times;Serif"/>
          <w:b/>
          <w:i w:val="false"/>
          <w:caps w:val="false"/>
          <w:smallCaps w:val="false"/>
          <w:sz w:val="20"/>
        </w:rPr>
        <w:t>Exhibit 21.1</w:t>
      </w:r>
    </w:p>
    <w:p>
      <w:pPr>
        <w:pStyle w:val="TextBody"/>
        <w:spacing w:before="0" w:after="0"/>
        <w:ind w:left="7920" w:right="0" w:hanging="0"/>
        <w:jc w:val="right"/>
        <w:rPr>
          <w:caps w:val="false"/>
          <w:smallCaps w:val="false"/>
        </w:rPr>
      </w:pPr>
      <w:r>
        <w:rPr>
          <w:caps w:val="false"/>
          <w:smallCaps w:val="false"/>
        </w:rPr>
        <w:t> </w:t>
      </w:r>
    </w:p>
    <w:p>
      <w:pPr>
        <w:pStyle w:val="TextBody"/>
        <w:spacing w:before="0" w:after="0"/>
        <w:ind w:left="7920" w:right="0" w:hanging="0"/>
        <w:jc w:val="right"/>
        <w:rPr>
          <w:caps w:val="false"/>
          <w:smallCaps w:val="false"/>
        </w:rPr>
      </w:pPr>
      <w:r>
        <w:rPr>
          <w:caps w:val="false"/>
          <w:smallCaps w:val="false"/>
        </w:rPr>
        <w:t> </w:t>
      </w:r>
    </w:p>
    <w:tbl>
      <w:tblPr>
        <w:tblW w:w="6975" w:type="dxa"/>
        <w:jc w:val="left"/>
        <w:tblInd w:w="0" w:type="dxa"/>
        <w:tblCellMar>
          <w:top w:w="0" w:type="dxa"/>
          <w:left w:w="0" w:type="dxa"/>
          <w:bottom w:w="0" w:type="dxa"/>
          <w:right w:w="0" w:type="dxa"/>
        </w:tblCellMar>
      </w:tblPr>
      <w:tblGrid>
        <w:gridCol w:w="3005"/>
        <w:gridCol w:w="60"/>
        <w:gridCol w:w="1535"/>
        <w:gridCol w:w="60"/>
        <w:gridCol w:w="2315"/>
      </w:tblGrid>
      <w:tr>
        <w:trPr/>
        <w:tc>
          <w:tcPr>
            <w:tcW w:w="6975" w:type="dxa"/>
            <w:gridSpan w:val="5"/>
            <w:tcBorders/>
            <w:shd w:fill="auto" w:val="clear"/>
            <w:vAlign w:val="center"/>
          </w:tcPr>
          <w:p>
            <w:pPr>
              <w:pStyle w:val="TableContents"/>
              <w:spacing w:before="0" w:after="283"/>
              <w:jc w:val="center"/>
              <w:rPr>
                <w:rFonts w:ascii="Times New Roman;Times;Serif" w:hAnsi="Times New Roman;Times;Serif"/>
                <w:b/>
                <w:u w:val="single"/>
              </w:rPr>
            </w:pPr>
            <w:r>
              <w:rPr>
                <w:rFonts w:ascii="Times New Roman;Times;Serif" w:hAnsi="Times New Roman;Times;Serif"/>
                <w:b/>
                <w:u w:val="single"/>
              </w:rPr>
              <w:t>Subsidiaries of the Registrant</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Entity Name</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 xml:space="preserve">Jurisdiction of </w:t>
              <w:br/>
              <w:t>Organization</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 xml:space="preserve">Percent of Ownership </w:t>
              <w:br/>
              <w:t>(direct or indirect)</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TriGrow Systems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Nevada</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AGM Service Company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Ariafy Finance,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Massachusetts</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Agxion,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Nevada</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Harbor Mountain Holdings,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Georgia</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Cascade Sciences,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Precision Extraction NewCo,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Michigan</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PurePressure,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Colorado</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Pure Services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Colorado</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Lab Society NewCo,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Colorado</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Agrify Brands,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Nevada</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75%</w:t>
            </w:r>
          </w:p>
        </w:tc>
      </w:tr>
      <w:tr>
        <w:trPr/>
        <w:tc>
          <w:tcPr>
            <w:tcW w:w="30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Agrify-Valiant LLC</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Massachusetts</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60%</w:t>
            </w:r>
          </w:p>
        </w:tc>
      </w:tr>
      <w:tr>
        <w:trPr/>
        <w:tc>
          <w:tcPr>
            <w:tcW w:w="30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Teejan Podponics International LLC</w:t>
            </w:r>
          </w:p>
        </w:tc>
        <w:tc>
          <w:tcPr>
            <w:tcW w:w="6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Oman</w:t>
            </w:r>
          </w:p>
        </w:tc>
        <w:tc>
          <w:tcPr>
            <w:tcW w:w="60" w:type="dxa"/>
            <w:tcBorders/>
            <w:shd w:fill="CCEEFF" w:val="clear"/>
            <w:vAlign w:val="center"/>
          </w:tcPr>
          <w:p>
            <w:pPr>
              <w:pStyle w:val="TableContents"/>
              <w:spacing w:before="0" w:after="283"/>
              <w:rPr/>
            </w:pPr>
            <w:r>
              <w:rPr/>
              <w:t> </w:t>
            </w:r>
          </w:p>
        </w:tc>
        <w:tc>
          <w:tcPr>
            <w:tcW w:w="231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w:t>
            </w:r>
          </w:p>
        </w:tc>
      </w:tr>
      <w:tr>
        <w:trPr/>
        <w:tc>
          <w:tcPr>
            <w:tcW w:w="3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3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2315" w:type="dxa"/>
            <w:tcBorders/>
            <w:shd w:fill="FFFFFF" w:val="clear"/>
            <w:vAlign w:val="center"/>
          </w:tcPr>
          <w:p>
            <w:pPr>
              <w:pStyle w:val="TableContents"/>
              <w:spacing w:before="0" w:after="283"/>
              <w:jc w:val="right"/>
              <w:rPr/>
            </w:pPr>
            <w:r>
              <w:rPr/>
              <w:t> </w:t>
            </w:r>
          </w:p>
        </w:tc>
      </w:tr>
    </w:tbl>
    <w:p>
      <w:pPr>
        <w:pStyle w:val="TextBody"/>
        <w:spacing w:before="0" w:after="0"/>
        <w:ind w:left="7920" w:right="0" w:hanging="0"/>
        <w:jc w:val="right"/>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br w:type="page"/>
      </w:r>
    </w:p>
    <w:p>
      <w:pPr>
        <w:pStyle w:val="TextBody"/>
        <w:spacing w:before="0" w:after="0"/>
        <w:ind w:left="7920" w:right="0" w:hanging="0"/>
        <w:jc w:val="right"/>
        <w:rPr>
          <w:rFonts w:ascii="Times New Roman;Times;Serif" w:hAnsi="Times New Roman;Times;Serif"/>
          <w:b/>
          <w:i w:val="false"/>
          <w:caps w:val="false"/>
          <w:smallCaps w:val="false"/>
          <w:sz w:val="20"/>
        </w:rPr>
      </w:pPr>
      <w:bookmarkStart w:id="39" w:name="f10k2021ex23-1_agrifycorp.htm"/>
      <w:bookmarkStart w:id="40" w:name="ksf10k2021ex231_agrifycorp"/>
      <w:bookmarkEnd w:id="39"/>
      <w:bookmarkEnd w:id="40"/>
      <w:r>
        <w:rPr>
          <w:rFonts w:ascii="Times New Roman;Times;Serif" w:hAnsi="Times New Roman;Times;Serif"/>
          <w:b/>
          <w:i w:val="false"/>
          <w:caps w:val="false"/>
          <w:smallCaps w:val="false"/>
          <w:sz w:val="20"/>
        </w:rPr>
        <w:t>Exhibit 23.1</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of Agrify Corporation on Form S-3 (File no. 333-262603) and Form S-8 (File no. 333-257340) of our report dated March 31, 2022, with respect to our audits of the consolidated financial statements of Agrify Corporation as of December 31, 2021 and 2020 and for each of the two years in the period ended December 31, 2021, which report is included in this Annual Report on Form 10-K of Agrify Corporation for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2022</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41" w:name="f10k2021ex31-1_agrifycorp.htm"/>
      <w:bookmarkStart w:id="42" w:name="ksf10k2021ex311_agrifycorp"/>
      <w:bookmarkEnd w:id="41"/>
      <w:bookmarkEnd w:id="42"/>
      <w:r>
        <w:rPr>
          <w:b/>
        </w:rPr>
        <w:t>Exhibit 31.1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Raymond Chang, certify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4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 have reviewed this Annual Report on Form 10-K of Agrify Corporation for the year ended December 31, 2021;</w:t>
            </w:r>
          </w:p>
        </w:tc>
      </w:tr>
      <w:tr>
        <w:trPr/>
        <w:tc>
          <w:tcPr>
            <w:tcW w:w="157" w:type="dxa"/>
            <w:tcBorders/>
            <w:shd w:fill="auto" w:val="clear"/>
            <w:vAlign w:val="center"/>
          </w:tcPr>
          <w:p>
            <w:pPr>
              <w:pStyle w:val="TableContents"/>
              <w:spacing w:before="0" w:after="283"/>
              <w:jc w:val="left"/>
              <w:rPr/>
            </w:pPr>
            <w:r>
              <w:rPr/>
              <w:t> </w:t>
            </w:r>
          </w:p>
        </w:tc>
        <w:tc>
          <w:tcPr>
            <w:tcW w:w="10048" w:type="dxa"/>
            <w:tcBorders/>
            <w:shd w:fill="auto" w:val="clear"/>
            <w:vAlign w:val="center"/>
          </w:tcPr>
          <w:p>
            <w:pPr>
              <w:pStyle w:val="TableContents"/>
              <w:spacing w:before="0" w:after="283"/>
              <w:jc w:val="left"/>
              <w:rPr/>
            </w:pPr>
            <w:r>
              <w:rPr/>
              <w:t> </w:t>
            </w:r>
          </w:p>
        </w:tc>
      </w:tr>
      <w:tr>
        <w:trPr/>
        <w:tc>
          <w:tcPr>
            <w:tcW w:w="15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shd w:fill="auto" w:val="clear"/>
            <w:vAlign w:val="center"/>
          </w:tcPr>
          <w:p>
            <w:pPr>
              <w:pStyle w:val="TableContents"/>
              <w:spacing w:before="0" w:after="283"/>
              <w:jc w:val="left"/>
              <w:rPr/>
            </w:pPr>
            <w:r>
              <w:rPr/>
              <w:t> </w:t>
            </w:r>
          </w:p>
        </w:tc>
        <w:tc>
          <w:tcPr>
            <w:tcW w:w="10048" w:type="dxa"/>
            <w:tcBorders/>
            <w:shd w:fill="auto" w:val="clear"/>
            <w:vAlign w:val="center"/>
          </w:tcPr>
          <w:p>
            <w:pPr>
              <w:pStyle w:val="TableContents"/>
              <w:spacing w:before="0" w:after="283"/>
              <w:jc w:val="left"/>
              <w:rPr/>
            </w:pPr>
            <w:r>
              <w:rPr/>
              <w:t> </w:t>
            </w:r>
          </w:p>
        </w:tc>
      </w:tr>
      <w:tr>
        <w:trPr/>
        <w:tc>
          <w:tcPr>
            <w:tcW w:w="15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1004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43"/>
        <w:gridCol w:w="9908"/>
      </w:tblGrid>
      <w:tr>
        <w:trPr/>
        <w:tc>
          <w:tcPr>
            <w:tcW w:w="15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w:t>
            </w:r>
          </w:p>
        </w:tc>
        <w:tc>
          <w:tcPr>
            <w:tcW w:w="10051"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jc w:val="left"/>
              <w:rPr/>
            </w:pPr>
            <w:r>
              <w:rPr/>
              <w:t> </w:t>
            </w:r>
          </w:p>
        </w:tc>
        <w:tc>
          <w:tcPr>
            <w:tcW w:w="10051" w:type="dxa"/>
            <w:gridSpan w:val="2"/>
            <w:tcBorders/>
            <w:shd w:fill="auto" w:val="clear"/>
            <w:vAlign w:val="center"/>
          </w:tcPr>
          <w:p>
            <w:pPr>
              <w:pStyle w:val="TableContents"/>
              <w:spacing w:before="0" w:after="283"/>
              <w:jc w:val="left"/>
              <w:rPr/>
            </w:pPr>
            <w:r>
              <w:rPr/>
              <w:t> </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pPr>
            <w:r>
              <w:rPr/>
              <w:t> </w:t>
            </w:r>
          </w:p>
        </w:tc>
        <w:tc>
          <w:tcPr>
            <w:tcW w:w="9908" w:type="dxa"/>
            <w:tcBorders/>
            <w:shd w:fill="auto" w:val="clear"/>
            <w:vAlign w:val="center"/>
          </w:tcPr>
          <w:p>
            <w:pPr>
              <w:pStyle w:val="TableContents"/>
              <w:spacing w:before="0" w:after="283"/>
              <w:jc w:val="left"/>
              <w:rPr/>
            </w:pPr>
            <w:r>
              <w:rPr/>
              <w:t> </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990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pPr>
            <w:r>
              <w:rPr/>
              <w:t> </w:t>
            </w:r>
          </w:p>
        </w:tc>
        <w:tc>
          <w:tcPr>
            <w:tcW w:w="9908" w:type="dxa"/>
            <w:tcBorders/>
            <w:shd w:fill="auto" w:val="clear"/>
            <w:vAlign w:val="center"/>
          </w:tcPr>
          <w:p>
            <w:pPr>
              <w:pStyle w:val="TableContents"/>
              <w:spacing w:before="0" w:after="283"/>
              <w:jc w:val="left"/>
              <w:rPr/>
            </w:pPr>
            <w:r>
              <w:rPr/>
              <w:t> </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990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pPr>
            <w:r>
              <w:rPr/>
              <w:t> </w:t>
            </w:r>
          </w:p>
        </w:tc>
        <w:tc>
          <w:tcPr>
            <w:tcW w:w="9908" w:type="dxa"/>
            <w:tcBorders/>
            <w:shd w:fill="auto" w:val="clear"/>
            <w:vAlign w:val="center"/>
          </w:tcPr>
          <w:p>
            <w:pPr>
              <w:pStyle w:val="TableContents"/>
              <w:spacing w:before="0" w:after="283"/>
              <w:jc w:val="left"/>
              <w:rPr/>
            </w:pPr>
            <w:r>
              <w:rPr/>
              <w:t> </w:t>
            </w:r>
          </w:p>
        </w:tc>
      </w:tr>
      <w:tr>
        <w:trPr/>
        <w:tc>
          <w:tcPr>
            <w:tcW w:w="154" w:type="dxa"/>
            <w:tcBorders/>
            <w:shd w:fill="auto" w:val="cle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990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55"/>
        <w:gridCol w:w="9892"/>
      </w:tblGrid>
      <w:tr>
        <w:trPr/>
        <w:tc>
          <w:tcPr>
            <w:tcW w:w="15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8" w:type="dxa"/>
            <w:tcBorders/>
            <w:shd w:fill="auto" w:val="clear"/>
            <w:vAlign w:val="center"/>
          </w:tcPr>
          <w:p>
            <w:pPr>
              <w:pStyle w:val="TableContents"/>
              <w:spacing w:before="0" w:after="283"/>
              <w:jc w:val="left"/>
              <w:rPr/>
            </w:pPr>
            <w:r>
              <w:rPr/>
              <w:t> </w:t>
            </w:r>
          </w:p>
        </w:tc>
        <w:tc>
          <w:tcPr>
            <w:tcW w:w="10047" w:type="dxa"/>
            <w:gridSpan w:val="2"/>
            <w:tcBorders/>
            <w:shd w:fill="auto" w:val="clear"/>
            <w:vAlign w:val="center"/>
          </w:tcPr>
          <w:p>
            <w:pPr>
              <w:pStyle w:val="TableContents"/>
              <w:spacing w:before="0" w:after="283"/>
              <w:jc w:val="left"/>
              <w:rPr/>
            </w:pPr>
            <w:r>
              <w:rPr/>
              <w:t> </w:t>
            </w:r>
          </w:p>
        </w:tc>
      </w:tr>
      <w:tr>
        <w:trPr/>
        <w:tc>
          <w:tcPr>
            <w:tcW w:w="158" w:type="dxa"/>
            <w:tcBorders/>
            <w:shd w:fill="auto" w:val="clear"/>
            <w:vAlign w:val="center"/>
          </w:tcPr>
          <w:p>
            <w:pPr>
              <w:pStyle w:val="TableContents"/>
              <w:spacing w:before="0" w:after="283"/>
              <w:jc w:val="left"/>
              <w:rPr/>
            </w:pPr>
            <w:r>
              <w:rPr/>
              <w:t> </w:t>
            </w:r>
          </w:p>
        </w:tc>
        <w:tc>
          <w:tcPr>
            <w:tcW w:w="1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989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58" w:type="dxa"/>
            <w:tcBorders/>
            <w:shd w:fill="auto" w:val="clear"/>
            <w:vAlign w:val="center"/>
          </w:tcPr>
          <w:p>
            <w:pPr>
              <w:pStyle w:val="TableContents"/>
              <w:spacing w:before="0" w:after="283"/>
              <w:jc w:val="left"/>
              <w:rPr/>
            </w:pPr>
            <w:r>
              <w:rPr/>
              <w:t> </w:t>
            </w:r>
          </w:p>
        </w:tc>
        <w:tc>
          <w:tcPr>
            <w:tcW w:w="155" w:type="dxa"/>
            <w:tcBorders/>
            <w:shd w:fill="auto" w:val="clear"/>
            <w:vAlign w:val="center"/>
          </w:tcPr>
          <w:p>
            <w:pPr>
              <w:pStyle w:val="TableContents"/>
              <w:spacing w:before="0" w:after="283"/>
              <w:jc w:val="left"/>
              <w:rPr/>
            </w:pPr>
            <w:r>
              <w:rPr/>
              <w:t> </w:t>
            </w:r>
          </w:p>
        </w:tc>
        <w:tc>
          <w:tcPr>
            <w:tcW w:w="9892" w:type="dxa"/>
            <w:tcBorders/>
            <w:shd w:fill="auto" w:val="clear"/>
            <w:vAlign w:val="center"/>
          </w:tcPr>
          <w:p>
            <w:pPr>
              <w:pStyle w:val="TableContents"/>
              <w:spacing w:before="0" w:after="283"/>
              <w:jc w:val="left"/>
              <w:rPr/>
            </w:pPr>
            <w:r>
              <w:rPr/>
              <w:t> </w:t>
            </w:r>
          </w:p>
        </w:tc>
      </w:tr>
      <w:tr>
        <w:trPr/>
        <w:tc>
          <w:tcPr>
            <w:tcW w:w="158" w:type="dxa"/>
            <w:tcBorders/>
            <w:shd w:fill="auto" w:val="clear"/>
            <w:vAlign w:val="center"/>
          </w:tcPr>
          <w:p>
            <w:pPr>
              <w:pStyle w:val="TableContents"/>
              <w:spacing w:before="0" w:after="283"/>
              <w:jc w:val="left"/>
              <w:rPr/>
            </w:pPr>
            <w:r>
              <w:rPr/>
              <w:t> </w:t>
            </w:r>
          </w:p>
        </w:tc>
        <w:tc>
          <w:tcPr>
            <w:tcW w:w="1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989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1805"/>
        <w:gridCol w:w="2960"/>
      </w:tblGrid>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31, 2022</w:t>
            </w:r>
          </w:p>
        </w:tc>
        <w:tc>
          <w:tcPr>
            <w:tcW w:w="29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9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Raymond Chang</w:t>
            </w:r>
          </w:p>
        </w:tc>
      </w:tr>
      <w:tr>
        <w:trPr/>
        <w:tc>
          <w:tcPr>
            <w:tcW w:w="1805"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Raymond Chang</w:t>
            </w:r>
          </w:p>
        </w:tc>
      </w:tr>
      <w:tr>
        <w:trPr/>
        <w:tc>
          <w:tcPr>
            <w:tcW w:w="1805"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br/>
              <w:t>(Principal Executive Officer Officer)</w:t>
            </w:r>
          </w:p>
        </w:tc>
      </w:tr>
    </w:tbl>
    <w:p>
      <w:pPr>
        <w:pStyle w:val="TextBody"/>
        <w:rPr/>
      </w:pPr>
      <w:r>
        <w:rPr/>
        <w:t> </w:t>
      </w:r>
      <w:r>
        <w:br w:type="page"/>
      </w:r>
    </w:p>
    <w:p>
      <w:pPr>
        <w:pStyle w:val="TextBody"/>
        <w:jc w:val="right"/>
        <w:rPr>
          <w:b/>
        </w:rPr>
      </w:pPr>
      <w:bookmarkStart w:id="43" w:name="f10k2021ex31-2_agrifycorp.htm"/>
      <w:bookmarkStart w:id="44" w:name="ksf10k2021ex312_agrifycorp"/>
      <w:bookmarkEnd w:id="43"/>
      <w:bookmarkEnd w:id="44"/>
      <w:r>
        <w:rPr>
          <w:b/>
        </w:rPr>
        <w:t>Exhibit 31.2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Timothy Oakes, certify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 have reviewed this Annual Report on Form 10-K of Agrify Corporation for the year ended December 31, 2021;</w:t>
            </w:r>
          </w:p>
        </w:tc>
      </w:tr>
      <w:tr>
        <w:trPr/>
        <w:tc>
          <w:tcPr>
            <w:tcW w:w="157" w:type="dxa"/>
            <w:tcBorders/>
            <w:shd w:fill="auto" w:val="clear"/>
            <w:vAlign w:val="center"/>
          </w:tcPr>
          <w:p>
            <w:pPr>
              <w:pStyle w:val="TableContents"/>
              <w:spacing w:before="0" w:after="283"/>
              <w:rPr/>
            </w:pPr>
            <w:r>
              <w:rPr/>
              <w:t> </w:t>
            </w:r>
          </w:p>
        </w:tc>
        <w:tc>
          <w:tcPr>
            <w:tcW w:w="10048" w:type="dxa"/>
            <w:tcBorders/>
            <w:shd w:fill="auto" w:val="clear"/>
            <w:vAlign w:val="center"/>
          </w:tcPr>
          <w:p>
            <w:pPr>
              <w:pStyle w:val="TableContents"/>
              <w:spacing w:before="0" w:after="283"/>
              <w:rPr/>
            </w:pPr>
            <w:r>
              <w:rPr/>
              <w:t> </w:t>
            </w:r>
          </w:p>
        </w:tc>
      </w:tr>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shd w:fill="auto" w:val="clear"/>
            <w:vAlign w:val="center"/>
          </w:tcPr>
          <w:p>
            <w:pPr>
              <w:pStyle w:val="TableContents"/>
              <w:spacing w:before="0" w:after="283"/>
              <w:rPr/>
            </w:pPr>
            <w:r>
              <w:rPr/>
              <w:t> </w:t>
            </w:r>
          </w:p>
        </w:tc>
        <w:tc>
          <w:tcPr>
            <w:tcW w:w="10048" w:type="dxa"/>
            <w:tcBorders/>
            <w:shd w:fill="auto" w:val="clear"/>
            <w:vAlign w:val="center"/>
          </w:tcPr>
          <w:p>
            <w:pPr>
              <w:pStyle w:val="TableContents"/>
              <w:spacing w:before="0" w:after="283"/>
              <w:rPr/>
            </w:pPr>
            <w:r>
              <w:rPr/>
              <w:t> </w:t>
            </w:r>
          </w:p>
        </w:tc>
      </w:tr>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43"/>
        <w:gridCol w:w="9908"/>
      </w:tblGrid>
      <w:tr>
        <w:trPr/>
        <w:tc>
          <w:tcPr>
            <w:tcW w:w="15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51"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rPr/>
            </w:pPr>
            <w:r>
              <w:rPr/>
              <w:t> </w:t>
            </w:r>
          </w:p>
        </w:tc>
        <w:tc>
          <w:tcPr>
            <w:tcW w:w="10051" w:type="dxa"/>
            <w:gridSpan w:val="2"/>
            <w:tcBorders/>
            <w:shd w:fill="auto" w:val="clear"/>
            <w:vAlign w:val="center"/>
          </w:tcPr>
          <w:p>
            <w:pPr>
              <w:pStyle w:val="TableContents"/>
              <w:spacing w:before="0" w:after="283"/>
              <w:rPr/>
            </w:pPr>
            <w:r>
              <w:rPr/>
              <w:t> </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9908" w:type="dxa"/>
            <w:tcBorders/>
            <w:shd w:fill="auto" w:val="clear"/>
            <w:vAlign w:val="center"/>
          </w:tcPr>
          <w:p>
            <w:pPr>
              <w:pStyle w:val="TableContents"/>
              <w:spacing w:before="0" w:after="283"/>
              <w:rPr/>
            </w:pPr>
            <w:r>
              <w:rPr/>
              <w:t> </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9908" w:type="dxa"/>
            <w:tcBorders/>
            <w:shd w:fill="auto" w:val="clear"/>
            <w:vAlign w:val="center"/>
          </w:tcPr>
          <w:p>
            <w:pPr>
              <w:pStyle w:val="TableContents"/>
              <w:spacing w:before="0" w:after="283"/>
              <w:rPr/>
            </w:pPr>
            <w:r>
              <w:rPr/>
              <w:t> </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9908" w:type="dxa"/>
            <w:tcBorders/>
            <w:shd w:fill="auto" w:val="clear"/>
            <w:vAlign w:val="center"/>
          </w:tcPr>
          <w:p>
            <w:pPr>
              <w:pStyle w:val="TableContents"/>
              <w:spacing w:before="0" w:after="283"/>
              <w:rPr/>
            </w:pPr>
            <w:r>
              <w:rPr/>
              <w:t> </w:t>
            </w:r>
          </w:p>
        </w:tc>
      </w:tr>
      <w:tr>
        <w:trPr/>
        <w:tc>
          <w:tcPr>
            <w:tcW w:w="154"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55"/>
        <w:gridCol w:w="9892"/>
      </w:tblGrid>
      <w:tr>
        <w:trPr/>
        <w:tc>
          <w:tcPr>
            <w:tcW w:w="15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47"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8" w:type="dxa"/>
            <w:tcBorders/>
            <w:shd w:fill="auto" w:val="clear"/>
            <w:vAlign w:val="center"/>
          </w:tcPr>
          <w:p>
            <w:pPr>
              <w:pStyle w:val="TableContents"/>
              <w:spacing w:before="0" w:after="283"/>
              <w:rPr/>
            </w:pPr>
            <w:r>
              <w:rPr/>
              <w:t> </w:t>
            </w:r>
          </w:p>
        </w:tc>
        <w:tc>
          <w:tcPr>
            <w:tcW w:w="10047" w:type="dxa"/>
            <w:gridSpan w:val="2"/>
            <w:tcBorders/>
            <w:shd w:fill="auto" w:val="clear"/>
            <w:vAlign w:val="center"/>
          </w:tcPr>
          <w:p>
            <w:pPr>
              <w:pStyle w:val="TableContents"/>
              <w:spacing w:before="0" w:after="283"/>
              <w:rPr/>
            </w:pPr>
            <w:r>
              <w:rPr/>
              <w:t> </w:t>
            </w:r>
          </w:p>
        </w:tc>
      </w:tr>
      <w:tr>
        <w:trPr/>
        <w:tc>
          <w:tcPr>
            <w:tcW w:w="15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8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5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9892" w:type="dxa"/>
            <w:tcBorders/>
            <w:shd w:fill="auto" w:val="clear"/>
            <w:vAlign w:val="center"/>
          </w:tcPr>
          <w:p>
            <w:pPr>
              <w:pStyle w:val="TableContents"/>
              <w:spacing w:before="0" w:after="283"/>
              <w:rPr/>
            </w:pPr>
            <w:r>
              <w:rPr/>
              <w:t> </w:t>
            </w:r>
          </w:p>
        </w:tc>
      </w:tr>
      <w:tr>
        <w:trPr/>
        <w:tc>
          <w:tcPr>
            <w:tcW w:w="15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8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5455" w:type="dxa"/>
        <w:jc w:val="left"/>
        <w:tblInd w:w="0" w:type="dxa"/>
        <w:tblCellMar>
          <w:top w:w="0" w:type="dxa"/>
          <w:left w:w="0" w:type="dxa"/>
          <w:bottom w:w="0" w:type="dxa"/>
          <w:right w:w="0" w:type="dxa"/>
        </w:tblCellMar>
      </w:tblPr>
      <w:tblGrid>
        <w:gridCol w:w="1805"/>
        <w:gridCol w:w="3650"/>
      </w:tblGrid>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31, 2022</w:t>
            </w:r>
          </w:p>
        </w:tc>
        <w:tc>
          <w:tcPr>
            <w:tcW w:w="365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Timothy Oakes</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Timothy Oakes</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jc w:val="center"/>
        <w:rPr>
          <w:caps w:val="false"/>
          <w:smallCaps w:val="false"/>
        </w:rPr>
      </w:pPr>
      <w:r>
        <w:rPr>
          <w:caps w:val="false"/>
          <w:smallCaps w:val="false"/>
        </w:rPr>
        <w:t> </w:t>
      </w:r>
      <w:r>
        <w:br w:type="page"/>
      </w:r>
    </w:p>
    <w:p>
      <w:pPr>
        <w:pStyle w:val="TextBody"/>
        <w:jc w:val="right"/>
        <w:rPr>
          <w:b/>
        </w:rPr>
      </w:pPr>
      <w:bookmarkStart w:id="45" w:name="f10k2021ex32-1_agrifycorp.htm"/>
      <w:bookmarkStart w:id="46" w:name="ksf10k2021ex321_agrifycorp"/>
      <w:bookmarkEnd w:id="45"/>
      <w:bookmarkEnd w:id="46"/>
      <w:r>
        <w:rPr>
          <w:b/>
        </w:rPr>
        <w:t>Exhibit 32.1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Agrify Corporation (the “Company”) on Form 10-K for the year ended December 31, 2021 as filed with the Securities and Exchange Commission (the “Report”), the undersigned, in the capacity and on the date indicated below, hereby certifies pursuant to 18 U.S.C. Section 1350, as adopted pursuant to Section 906 of the Sarbanes-Oxley Act of 2002, that:</w:t>
      </w:r>
    </w:p>
    <w:p>
      <w:pPr>
        <w:pStyle w:val="TextBody"/>
        <w:spacing w:before="0" w:after="0"/>
        <w:ind w:left="0" w:right="0" w:hanging="0"/>
        <w:jc w:val="left"/>
        <w:rPr>
          <w:caps w:val="false"/>
          <w:smallCaps w:val="false"/>
        </w:rPr>
      </w:pPr>
      <w:r>
        <w:rPr>
          <w:caps w:val="false"/>
          <w:smallCaps w:val="false"/>
        </w:rPr>
        <w:t> </w:t>
      </w:r>
    </w:p>
    <w:tbl>
      <w:tblPr>
        <w:tblW w:w="9850" w:type="dxa"/>
        <w:jc w:val="left"/>
        <w:tblInd w:w="0" w:type="dxa"/>
        <w:tblCellMar>
          <w:top w:w="0" w:type="dxa"/>
          <w:left w:w="0" w:type="dxa"/>
          <w:bottom w:w="0" w:type="dxa"/>
          <w:right w:w="0" w:type="dxa"/>
        </w:tblCellMar>
      </w:tblPr>
      <w:tblGrid>
        <w:gridCol w:w="75"/>
        <w:gridCol w:w="170"/>
        <w:gridCol w:w="9605"/>
      </w:tblGrid>
      <w:tr>
        <w:trPr/>
        <w:tc>
          <w:tcPr>
            <w:tcW w:w="75" w:type="dxa"/>
            <w:tcBorders/>
            <w:shd w:fill="auto" w:val="clear"/>
            <w:vAlign w:val="center"/>
          </w:tcPr>
          <w:p>
            <w:pPr>
              <w:pStyle w:val="TableContents"/>
              <w:spacing w:before="0" w:after="283"/>
              <w:jc w:val="left"/>
              <w:rPr/>
            </w:pPr>
            <w:r>
              <w:rPr/>
              <w:t> </w:t>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2"/>
        <w:gridCol w:w="9968"/>
      </w:tblGrid>
      <w:tr>
        <w:trPr/>
        <w:tc>
          <w:tcPr>
            <w:tcW w:w="75"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 of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r>
    </w:p>
    <w:p>
      <w:pPr>
        <w:pStyle w:val="TextBody"/>
        <w:spacing w:before="0" w:after="0"/>
        <w:ind w:left="0" w:right="0" w:firstLine="720"/>
        <w:jc w:val="both"/>
        <w:rPr>
          <w:caps w:val="false"/>
          <w:smallCaps w:val="false"/>
        </w:rPr>
      </w:pPr>
      <w:r>
        <w:rPr>
          <w:caps w:val="false"/>
          <w:smallCaps w:val="false"/>
        </w:rPr>
        <w:t> </w:t>
      </w:r>
    </w:p>
    <w:tbl>
      <w:tblPr>
        <w:tblW w:w="2435" w:type="dxa"/>
        <w:jc w:val="left"/>
        <w:tblInd w:w="0" w:type="dxa"/>
        <w:tblCellMar>
          <w:top w:w="0" w:type="dxa"/>
          <w:left w:w="0" w:type="dxa"/>
          <w:bottom w:w="0" w:type="dxa"/>
          <w:right w:w="0" w:type="dxa"/>
        </w:tblCellMar>
      </w:tblPr>
      <w:tblGrid>
        <w:gridCol w:w="75"/>
        <w:gridCol w:w="2360"/>
      </w:tblGrid>
      <w:tr>
        <w:trPr/>
        <w:tc>
          <w:tcPr>
            <w:tcW w:w="75" w:type="dxa"/>
            <w:tcBorders/>
            <w:shd w:fill="auto" w:val="clear"/>
            <w:vAlign w:val="center"/>
          </w:tcPr>
          <w:p>
            <w:pPr>
              <w:pStyle w:val="TableContents"/>
              <w:spacing w:before="0" w:after="283"/>
              <w:rPr/>
            </w:pPr>
            <w:r>
              <w:rPr/>
              <w:t> </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Raymond Chang</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Raymond Chang</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r>
    </w:tbl>
    <w:p>
      <w:pPr>
        <w:pStyle w:val="TextBody"/>
        <w:rPr/>
      </w:pPr>
      <w:r>
        <w:rPr/>
        <w:t> </w:t>
      </w:r>
      <w:r>
        <w:br w:type="page"/>
      </w:r>
    </w:p>
    <w:p>
      <w:pPr>
        <w:pStyle w:val="TextBody"/>
        <w:jc w:val="right"/>
        <w:rPr>
          <w:b/>
        </w:rPr>
      </w:pPr>
      <w:bookmarkStart w:id="47" w:name="f10k2021ex32-2_agrifycorp.htm"/>
      <w:bookmarkStart w:id="48" w:name="ksf10k2021ex322_agrifycorp"/>
      <w:bookmarkEnd w:id="47"/>
      <w:bookmarkEnd w:id="48"/>
      <w:r>
        <w:rPr>
          <w:b/>
        </w:rPr>
        <w:t>Exhibit 32.2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Agrify Corporation (the “Company”) on Form 10-K for the year ended December 31, 2021 as filed with the Securities and Exchange Commission (the “Report”), the undersigned, in the capacity and on the date indicated below, hereby certifies pursuant to 18 U.S.C. Section 1350, as adopted pursuant to Section 906 of the Sarbanes-Oxley Act of 2002, that:</w:t>
      </w:r>
    </w:p>
    <w:p>
      <w:pPr>
        <w:pStyle w:val="TextBody"/>
        <w:spacing w:before="0" w:after="0"/>
        <w:ind w:left="0" w:right="0" w:hanging="0"/>
        <w:jc w:val="left"/>
        <w:rPr>
          <w:caps w:val="false"/>
          <w:smallCaps w:val="false"/>
        </w:rPr>
      </w:pPr>
      <w:r>
        <w:rPr>
          <w:caps w:val="false"/>
          <w:smallCaps w:val="false"/>
        </w:rPr>
        <w:t> </w:t>
      </w:r>
    </w:p>
    <w:tbl>
      <w:tblPr>
        <w:tblW w:w="9850" w:type="dxa"/>
        <w:jc w:val="left"/>
        <w:tblInd w:w="0" w:type="dxa"/>
        <w:tblCellMar>
          <w:top w:w="0" w:type="dxa"/>
          <w:left w:w="0" w:type="dxa"/>
          <w:bottom w:w="0" w:type="dxa"/>
          <w:right w:w="0" w:type="dxa"/>
        </w:tblCellMar>
      </w:tblPr>
      <w:tblGrid>
        <w:gridCol w:w="75"/>
        <w:gridCol w:w="170"/>
        <w:gridCol w:w="9605"/>
      </w:tblGrid>
      <w:tr>
        <w:trPr/>
        <w:tc>
          <w:tcPr>
            <w:tcW w:w="75" w:type="dxa"/>
            <w:tcBorders/>
            <w:shd w:fill="auto" w:val="clear"/>
            <w:vAlign w:val="center"/>
          </w:tcPr>
          <w:p>
            <w:pPr>
              <w:pStyle w:val="TableContents"/>
              <w:spacing w:before="0" w:after="283"/>
              <w:jc w:val="left"/>
              <w:rPr/>
            </w:pPr>
            <w:r>
              <w:rPr/>
              <w:t> </w:t>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2"/>
        <w:gridCol w:w="9968"/>
      </w:tblGrid>
      <w:tr>
        <w:trPr/>
        <w:tc>
          <w:tcPr>
            <w:tcW w:w="75" w:type="dxa"/>
            <w:tcBorders/>
            <w:shd w:fill="auto" w:val="clear"/>
            <w:vAlign w:val="center"/>
          </w:tcPr>
          <w:p>
            <w:pPr>
              <w:pStyle w:val="TableContents"/>
              <w:spacing w:before="0" w:after="283"/>
              <w:jc w:val="left"/>
              <w:rPr/>
            </w:pPr>
            <w:r>
              <w:rPr/>
              <w:t> </w:t>
            </w:r>
          </w:p>
        </w:tc>
        <w:tc>
          <w:tcPr>
            <w:tcW w:w="16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 of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r>
    </w:p>
    <w:p>
      <w:pPr>
        <w:pStyle w:val="TextBody"/>
        <w:spacing w:before="0" w:after="0"/>
        <w:ind w:left="0" w:right="0" w:firstLine="720"/>
        <w:jc w:val="both"/>
        <w:rPr>
          <w:caps w:val="false"/>
          <w:smallCaps w:val="false"/>
        </w:rPr>
      </w:pPr>
      <w:r>
        <w:rPr>
          <w:caps w:val="false"/>
          <w:smallCaps w:val="false"/>
        </w:rPr>
        <w:t> </w:t>
      </w:r>
    </w:p>
    <w:tbl>
      <w:tblPr>
        <w:tblW w:w="3725" w:type="dxa"/>
        <w:jc w:val="left"/>
        <w:tblInd w:w="0" w:type="dxa"/>
        <w:tblCellMar>
          <w:top w:w="0" w:type="dxa"/>
          <w:left w:w="0" w:type="dxa"/>
          <w:bottom w:w="0" w:type="dxa"/>
          <w:right w:w="0" w:type="dxa"/>
        </w:tblCellMar>
      </w:tblPr>
      <w:tblGrid>
        <w:gridCol w:w="75"/>
        <w:gridCol w:w="3650"/>
      </w:tblGrid>
      <w:tr>
        <w:trPr/>
        <w:tc>
          <w:tcPr>
            <w:tcW w:w="75" w:type="dxa"/>
            <w:tcBorders/>
            <w:shd w:fill="auto" w:val="clear"/>
            <w:vAlign w:val="center"/>
          </w:tcPr>
          <w:p>
            <w:pPr>
              <w:pStyle w:val="TableContents"/>
              <w:spacing w:before="0" w:after="283"/>
              <w:rPr/>
            </w:pPr>
            <w:r>
              <w:rPr/>
              <w:t> </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Timothy Oakes</w:t>
            </w:r>
          </w:p>
        </w:tc>
      </w:tr>
      <w:tr>
        <w:trPr/>
        <w:tc>
          <w:tcPr>
            <w:tcW w:w="7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Timothy Oakes</w:t>
            </w:r>
          </w:p>
        </w:tc>
      </w:tr>
      <w:tr>
        <w:trPr/>
        <w:tc>
          <w:tcPr>
            <w:tcW w:w="7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637/000121390020044121/fs12020ex2-1_agrifycorp.htm" TargetMode="External"/><Relationship Id="rId3" Type="http://schemas.openxmlformats.org/officeDocument/2006/relationships/hyperlink" Target="http://www.sec.gov/Archives/edgar/data/1800637/000101376221000191/ea148348ex2-1_agrifycorp.htm" TargetMode="External"/><Relationship Id="rId4" Type="http://schemas.openxmlformats.org/officeDocument/2006/relationships/hyperlink" Target="http://www.sec.gov/Archives/edgar/data/1800637/000101376221000191/ea148348ex2-2_agrifycorp.htm" TargetMode="External"/><Relationship Id="rId5" Type="http://schemas.openxmlformats.org/officeDocument/2006/relationships/hyperlink" Target="http://www.sec.gov/Archives/edgar/data/1800637/000121390022000601/ea153490ex2-1_agrifycorp.htm" TargetMode="External"/><Relationship Id="rId6" Type="http://schemas.openxmlformats.org/officeDocument/2006/relationships/hyperlink" Target="http://www.sec.gov/Archives/edgar/data/1800637/000121390022004925/ea154783ex2-1_agrifycorp.htm" TargetMode="External"/><Relationship Id="rId7" Type="http://schemas.openxmlformats.org/officeDocument/2006/relationships/hyperlink" Target="https://www.sec.gov/Archives/edgar/data/1800637/000121390021001799/fs12020a1ex3-1_agrify.htm" TargetMode="External"/><Relationship Id="rId8" Type="http://schemas.openxmlformats.org/officeDocument/2006/relationships/hyperlink" Target="http://www.sec.gov/Archives/edgar/data/1800637/000121390021001799/fs12020a1ex3-2_agrify.htm" TargetMode="External"/><Relationship Id="rId9" Type="http://schemas.openxmlformats.org/officeDocument/2006/relationships/hyperlink" Target="http://www.sec.gov/Archives/edgar/data/1800637/000121390021004220/fs12021a2ex3-3_agrifycorp.htm" TargetMode="External"/><Relationship Id="rId10" Type="http://schemas.openxmlformats.org/officeDocument/2006/relationships/hyperlink" Target="http://www.sec.gov/Archives/edgar/data/1800637/000121390021004220/fs12021a2ex4-1_agrifycorp.htm" TargetMode="External"/><Relationship Id="rId11" Type="http://schemas.openxmlformats.org/officeDocument/2006/relationships/hyperlink" Target="http://www.sec.gov/Archives/edgar/data/1800637/000121390021008530/fs12021ex4-2_agrifycorp.htm" TargetMode="External"/><Relationship Id="rId12" Type="http://schemas.openxmlformats.org/officeDocument/2006/relationships/hyperlink" Target="http://www.sec.gov/Archives/edgar/data/1800637/000121390021004220/fs12021a2ex4-2_agrifycorp.htm" TargetMode="External"/><Relationship Id="rId13" Type="http://schemas.openxmlformats.org/officeDocument/2006/relationships/hyperlink" Target="http://www.sec.gov/Archives/edgar/data/1800637/000121390020044121/fs12020ex4-3_agrifycorp.htm" TargetMode="External"/><Relationship Id="rId14" Type="http://schemas.openxmlformats.org/officeDocument/2006/relationships/hyperlink" Target="https://www.sec.gov/Archives/edgar/data/0001800637/000121390021019992/f10k2020ex4-5_agrifycorp.htm" TargetMode="External"/><Relationship Id="rId15" Type="http://schemas.openxmlformats.org/officeDocument/2006/relationships/hyperlink" Target="https://www.sec.gov/Archives/edgar/data/0001800637/000121390022003773/ea154520ex4-1_agrify.htm" TargetMode="External"/><Relationship Id="rId16" Type="http://schemas.openxmlformats.org/officeDocument/2006/relationships/hyperlink" Target="http://www.sec.gov/Archives/edgar/data/1800637/000121390022003773/ea154520ex4-1_agrify.htm" TargetMode="External"/><Relationship Id="rId17" Type="http://schemas.openxmlformats.org/officeDocument/2006/relationships/hyperlink" Target="http://www.sec.gov/Archives/edgar/data/1800637/000121390022013613/ea157101ex4-1_agrifycorp.htm" TargetMode="External"/><Relationship Id="rId18" Type="http://schemas.openxmlformats.org/officeDocument/2006/relationships/hyperlink" Target="http://www.sec.gov/Archives/edgar/data/1800637/000121390022013613/ea157101ex4-2_agrifycorp.htm" TargetMode="External"/><Relationship Id="rId19" Type="http://schemas.openxmlformats.org/officeDocument/2006/relationships/hyperlink" Target="http://www.sec.gov/Archives/edgar/data/1800637/000121390020044121/fs12020ex10-1_agrifycorp.htm" TargetMode="External"/><Relationship Id="rId20" Type="http://schemas.openxmlformats.org/officeDocument/2006/relationships/hyperlink" Target="http://www.sec.gov/Archives/edgar/data/1800637/000121390020044121/fs12020ex10-2_agrifycorp.htm" TargetMode="External"/><Relationship Id="rId21" Type="http://schemas.openxmlformats.org/officeDocument/2006/relationships/hyperlink" Target="http://www.sec.gov/Archives/edgar/data/1800637/000121390020044121/fs12020ex10-3_agrifycorp.htm" TargetMode="External"/><Relationship Id="rId22" Type="http://schemas.openxmlformats.org/officeDocument/2006/relationships/hyperlink" Target="http://www.sec.gov/Archives/edgar/data/1800637/000121390020044121/fs12020ex10-4_agrifycorp.htm" TargetMode="External"/><Relationship Id="rId23" Type="http://schemas.openxmlformats.org/officeDocument/2006/relationships/hyperlink" Target="http://www.sec.gov/Archives/edgar/data/1800637/000121390021019992/f10k2020ex10-5_agrifycorp.htm" TargetMode="External"/><Relationship Id="rId24" Type="http://schemas.openxmlformats.org/officeDocument/2006/relationships/hyperlink" Target="http://www.sec.gov/Archives/edgar/data/1800637/000121390020044121/fs12020ex10-13_agrifycorp.htm" TargetMode="External"/><Relationship Id="rId25" Type="http://schemas.openxmlformats.org/officeDocument/2006/relationships/hyperlink" Target="http://www.sec.gov/Archives/edgar/data/1800637/000121390020044121/fs12020ex10-14_agrifycorp.htm" TargetMode="External"/><Relationship Id="rId26" Type="http://schemas.openxmlformats.org/officeDocument/2006/relationships/hyperlink" Target="http://www.sec.gov/Archives/edgar/data/1800637/000121390021001799/fs12020a1ex10-13_agrify.htm" TargetMode="External"/><Relationship Id="rId27" Type="http://schemas.openxmlformats.org/officeDocument/2006/relationships/hyperlink" Target="http://www.sec.gov/Archives/edgar/data/1800637/000121390020044121/fs12020ex10-16_agrifycorp.htm" TargetMode="External"/><Relationship Id="rId28" Type="http://schemas.openxmlformats.org/officeDocument/2006/relationships/hyperlink" Target="http://www.sec.gov/Archives/edgar/data/1800637/000121390021001799/fs12020a1ex10-15_agrify.htm" TargetMode="External"/><Relationship Id="rId29" Type="http://schemas.openxmlformats.org/officeDocument/2006/relationships/hyperlink" Target="http://www.sec.gov/Archives/edgar/data/1800637/000121390020044121/fs12020ex10-18_agrifycorp.htm" TargetMode="External"/><Relationship Id="rId30" Type="http://schemas.openxmlformats.org/officeDocument/2006/relationships/hyperlink" Target="http://www.sec.gov/Archives/edgar/data/1800637/000121390021008530/fs12021ex10-18_agrifycorp.htm" TargetMode="External"/><Relationship Id="rId31" Type="http://schemas.openxmlformats.org/officeDocument/2006/relationships/hyperlink" Target="http://www.sec.gov/Archives/edgar/data/1800637/000121390021059567/ea150577ex10-1_agrifycorp.htm" TargetMode="External"/><Relationship Id="rId32" Type="http://schemas.openxmlformats.org/officeDocument/2006/relationships/hyperlink" Target="http://www.sec.gov/Archives/edgar/data/1800637/000121390021059567/ea150577ex10-2_agrifycorp.htm" TargetMode="External"/><Relationship Id="rId33" Type="http://schemas.openxmlformats.org/officeDocument/2006/relationships/hyperlink" Target="http://www.sec.gov/Archives/edgar/data/1800637/000121390022003773/ea154520ex10-1_agrify.htm" TargetMode="External"/><Relationship Id="rId34" Type="http://schemas.openxmlformats.org/officeDocument/2006/relationships/hyperlink" Target="http://www.sec.gov/Archives/edgar/data/1800637/000121390022003773/ea154520ex10-2_agrify.htm" TargetMode="External"/><Relationship Id="rId35" Type="http://schemas.openxmlformats.org/officeDocument/2006/relationships/hyperlink" Target="http://www.sec.gov/Archives/edgar/data/1800637/000121390022013613/ea157101ex10-1_agrifycorp.htm" TargetMode="External"/><Relationship Id="rId36" Type="http://schemas.openxmlformats.org/officeDocument/2006/relationships/hyperlink" Target="http://www.sec.gov/Archives/edgar/data/1800637/000121390020044121/fs12020ex14-1_agrifycorp.htm" TargetMode="External"/><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67327</Words>
  <CharactersWithSpaces>441862</CharactersWithSpaces>
  <Paragraphs>10368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