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7"/>
        <w:spacing w:after="0" w:line="500" w:lineRule="auto"/>
        <w:tabs>
          <w:tab w:leader="none" w:pos="113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156845</wp:posOffset>
            </wp:positionV>
            <wp:extent cx="82296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0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Times New Roman" w:cs="Times New Roman" w:eastAsia="Times New Roman" w:hAnsi="Times New Roman"/>
                <w:sz w:val="18"/>
                <w:szCs w:val="18"/>
                <w:color w:val="auto"/>
                <w:w w:val="97"/>
              </w:rPr>
              <w:t>AGFY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October 19, 2023</w:t>
            </w:r>
          </w:p>
        </w:tc>
      </w:tr>
      <w:tr>
        <w:trPr>
          <w:trHeight w:val="216"/>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290"/>
              <w:spacing w:after="0"/>
              <w:rPr>
                <w:sz w:val="20"/>
                <w:szCs w:val="20"/>
                <w:color w:val="auto"/>
              </w:rPr>
            </w:pPr>
            <w:r>
              <w:rPr>
                <w:rFonts w:ascii="Times New Roman" w:cs="Times New Roman" w:eastAsia="Times New Roman" w:hAnsi="Times New Roman"/>
                <w:sz w:val="18"/>
                <w:szCs w:val="18"/>
                <w:color w:val="auto"/>
              </w:rPr>
              <w:t>1,651,281</w:t>
            </w:r>
          </w:p>
        </w:tc>
      </w:tr>
      <w:tr>
        <w:trPr>
          <w:trHeight w:val="216"/>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500" w:type="dxa"/>
            <w:vAlign w:val="bottom"/>
            <w:tcBorders>
              <w:bottom w:val="single" w:sz="8" w:color="auto"/>
            </w:tcBorders>
          </w:tcPr>
          <w:p>
            <w:pPr>
              <w:spacing w:after="0"/>
              <w:rPr>
                <w:sz w:val="18"/>
                <w:szCs w:val="18"/>
                <w:color w:val="auto"/>
              </w:rPr>
            </w:pPr>
          </w:p>
        </w:tc>
      </w:tr>
      <w:tr>
        <w:trPr>
          <w:trHeight w:val="27"/>
        </w:trPr>
        <w:tc>
          <w:tcPr>
            <w:tcW w:w="5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tcPr>
          <w:p>
            <w:pPr>
              <w:spacing w:after="0"/>
              <w:rPr>
                <w:sz w:val="2"/>
                <w:szCs w:val="2"/>
                <w:color w:val="auto"/>
              </w:rPr>
            </w:pPr>
          </w:p>
        </w:tc>
      </w:tr>
    </w:tbl>
    <w:p>
      <w:pPr>
        <w:sectPr>
          <w:pgSz w:w="11900" w:h="16850" w:orient="portrait"/>
          <w:cols w:equalWidth="0" w:num="1">
            <w:col w:w="11240"/>
          </w:cols>
          <w:pgMar w:left="320" w:top="509"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39"/>
        </w:trPr>
        <w:tc>
          <w:tcPr>
            <w:tcW w:w="1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2023 (unaudited) and December 31, 2022</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2023 (unaudited) and 2022</w:t>
            </w:r>
          </w:p>
        </w:tc>
        <w:tc>
          <w:tcPr>
            <w:tcW w:w="112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0" w:type="dxa"/>
            <w:vAlign w:val="bottom"/>
            <w:tcBorders>
              <w:top w:val="single" w:sz="8" w:color="0000EE"/>
            </w:tcBorders>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580" w:type="dxa"/>
            <w:vAlign w:val="bottom"/>
            <w:tcBorders>
              <w:top w:val="single" w:sz="8" w:color="CCEEFF"/>
            </w:tcBorders>
            <w:gridSpan w:val="4"/>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6"/>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months ended March 31, 2023 (unaudited) and</w:t>
            </w:r>
          </w:p>
        </w:tc>
        <w:tc>
          <w:tcPr>
            <w:tcW w:w="1120" w:type="dxa"/>
            <w:vAlign w:val="bottom"/>
            <w:shd w:val="clear" w:color="auto" w:fill="CCEEFF"/>
          </w:tcPr>
          <w:p>
            <w:pPr>
              <w:spacing w:after="0"/>
              <w:rPr>
                <w:sz w:val="15"/>
                <w:szCs w:val="15"/>
                <w:color w:val="auto"/>
              </w:rPr>
            </w:pPr>
          </w:p>
        </w:tc>
      </w:tr>
      <w:tr>
        <w:trPr>
          <w:trHeight w:val="216"/>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720" w:type="dxa"/>
            <w:vAlign w:val="bottom"/>
            <w:tcBorders>
              <w:top w:val="single" w:sz="8" w:color="0000EE"/>
            </w:tcBorders>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 (unaudited)</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2023 (unaudited) and 2022</w:t>
            </w:r>
          </w:p>
        </w:tc>
        <w:tc>
          <w:tcPr>
            <w:tcW w:w="1120" w:type="dxa"/>
            <w:vAlign w:val="bottom"/>
            <w:shd w:val="clear" w:color="auto" w:fill="CCEEFF"/>
          </w:tcPr>
          <w:p>
            <w:pPr>
              <w:spacing w:after="0"/>
              <w:rPr>
                <w:sz w:val="15"/>
                <w:szCs w:val="15"/>
                <w:color w:val="auto"/>
              </w:rPr>
            </w:pPr>
          </w:p>
        </w:tc>
      </w:tr>
      <w:tr>
        <w:trPr>
          <w:trHeight w:val="217"/>
        </w:trPr>
        <w:tc>
          <w:tcPr>
            <w:tcW w:w="1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6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520" w:type="dxa"/>
            <w:vAlign w:val="bottom"/>
            <w:tcBorders>
              <w:top w:val="single" w:sz="8" w:color="CCEEFF"/>
            </w:tcBorders>
            <w:gridSpan w:val="3"/>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98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1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SIGNATURES</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1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$4,490 and $4,605 at March 31, 2023 and December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1,197</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$32,422 and $32,759 at March 31, 2023 and December 31, 2022,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19,995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2,990</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doubtful accounts of $28,562 and $33,050 at March 31, 2023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12,806</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9,658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2,343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50,632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21,128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3,239</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1,707</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22,554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67,571</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10,000,000 and 5,000,000 shares authorized at March 31, 2023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 respectively, 1,364,263 and 1,038,298 shares issued and outstanding at March 31, 2023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December 31, 2022, respectively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240,304</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(257,475)</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(247,148)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(17,170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50,632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28"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$46 and $863 from related parties, respectively)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4,816</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21,851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(684)</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(9,763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 (1)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 (1)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8"/>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gridSpan w:val="8"/>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0"/>
                <w:szCs w:val="20"/>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80" w:type="dxa"/>
            <w:vAlign w:val="bottom"/>
          </w:tcPr>
          <w:p>
            <w:pPr>
              <w:spacing w:after="0"/>
              <w:rPr>
                <w:sz w:val="20"/>
                <w:szCs w:val="20"/>
                <w:color w:val="auto"/>
              </w:rPr>
            </w:pPr>
          </w:p>
        </w:tc>
        <w:tc>
          <w:tcPr>
            <w:tcW w:w="10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to Agrify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188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111,035</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196,034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(58,975)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137,059</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365</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137,424</w:t>
            </w:r>
          </w:p>
        </w:tc>
        <w:tc>
          <w:tcPr>
            <w:tcW w:w="0" w:type="dxa"/>
            <w:vAlign w:val="bottom"/>
          </w:tcPr>
          <w:p>
            <w:pPr>
              <w:spacing w:after="0"/>
              <w:rPr>
                <w:sz w:val="1"/>
                <w:szCs w:val="1"/>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warrants in</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12,252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14,800</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14,800</w:t>
            </w:r>
          </w:p>
        </w:tc>
        <w:tc>
          <w:tcPr>
            <w:tcW w:w="0" w:type="dxa"/>
            <w:vAlign w:val="bottom"/>
          </w:tcPr>
          <w:p>
            <w:pPr>
              <w:spacing w:after="0"/>
              <w:rPr>
                <w:sz w:val="1"/>
                <w:szCs w:val="1"/>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Acquisition of Lab</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Society</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1,490</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1,903</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7,916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9"/>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167"/>
        </w:trPr>
        <w:tc>
          <w:tcPr>
            <w:tcW w:w="188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132,714</w:t>
            </w:r>
          </w:p>
        </w:tc>
        <w:tc>
          <w:tcPr>
            <w:tcW w:w="160" w:type="dxa"/>
            <w:vAlign w:val="bottom"/>
          </w:tcPr>
          <w:p>
            <w:pPr>
              <w:spacing w:after="0"/>
              <w:rPr>
                <w:sz w:val="24"/>
                <w:szCs w:val="24"/>
                <w:color w:val="auto"/>
              </w:rPr>
            </w:pPr>
          </w:p>
        </w:tc>
        <w:tc>
          <w:tcPr>
            <w:tcW w:w="520" w:type="dxa"/>
            <w:vAlign w:val="bottom"/>
            <w:gridSpan w:val="2"/>
          </w:tcPr>
          <w:p>
            <w:pPr>
              <w:jc w:val="right"/>
              <w:ind w:right="3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40" w:type="dxa"/>
            <w:vAlign w:val="bottom"/>
          </w:tcPr>
          <w:p>
            <w:pPr>
              <w:spacing w:after="0"/>
              <w:rPr>
                <w:sz w:val="24"/>
                <w:szCs w:val="24"/>
                <w:color w:val="auto"/>
              </w:rPr>
            </w:pPr>
          </w:p>
        </w:tc>
        <w:tc>
          <w:tcPr>
            <w:tcW w:w="7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213,701</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0"/>
              <w:spacing w:after="0" w:line="278" w:lineRule="exact"/>
              <w:rPr>
                <w:sz w:val="20"/>
                <w:szCs w:val="20"/>
                <w:color w:val="auto"/>
              </w:rPr>
            </w:pPr>
            <w:r>
              <w:rPr>
                <w:rFonts w:ascii="Times New Roman" w:cs="Times New Roman" w:eastAsia="Times New Roman" w:hAnsi="Times New Roman"/>
                <w:sz w:val="17"/>
                <w:szCs w:val="17"/>
                <w:b w:val="1"/>
                <w:bCs w:val="1"/>
                <w:color w:val="auto"/>
              </w:rPr>
              <w:t>(57,195</w:t>
            </w:r>
            <w:r>
              <w:rPr>
                <w:rFonts w:ascii="Times New Roman" w:cs="Times New Roman" w:eastAsia="Times New Roman" w:hAnsi="Times New Roman"/>
                <w:sz w:val="32"/>
                <w:szCs w:val="32"/>
                <w:b w:val="1"/>
                <w:bCs w:val="1"/>
                <w:color w:val="auto"/>
                <w:vertAlign w:val="superscript"/>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156,506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156,872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80" w:type="dxa"/>
            <w:vAlign w:val="bottom"/>
            <w:gridSpan w:val="8"/>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A Stock</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5"/>
            <w:vMerge w:val="continue"/>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80" w:type="dxa"/>
            <w:vAlign w:val="bottom"/>
            <w:gridSpan w:val="8"/>
            <w:vMerge w:val="continue"/>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20"/>
                <w:szCs w:val="20"/>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80" w:type="dxa"/>
            <w:vAlign w:val="bottom"/>
          </w:tcPr>
          <w:p>
            <w:pPr>
              <w:spacing w:after="0"/>
              <w:rPr>
                <w:sz w:val="19"/>
                <w:szCs w:val="19"/>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 Agrify</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80"/>
        </w:trPr>
        <w:tc>
          <w:tcPr>
            <w:tcW w:w="18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January 1,</w:t>
            </w:r>
          </w:p>
        </w:tc>
        <w:tc>
          <w:tcPr>
            <w:tcW w:w="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1,038,298</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237,875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(247,148)</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(9,272)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(9,041)</w:t>
            </w:r>
          </w:p>
        </w:tc>
        <w:tc>
          <w:tcPr>
            <w:tcW w:w="0" w:type="dxa"/>
            <w:vAlign w:val="bottom"/>
          </w:tcPr>
          <w:p>
            <w:pPr>
              <w:spacing w:after="0"/>
              <w:rPr>
                <w:sz w:val="1"/>
                <w:szCs w:val="1"/>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through an “at</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market” offering,</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of fees</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323,082</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1,545</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to Pure</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Pressure</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Vesting of restricted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Proceeds from</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Employee Stock</w:t>
            </w: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 Plan Shares</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78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(10,327)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(10,327)</w:t>
            </w:r>
          </w:p>
        </w:tc>
        <w:tc>
          <w:tcPr>
            <w:tcW w:w="0" w:type="dxa"/>
            <w:vAlign w:val="bottom"/>
          </w:tcPr>
          <w:p>
            <w:pPr>
              <w:spacing w:after="0"/>
              <w:rPr>
                <w:sz w:val="1"/>
                <w:szCs w:val="1"/>
                <w:color w:val="auto"/>
              </w:rPr>
            </w:pPr>
          </w:p>
        </w:tc>
      </w:tr>
      <w:tr>
        <w:trPr>
          <w:trHeight w:val="167"/>
        </w:trPr>
        <w:tc>
          <w:tcPr>
            <w:tcW w:w="1840" w:type="dxa"/>
            <w:vAlign w:val="bottom"/>
            <w:tcBorders>
              <w:top w:val="single" w:sz="8" w:color="CCEEFF"/>
            </w:tcBorders>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Balance March 31,</w:t>
            </w:r>
          </w:p>
        </w:tc>
        <w:tc>
          <w:tcPr>
            <w:tcW w:w="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1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24"/>
                <w:szCs w:val="24"/>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1,364,263</w:t>
            </w:r>
          </w:p>
        </w:tc>
        <w:tc>
          <w:tcPr>
            <w:tcW w:w="52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tcPr>
          <w:p>
            <w:pPr>
              <w:spacing w:after="0"/>
              <w:rPr>
                <w:sz w:val="24"/>
                <w:szCs w:val="24"/>
                <w:color w:val="auto"/>
              </w:rPr>
            </w:pPr>
          </w:p>
        </w:tc>
        <w:tc>
          <w:tcPr>
            <w:tcW w:w="78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240,304</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60"/>
              <w:spacing w:after="0" w:line="278" w:lineRule="exact"/>
              <w:rPr>
                <w:sz w:val="20"/>
                <w:szCs w:val="20"/>
                <w:color w:val="auto"/>
              </w:rPr>
            </w:pPr>
            <w:r>
              <w:rPr>
                <w:rFonts w:ascii="Times New Roman" w:cs="Times New Roman" w:eastAsia="Times New Roman" w:hAnsi="Times New Roman"/>
                <w:sz w:val="17"/>
                <w:szCs w:val="17"/>
                <w:b w:val="1"/>
                <w:bCs w:val="1"/>
                <w:color w:val="auto"/>
              </w:rPr>
              <w:t>(257,475</w:t>
            </w:r>
            <w:r>
              <w:rPr>
                <w:rFonts w:ascii="Times New Roman" w:cs="Times New Roman" w:eastAsia="Times New Roman" w:hAnsi="Times New Roman"/>
                <w:sz w:val="32"/>
                <w:szCs w:val="32"/>
                <w:b w:val="1"/>
                <w:bCs w:val="1"/>
                <w:color w:val="auto"/>
                <w:vertAlign w:val="superscript"/>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3"/>
          </w:tcPr>
          <w:p>
            <w:pPr>
              <w:jc w:val="right"/>
              <w:ind w:right="60"/>
              <w:spacing w:after="0" w:line="278" w:lineRule="exact"/>
              <w:rPr>
                <w:sz w:val="20"/>
                <w:szCs w:val="20"/>
                <w:color w:val="auto"/>
              </w:rPr>
            </w:pPr>
            <w:r>
              <w:rPr>
                <w:rFonts w:ascii="Times New Roman" w:cs="Times New Roman" w:eastAsia="Times New Roman" w:hAnsi="Times New Roman"/>
                <w:sz w:val="17"/>
                <w:szCs w:val="17"/>
                <w:b w:val="1"/>
                <w:bCs w:val="1"/>
                <w:color w:val="auto"/>
              </w:rPr>
              <w:t>(17,170</w:t>
            </w:r>
            <w:r>
              <w:rPr>
                <w:rFonts w:ascii="Times New Roman" w:cs="Times New Roman" w:eastAsia="Times New Roman" w:hAnsi="Times New Roman"/>
                <w:sz w:val="32"/>
                <w:szCs w:val="32"/>
                <w:b w:val="1"/>
                <w:bCs w:val="1"/>
                <w:color w:val="auto"/>
                <w:vertAlign w:val="superscript"/>
              </w:rPr>
              <w:t>)</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tcPr>
          <w:p>
            <w:pPr>
              <w:jc w:val="right"/>
              <w:ind w:right="40"/>
              <w:spacing w:after="0" w:line="278" w:lineRule="exact"/>
              <w:rPr>
                <w:sz w:val="20"/>
                <w:szCs w:val="20"/>
                <w:color w:val="auto"/>
              </w:rPr>
            </w:pPr>
            <w:r>
              <w:rPr>
                <w:rFonts w:ascii="Times New Roman" w:cs="Times New Roman" w:eastAsia="Times New Roman" w:hAnsi="Times New Roman"/>
                <w:sz w:val="17"/>
                <w:szCs w:val="17"/>
                <w:b w:val="1"/>
                <w:bCs w:val="1"/>
                <w:color w:val="auto"/>
              </w:rPr>
              <w:t>(16,939</w:t>
            </w:r>
            <w:r>
              <w:rPr>
                <w:rFonts w:ascii="Times New Roman" w:cs="Times New Roman" w:eastAsia="Times New Roman" w:hAnsi="Times New Roman"/>
                <w:sz w:val="32"/>
                <w:szCs w:val="32"/>
                <w:b w:val="1"/>
                <w:bCs w:val="1"/>
                <w:color w:val="auto"/>
                <w:vertAlign w:val="superscript"/>
              </w:rPr>
              <w:t>)</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1,780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investment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859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notes payable,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Early termination of lease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(3,744)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(873)</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10,446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82,460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private placement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62,405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private placement, net of fees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25,797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“at the market” Program,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Option Plan shares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notes payable, other</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(decreased) increase in cash, cash equivalents, and restricted cash</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(8,981)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43,191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10,457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12,014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55,205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25,205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55,205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40,496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 </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 (Please refer to Exhibit 23.1 for further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 – Fair Value Measures and Note 10 – Stockholders’ Equity, included elsewhere in the notes to the consolidated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has negative cash flows from operations and a working capital deficiency. The Company also has an accumulated deficit of $257 million as of March 31,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2023, the Company had $1.5 million of cash, cash equivalents, and marketable securities. The Company had no restricted cash as of March 31, 2023. As of December 31, 2022, the Company’s restricted cash balance of $10.0 million was associated with its new senior secured note (the “Exchange Note”). Current liabilities were $58.0 million as of March 31, 2023. Additional information regarding the Company’s Exchange Note may be found in Note 8 – Debt, included elsewhere in the notes to the consolidated financial statements.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Canaccord Genuity LLC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In 2022, the Company sold 306,628 shares of Common Stock under the ATM at an average price of $50.85, resulting in gross proceeds of $15.6 million and net proceeds $15.1 million after commissions and fees to the Agent totaling $468 thousand and legal fees totaling $75 thousand. As of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statements of operations as general and administrative expenses and selling and marketing expenses for the three months ended March 31, 2023 and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March 31, 2023 and December 31, 2022. All cash equivalents are carried at cost, which approximates fair value. Restricted cash represents cash required to be held as collateral for the Company’s Exchange Note. Accordingly, these balances contain restrictions as to their availability and usage and are classified as restricted cash in the consolidated balance sheets. Additional information relating to the Company’s Exchange Note may be found in Note 8 – Debt, included elsewhere in the notes to the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three months ended March 31, 2023 and 2022, the Company’s customers that accounted for 10% or more of the total revenue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Pr>
          <w:p>
            <w:pPr>
              <w:spacing w:after="0"/>
              <w:rPr>
                <w:sz w:val="18"/>
                <w:szCs w:val="18"/>
                <w:color w:val="auto"/>
              </w:rPr>
            </w:pPr>
          </w:p>
        </w:tc>
        <w:tc>
          <w:tcPr>
            <w:tcW w:w="24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80" w:type="dxa"/>
            <w:vAlign w:val="bottom"/>
          </w:tcPr>
          <w:p>
            <w:pPr>
              <w:spacing w:after="0"/>
              <w:rPr>
                <w:sz w:val="21"/>
                <w:szCs w:val="21"/>
                <w:color w:val="auto"/>
              </w:rPr>
            </w:pPr>
          </w:p>
        </w:tc>
        <w:tc>
          <w:tcPr>
            <w:tcW w:w="2420" w:type="dxa"/>
            <w:vAlign w:val="bottom"/>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60" w:type="dxa"/>
            <w:vAlign w:val="bottom"/>
          </w:tcPr>
          <w:p>
            <w:pPr>
              <w:spacing w:after="0"/>
              <w:rPr>
                <w:sz w:val="16"/>
                <w:szCs w:val="16"/>
                <w:color w:val="auto"/>
              </w:rPr>
            </w:pP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3,793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r>
    </w:tbl>
    <w:p>
      <w:pPr>
        <w:spacing w:after="0" w:line="198"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and December 31, 2022, the Company’s customers that accounted for 10% or more of the total accounts receivable, net,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 March 31, 2023</w:t>
            </w:r>
          </w:p>
        </w:tc>
        <w:tc>
          <w:tcPr>
            <w:tcW w:w="180" w:type="dxa"/>
            <w:vAlign w:val="bottom"/>
          </w:tcPr>
          <w:p>
            <w:pPr>
              <w:spacing w:after="0"/>
              <w:rPr>
                <w:sz w:val="21"/>
                <w:szCs w:val="21"/>
                <w:color w:val="auto"/>
              </w:rPr>
            </w:pPr>
          </w:p>
        </w:tc>
        <w:tc>
          <w:tcPr>
            <w:tcW w:w="24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- 16491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bl>
    <w:p>
      <w:pPr>
        <w:spacing w:after="0" w:line="19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4640" w:type="dxa"/>
            <w:vAlign w:val="bottom"/>
            <w:tcBorders>
              <w:bottom w:val="single" w:sz="8" w:color="CCEEFF"/>
            </w:tcBorders>
          </w:tcPr>
          <w:p>
            <w:pPr>
              <w:spacing w:after="0"/>
              <w:rPr>
                <w:sz w:val="21"/>
                <w:szCs w:val="21"/>
                <w:color w:val="auto"/>
              </w:rPr>
            </w:pPr>
          </w:p>
        </w:tc>
        <w:tc>
          <w:tcPr>
            <w:tcW w:w="436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436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600" w:type="dxa"/>
            <w:vAlign w:val="bottom"/>
            <w:gridSpan w:val="2"/>
          </w:tcPr>
          <w:p>
            <w:pPr>
              <w:jc w:val="center"/>
              <w:ind w:left="427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6600" w:type="dxa"/>
            <w:vAlign w:val="bottom"/>
            <w:gridSpan w:val="2"/>
            <w:shd w:val="clear" w:color="auto" w:fill="CCEEFF"/>
          </w:tcPr>
          <w:p>
            <w:pPr>
              <w:jc w:val="center"/>
              <w:ind w:left="427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6600" w:type="dxa"/>
            <w:vAlign w:val="bottom"/>
            <w:gridSpan w:val="2"/>
          </w:tcPr>
          <w:p>
            <w:pPr>
              <w:jc w:val="center"/>
              <w:ind w:left="427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6600" w:type="dxa"/>
            <w:vAlign w:val="bottom"/>
            <w:gridSpan w:val="2"/>
            <w:shd w:val="clear" w:color="auto" w:fill="CCEEFF"/>
          </w:tcPr>
          <w:p>
            <w:pPr>
              <w:jc w:val="center"/>
              <w:ind w:left="427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3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436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436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4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4360" w:type="dxa"/>
            <w:vAlign w:val="bottom"/>
            <w:shd w:val="clear" w:color="auto" w:fill="CCEEFF"/>
          </w:tcPr>
          <w:p>
            <w:pPr>
              <w:spacing w:after="0"/>
              <w:rPr>
                <w:sz w:val="17"/>
                <w:szCs w:val="17"/>
                <w:color w:val="auto"/>
              </w:rPr>
            </w:pPr>
          </w:p>
        </w:tc>
        <w:tc>
          <w:tcPr>
            <w:tcW w:w="22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 useful life</w:t>
            </w:r>
          </w:p>
        </w:tc>
      </w:tr>
      <w:tr>
        <w:trPr>
          <w:trHeight w:val="234"/>
        </w:trPr>
        <w:tc>
          <w:tcPr>
            <w:tcW w:w="464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 remaining lease term</w:t>
            </w:r>
          </w:p>
        </w:tc>
      </w:tr>
      <w:tr>
        <w:trPr>
          <w:trHeight w:val="655"/>
        </w:trPr>
        <w:tc>
          <w:tcPr>
            <w:tcW w:w="46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jc w:val="right"/>
              <w:ind w:right="3190"/>
              <w:spacing w:after="0"/>
              <w:rPr>
                <w:sz w:val="20"/>
                <w:szCs w:val="20"/>
                <w:color w:val="auto"/>
              </w:rPr>
            </w:pPr>
            <w:r>
              <w:rPr>
                <w:rFonts w:ascii="Times New Roman" w:cs="Times New Roman" w:eastAsia="Times New Roman" w:hAnsi="Times New Roman"/>
                <w:sz w:val="18"/>
                <w:szCs w:val="18"/>
                <w:color w:val="auto"/>
              </w:rPr>
              <w:t>10</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initially records intangible assets at their estimated fair values and reviews these assets periodically for impairment. Identifiable intangible assets, which consist principally of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useful lives are as follows:</w:t>
            </w:r>
          </w:p>
        </w:tc>
        <w:tc>
          <w:tcPr>
            <w:tcW w:w="4880" w:type="dxa"/>
            <w:vAlign w:val="bottom"/>
          </w:tcPr>
          <w:p>
            <w:pPr>
              <w:spacing w:after="0"/>
              <w:rPr>
                <w:sz w:val="20"/>
                <w:szCs w:val="20"/>
                <w:color w:val="auto"/>
              </w:rPr>
            </w:pPr>
          </w:p>
        </w:tc>
      </w:tr>
      <w:tr>
        <w:trPr>
          <w:trHeight w:val="216"/>
        </w:trPr>
        <w:tc>
          <w:tcPr>
            <w:tcW w:w="636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488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98"/>
              </w:rPr>
              <w:t>5 to 7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488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98"/>
              </w:rPr>
              <w:t>5 to 8 years</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488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center"/>
              <w:ind w:left="3450"/>
              <w:spacing w:after="0"/>
              <w:rPr>
                <w:sz w:val="20"/>
                <w:szCs w:val="20"/>
                <w:color w:val="auto"/>
              </w:rPr>
            </w:pPr>
            <w:r>
              <w:rPr>
                <w:rFonts w:ascii="Times New Roman" w:cs="Times New Roman" w:eastAsia="Times New Roman" w:hAnsi="Times New Roman"/>
                <w:sz w:val="18"/>
                <w:szCs w:val="18"/>
                <w:color w:val="auto"/>
                <w:w w:val="98"/>
              </w:rPr>
              <w:t>5 to 8 years</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4880" w:type="dxa"/>
            <w:vAlign w:val="bottom"/>
            <w:shd w:val="clear" w:color="auto" w:fill="CCEEFF"/>
          </w:tcPr>
          <w:p>
            <w:pPr>
              <w:jc w:val="center"/>
              <w:ind w:left="3450"/>
              <w:spacing w:after="0"/>
              <w:rPr>
                <w:sz w:val="20"/>
                <w:szCs w:val="20"/>
                <w:color w:val="auto"/>
              </w:rPr>
            </w:pPr>
            <w:r>
              <w:rPr>
                <w:rFonts w:ascii="Times New Roman" w:cs="Times New Roman" w:eastAsia="Times New Roman" w:hAnsi="Times New Roman"/>
                <w:sz w:val="18"/>
                <w:szCs w:val="18"/>
                <w:color w:val="auto"/>
                <w:w w:val="98"/>
              </w:rPr>
              <w:t>3 to 5 years</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determines that an instrument is not a derivative liability, it then evaluates whether there is a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 – Fair Value Measures and Note 9 – Debt, included elsewhere in the notes to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680" w:hanging="335"/>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three months ended March 31, 2023 and 2022,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receivables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$613 thousand and $553 thousand for March 31,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under ASC Topic 350-40.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6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January 12, 2021, October 18, 2022 and July 5, 2023. Net loss per share was calculated based on the weighted-average number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Pending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does not expect that the application of ASU No. 2016-13 will have a material impact on the presentation of its results of operations, financial position, or disclosures.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does not expect that the application of ASU 2021-08 will have a material impact on the presentation of its results of operations, financial position, or disclosures.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13,247</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deferred revenue balance for the three months ended March 31, 2023 and the year ended December 31, 2022 were as follows: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Interest income on deferred revenue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Recognized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4,112</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3,772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13,392</w:t>
            </w: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(1,651)</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(13,052)</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4,112</w:t>
            </w:r>
          </w:p>
        </w:tc>
        <w:tc>
          <w:tcPr>
            <w:tcW w:w="4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March 31, 2023 and December 31, 2022, all of the Company’s deferred revenue balances were reported as current liabilities in the accompanying consolidated balance sheets.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March 31, 2023 and December 31, 2022: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5,687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20" w:type="dxa"/>
            <w:vAlign w:val="bottom"/>
          </w:tcPr>
          <w:p>
            <w:pPr>
              <w:spacing w:after="0"/>
              <w:rPr>
                <w:sz w:val="20"/>
                <w:szCs w:val="20"/>
                <w:color w:val="auto"/>
              </w:rPr>
            </w:pPr>
          </w:p>
        </w:tc>
        <w:tc>
          <w:tcPr>
            <w:tcW w:w="12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8"/>
              </w:rPr>
              <w:t>(4,490)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(4,605)</w:t>
            </w: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w w:val="98"/>
              </w:rPr>
              <w:t>1,197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96"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of) 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20" w:type="dxa"/>
            <w:vAlign w:val="bottom"/>
          </w:tcPr>
          <w:p>
            <w:pPr>
              <w:spacing w:after="0"/>
              <w:rPr>
                <w:sz w:val="18"/>
                <w:szCs w:val="18"/>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20" w:type="dxa"/>
            <w:vAlign w:val="bottom"/>
          </w:tcPr>
          <w:p>
            <w:pPr>
              <w:spacing w:after="0"/>
              <w:rPr>
                <w:sz w:val="17"/>
                <w:szCs w:val="17"/>
                <w:color w:val="auto"/>
              </w:rPr>
            </w:pPr>
          </w:p>
        </w:tc>
        <w:tc>
          <w:tcPr>
            <w:tcW w:w="2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w:t>
            </w:r>
          </w:p>
        </w:tc>
        <w:tc>
          <w:tcPr>
            <w:tcW w:w="4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48"/>
        </w:trPr>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4,605</w:t>
            </w:r>
          </w:p>
        </w:tc>
        <w:tc>
          <w:tcPr>
            <w:tcW w:w="40" w:type="dxa"/>
            <w:vAlign w:val="bottom"/>
          </w:tcPr>
          <w:p>
            <w:pPr>
              <w:spacing w:after="0"/>
              <w:rPr>
                <w:sz w:val="21"/>
                <w:szCs w:val="2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96"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Bad debt expense was $0.2 million and $0 for the three months ended March 31, 2023 and 2022,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issuance costs,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March 31, 2023 and December 31, 2022: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5,046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2023 and 2022 was $0.4 million and $0.4 million,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96"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March 31, 2023 and December 31, 2022:</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deferred commissions expense</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March 31, 2023 and December 31,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 (1)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payable (2)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 accrued for warranties issued during the period</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end of period</w:t>
            </w: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1080" w:right="40" w:hanging="701"/>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1080" w:right="60" w:hanging="701"/>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2023 and December 31, 2022, the Company’s assets and liabilities measured at fair value on a recurring basis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23"/>
        </w:trPr>
        <w:tc>
          <w:tcPr>
            <w:tcW w:w="2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120" w:type="dxa"/>
            <w:vAlign w:val="bottom"/>
            <w:tcBorders>
              <w:bottom w:val="single" w:sz="8" w:color="auto"/>
            </w:tcBorders>
            <w:gridSpan w:val="1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 Types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gridSpan w:val="1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Fair Value Measurements Using Input Types</w:t>
            </w:r>
          </w:p>
        </w:tc>
        <w:tc>
          <w:tcPr>
            <w:tcW w:w="60" w:type="dxa"/>
            <w:vAlign w:val="bottom"/>
          </w:tcPr>
          <w:p>
            <w:pPr>
              <w:spacing w:after="0"/>
              <w:rPr>
                <w:sz w:val="19"/>
                <w:szCs w:val="19"/>
                <w:color w:val="auto"/>
              </w:rPr>
            </w:pPr>
          </w:p>
        </w:tc>
      </w:tr>
      <w:tr>
        <w:trPr>
          <w:trHeight w:val="237"/>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20"/>
                <w:szCs w:val="20"/>
                <w:color w:val="auto"/>
              </w:rPr>
            </w:pPr>
          </w:p>
        </w:tc>
      </w:tr>
      <w:tr>
        <w:trPr>
          <w:trHeight w:val="216"/>
        </w:trPr>
        <w:tc>
          <w:tcPr>
            <w:tcW w:w="2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5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Mutual funds (included in cash</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receivables</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427</w:t>
            </w:r>
          </w:p>
        </w:tc>
      </w:tr>
      <w:tr>
        <w:trPr>
          <w:trHeight w:val="236"/>
        </w:trPr>
        <w:tc>
          <w:tcPr>
            <w:tcW w:w="25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254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8"/>
        </w:trPr>
        <w:tc>
          <w:tcPr>
            <w:tcW w:w="25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January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3"/>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25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March 2022</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r>
      <w:tr>
        <w:trPr>
          <w:trHeight w:val="198"/>
        </w:trPr>
        <w:tc>
          <w:tcPr>
            <w:tcW w:w="254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August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5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w:t>
            </w:r>
          </w:p>
        </w:tc>
      </w:tr>
      <w:tr>
        <w:trPr>
          <w:trHeight w:val="198"/>
        </w:trPr>
        <w:tc>
          <w:tcPr>
            <w:tcW w:w="254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Warrant liabilities - December</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5"/>
        </w:trPr>
        <w:tc>
          <w:tcPr>
            <w:tcW w:w="2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warrants</w:t>
            </w:r>
          </w:p>
        </w:tc>
        <w:tc>
          <w:tcPr>
            <w:tcW w:w="1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3,207</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w:t>
            </w:r>
          </w:p>
        </w:tc>
        <w:tc>
          <w:tcPr>
            <w:tcW w:w="160" w:type="dxa"/>
            <w:vAlign w:val="bottom"/>
          </w:tcPr>
          <w:p>
            <w:pPr>
              <w:spacing w:after="0"/>
              <w:rPr>
                <w:sz w:val="22"/>
                <w:szCs w:val="22"/>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5,854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5,854</w:t>
            </w:r>
          </w:p>
        </w:tc>
      </w:tr>
      <w:tr>
        <w:trPr>
          <w:trHeight w:val="223"/>
        </w:trPr>
        <w:tc>
          <w:tcPr>
            <w:tcW w:w="25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655"/>
        </w:trPr>
        <w:tc>
          <w:tcPr>
            <w:tcW w:w="2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values,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March 31, 2023,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three months ended March 31, 2023 and fiscal 2022 using an estimated fair value discount at the time of the transactions. As of March 31, 2023 and December 31, 2022, the carrying value of the deferred consideration approximated fair value, respectively.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2023,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Cash receivables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r>
      <w:tr>
        <w:trPr>
          <w:trHeight w:val="237"/>
        </w:trPr>
        <w:tc>
          <w:tcPr>
            <w:tcW w:w="8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20"/>
                <w:szCs w:val="20"/>
                <w:color w:val="auto"/>
              </w:rPr>
            </w:pPr>
          </w:p>
        </w:tc>
      </w:tr>
      <w:tr>
        <w:trPr>
          <w:trHeight w:val="250"/>
        </w:trPr>
        <w:tc>
          <w:tcPr>
            <w:tcW w:w="87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three months ended March 31, 2023 The contingent earn-out payments to the sellers for each acquisition are based on the achievement of certain revenue thresholds.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8"/>
        </w:trPr>
        <w:tc>
          <w:tcPr>
            <w:tcW w:w="8800" w:type="dxa"/>
            <w:vAlign w:val="bottom"/>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800" w:type="dxa"/>
            <w:vAlign w:val="bottom"/>
            <w:gridSpan w:val="2"/>
          </w:tcPr>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contingent consideration</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tcPr>
          <w:p>
            <w:pPr>
              <w:spacing w:after="0"/>
              <w:rPr>
                <w:sz w:val="18"/>
                <w:szCs w:val="18"/>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contingent consideration</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made on contingent liabilities</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(5,550)</w:t>
            </w:r>
          </w:p>
        </w:tc>
      </w:tr>
      <w:tr>
        <w:trPr>
          <w:trHeight w:val="249"/>
        </w:trPr>
        <w:tc>
          <w:tcPr>
            <w:tcW w:w="8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(2,156)</w:t>
            </w:r>
          </w:p>
        </w:tc>
      </w:tr>
      <w:tr>
        <w:trPr>
          <w:trHeight w:val="210"/>
        </w:trPr>
        <w:tc>
          <w:tcPr>
            <w:tcW w:w="880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Contingent consideration – end of period</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 included contingent consideration within accrued expenses and other current liabilities on its consolidated balance sheets as of March 31, 2023 and December 31, 2022.</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below for additional information related to each acquisition’s contingent consideration.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PurePressure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and their second earn-out by approximately $170 thousand. As required by ASC Topic 805 Business Combination (“ASC 805”), the change in contingent consideration was recorded as a reduction in operating expenses during the third and fourth quarters of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$484 thousand. As required by ASC 805, the change in contingent consideration was recorded as a reduction in operating expenses during the second and fourth quarters of 2022,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March 31, 2023 is determined using Level 3 inputs. Inherent in a Black-Scholes option-pricing model are assumptions used in calculating the estimated fair values represent the Company’s best estimate. The volatility rate is determined utilizing the Company’s own share price and the share price of competitors over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January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March 31,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4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1,496.00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1,496.00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45"/>
        </w:trPr>
        <w:tc>
          <w:tcPr>
            <w:tcW w:w="9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r>
      <w:tr>
        <w:trPr>
          <w:trHeight w:val="237"/>
        </w:trPr>
        <w:tc>
          <w:tcPr>
            <w:tcW w:w="9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0"/>
                <w:szCs w:val="20"/>
                <w:color w:val="auto"/>
              </w:rPr>
            </w:pPr>
          </w:p>
        </w:tc>
      </w:tr>
      <w:tr>
        <w:trPr>
          <w:trHeight w:val="250"/>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March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March 31,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4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430.00</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42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42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4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7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5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r>
      <w:tr>
        <w:trPr>
          <w:trHeight w:val="237"/>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5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5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642"/>
        </w:trPr>
        <w:tc>
          <w:tcPr>
            <w:tcW w:w="42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415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March 31,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60" w:type="dxa"/>
            <w:vAlign w:val="bottom"/>
            <w:tcBorders>
              <w:bottom w:val="single" w:sz="8" w:color="CCEEFF"/>
            </w:tcBorders>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price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price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246.00</w:t>
            </w: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8"/>
                <w:szCs w:val="18"/>
                <w:color w:val="auto"/>
              </w:rPr>
            </w:pPr>
          </w:p>
        </w:tc>
      </w:tr>
      <w:tr>
        <w:trPr>
          <w:trHeight w:val="237"/>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9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December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March 31,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460" w:type="dxa"/>
            <w:vAlign w:val="bottom"/>
            <w:tcBorders>
              <w:bottom w:val="single" w:sz="8" w:color="CCEEFF"/>
            </w:tcBorders>
          </w:tcPr>
          <w:p>
            <w:pPr>
              <w:spacing w:after="0"/>
              <w:rPr>
                <w:sz w:val="21"/>
                <w:szCs w:val="21"/>
                <w:color w:val="auto"/>
              </w:rPr>
            </w:pPr>
          </w:p>
        </w:tc>
        <w:tc>
          <w:tcPr>
            <w:tcW w:w="33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price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price</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13.00</w:t>
            </w:r>
          </w:p>
        </w:tc>
        <w:tc>
          <w:tcPr>
            <w:tcW w:w="2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5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months ended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tcPr>
          <w:p>
            <w:pPr>
              <w:spacing w:after="0"/>
              <w:rPr>
                <w:sz w:val="18"/>
                <w:szCs w:val="18"/>
                <w:color w:val="auto"/>
              </w:rPr>
            </w:pPr>
          </w:p>
        </w:tc>
        <w:tc>
          <w:tcPr>
            <w:tcW w:w="128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9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9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9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shd w:val="clear" w:color="auto" w:fill="CCEEFF"/>
          </w:tcPr>
          <w:p>
            <w:pPr>
              <w:spacing w:after="0"/>
              <w:rPr>
                <w:sz w:val="18"/>
                <w:szCs w:val="18"/>
                <w:color w:val="auto"/>
              </w:rPr>
            </w:pPr>
          </w:p>
        </w:tc>
      </w:tr>
      <w:tr>
        <w:trPr>
          <w:trHeight w:val="237"/>
        </w:trPr>
        <w:tc>
          <w:tcPr>
            <w:tcW w:w="996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(2,647)</w:t>
            </w:r>
          </w:p>
        </w:tc>
      </w:tr>
      <w:tr>
        <w:trPr>
          <w:trHeight w:val="250"/>
        </w:trPr>
        <w:tc>
          <w:tcPr>
            <w:tcW w:w="9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end of period</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9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15, 2022, the Company provided a notice of default under the term loan agreement between the Company and Bud &amp; Mary’s (the “Bud</w:t>
      </w:r>
    </w:p>
    <w:p>
      <w:pPr>
        <w:spacing w:after="0" w:line="27" w:lineRule="exact"/>
        <w:rPr>
          <w:sz w:val="20"/>
          <w:szCs w:val="20"/>
          <w:color w:val="auto"/>
        </w:rPr>
      </w:pPr>
    </w:p>
    <w:p>
      <w:pPr>
        <w:jc w:val="both"/>
        <w:ind w:firstLine="8"/>
        <w:spacing w:after="0" w:line="252" w:lineRule="auto"/>
        <w:tabs>
          <w:tab w:leader="none" w:pos="21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March 31, 2023 the Greenstone loan was fully written off against the reserve as a result of the sale of Greenstone to Denver Greens. It was agreed that Denver Greens would not have to pay back Greenstone’s Loan.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March 31, 2023 and December 31, 2022 were as follows: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Bud &amp; Mary’s – TTK Solution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Greenstone – TTK Solution – Related Party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136 – TTK Solution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9,013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Company Customer Number 125 – TTK Solution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71 – Non-TTK Solution (1)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30"/>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(33,050)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(33,050)</w:t>
            </w:r>
          </w:p>
        </w:tc>
        <w:tc>
          <w:tcPr>
            <w:tcW w:w="0" w:type="dxa"/>
            <w:vAlign w:val="bottom"/>
          </w:tcPr>
          <w:p>
            <w:pPr>
              <w:spacing w:after="0"/>
              <w:rPr>
                <w:sz w:val="1"/>
                <w:szCs w:val="1"/>
                <w:color w:val="auto"/>
              </w:rPr>
            </w:pPr>
          </w:p>
        </w:tc>
      </w:tr>
      <w:tr>
        <w:trPr>
          <w:trHeight w:val="27"/>
        </w:trPr>
        <w:tc>
          <w:tcPr>
            <w:tcW w:w="8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receivable</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12,806</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1"/>
        </w:trPr>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is included within Note 3 – Supplemental Consolidated Balance Sheet Information, included elsewhere in the notes to the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written off at December 31, 2022 due to the cancellation of this TTK Solution project.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an allowance for doubtful accounts of approximately $14.7 million related to Bud &amp; Mary’s ongoing litigation. Approximately $12.5 million relates to Greenstone, which is a related party because one of the Company’s former Agrify Brands employees and its VP of Engineering had a minority ownership, consisting of capital advances, accrued interest, and VFUs sales. Approximately $4.5 million relates to Hannah, and $1.4 million relates to WhiteCloud.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As of March 31, 2023,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March 31, 2023 and December 31, 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7,766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13,689</w:t>
            </w:r>
          </w:p>
        </w:tc>
        <w:tc>
          <w:tcPr>
            <w:tcW w:w="0" w:type="dxa"/>
            <w:vAlign w:val="bottom"/>
          </w:tcPr>
          <w:p>
            <w:pPr>
              <w:spacing w:after="0"/>
              <w:rPr>
                <w:sz w:val="1"/>
                <w:szCs w:val="1"/>
                <w:color w:val="auto"/>
              </w:rPr>
            </w:pPr>
          </w:p>
        </w:tc>
      </w:tr>
      <w:tr>
        <w:trPr>
          <w:trHeight w:val="237"/>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gross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7"/>
        </w:trPr>
        <w:tc>
          <w:tcPr>
            <w:tcW w:w="87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 net</w:t>
            </w: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60" w:type="dxa"/>
            <w:vAlign w:val="bottom"/>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19,995</w:t>
            </w:r>
          </w:p>
        </w:tc>
        <w:tc>
          <w:tcPr>
            <w:tcW w:w="2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31,817</w:t>
            </w:r>
          </w:p>
        </w:tc>
        <w:tc>
          <w:tcPr>
            <w:tcW w:w="0" w:type="dxa"/>
            <w:vAlign w:val="bottom"/>
          </w:tcPr>
          <w:p>
            <w:pPr>
              <w:spacing w:after="0"/>
              <w:rPr>
                <w:sz w:val="1"/>
                <w:szCs w:val="1"/>
                <w:color w:val="auto"/>
              </w:rPr>
            </w:pPr>
          </w:p>
        </w:tc>
      </w:tr>
      <w:tr>
        <w:trPr>
          <w:trHeight w:val="27"/>
        </w:trPr>
        <w:tc>
          <w:tcPr>
            <w:tcW w:w="87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8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32,422</w:t>
            </w:r>
          </w:p>
        </w:tc>
        <w:tc>
          <w:tcPr>
            <w:tcW w:w="14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impairment-triggering event during the three months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three-month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ectPr>
          <w:pgSz w:w="11900" w:h="16838" w:orient="portrait"/>
          <w:cols w:equalWidth="0" w:num="1">
            <w:col w:w="11240"/>
          </w:cols>
          <w:pgMar w:left="320" w:top="873"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 purchase accounting adjustment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impairment loss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Intangible assets, net as of December 31, 2022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Year</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ended</w:t>
      </w:r>
    </w:p>
    <w:p>
      <w:pPr>
        <w:spacing w:after="0" w:line="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50,090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(54,747)</w:t>
      </w:r>
    </w:p>
    <w:p>
      <w:pPr>
        <w:spacing w:after="0" w:line="58" w:lineRule="exact"/>
        <w:rPr>
          <w:sz w:val="20"/>
          <w:szCs w:val="20"/>
          <w:color w:val="auto"/>
        </w:rPr>
      </w:pPr>
    </w:p>
    <w:p>
      <w:pPr>
        <w:ind w:left="940" w:hanging="935"/>
        <w:spacing w:after="0"/>
        <w:tabs>
          <w:tab w:leader="none" w:pos="9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8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11"/>
          </w:tcPr>
          <w:p>
            <w:pPr>
              <w:jc w:val="right"/>
              <w:ind w:right="575"/>
              <w:spacing w:after="0"/>
              <w:rPr>
                <w:sz w:val="20"/>
                <w:szCs w:val="20"/>
                <w:color w:val="auto"/>
              </w:rPr>
            </w:pPr>
            <w:r>
              <w:rPr>
                <w:rFonts w:ascii="Times New Roman" w:cs="Times New Roman" w:eastAsia="Times New Roman" w:hAnsi="Times New Roman"/>
                <w:sz w:val="17"/>
                <w:szCs w:val="17"/>
                <w:b w:val="1"/>
                <w:bCs w:val="1"/>
                <w:color w:val="auto"/>
              </w:rPr>
              <w:t>Accumulated Amortization</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6"/>
          </w:tcPr>
          <w:p>
            <w:pPr>
              <w:ind w:left="520"/>
              <w:spacing w:after="0"/>
              <w:rPr>
                <w:sz w:val="20"/>
                <w:szCs w:val="20"/>
                <w:color w:val="auto"/>
              </w:rPr>
            </w:pPr>
            <w:r>
              <w:rPr>
                <w:rFonts w:ascii="Times New Roman" w:cs="Times New Roman" w:eastAsia="Times New Roman" w:hAnsi="Times New Roman"/>
                <w:sz w:val="17"/>
                <w:szCs w:val="17"/>
                <w:b w:val="1"/>
                <w:bCs w:val="1"/>
                <w:color w:val="auto"/>
              </w:rPr>
              <w:t>Intangible Assets, Gross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gridSpan w:val="5"/>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and Impairment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6"/>
          </w:tcPr>
          <w:p>
            <w:pPr>
              <w:jc w:val="right"/>
              <w:ind w:right="172"/>
              <w:spacing w:after="0"/>
              <w:rPr>
                <w:sz w:val="20"/>
                <w:szCs w:val="20"/>
                <w:color w:val="auto"/>
              </w:rPr>
            </w:pPr>
            <w:r>
              <w:rPr>
                <w:rFonts w:ascii="Times New Roman" w:cs="Times New Roman" w:eastAsia="Times New Roman" w:hAnsi="Times New Roman"/>
                <w:sz w:val="17"/>
                <w:szCs w:val="17"/>
                <w:b w:val="1"/>
                <w:bCs w:val="1"/>
                <w:color w:val="auto"/>
              </w:rPr>
              <w:t>Intangible Assets, Net</w:t>
            </w:r>
          </w:p>
        </w:tc>
        <w:tc>
          <w:tcPr>
            <w:tcW w:w="0" w:type="dxa"/>
            <w:vAlign w:val="bottom"/>
          </w:tcPr>
          <w:p>
            <w:pPr>
              <w:spacing w:after="0"/>
              <w:rPr>
                <w:sz w:val="1"/>
                <w:szCs w:val="1"/>
                <w:color w:val="auto"/>
              </w:rPr>
            </w:pPr>
          </w:p>
        </w:tc>
      </w:tr>
      <w:tr>
        <w:trPr>
          <w:trHeight w:val="177"/>
        </w:trPr>
        <w:tc>
          <w:tcPr>
            <w:tcW w:w="2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Additions and</w:t>
            </w:r>
          </w:p>
        </w:tc>
        <w:tc>
          <w:tcPr>
            <w:tcW w:w="3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Expense and</w:t>
            </w:r>
          </w:p>
        </w:tc>
        <w:tc>
          <w:tcPr>
            <w:tcW w:w="2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Retirements,</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Retirements,</w:t>
            </w:r>
          </w:p>
        </w:tc>
        <w:tc>
          <w:tcPr>
            <w:tcW w:w="1140" w:type="dxa"/>
            <w:vAlign w:val="bottom"/>
            <w:gridSpan w:val="5"/>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January 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5"/>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80" w:type="dxa"/>
            <w:vAlign w:val="bottom"/>
          </w:tcPr>
          <w:p>
            <w:pPr>
              <w:spacing w:after="0"/>
              <w:rPr>
                <w:sz w:val="20"/>
                <w:szCs w:val="20"/>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net</w:t>
            </w:r>
          </w:p>
        </w:tc>
        <w:tc>
          <w:tcPr>
            <w:tcW w:w="340" w:type="dxa"/>
            <w:vAlign w:val="bottom"/>
          </w:tcPr>
          <w:p>
            <w:pPr>
              <w:spacing w:after="0"/>
              <w:rPr>
                <w:sz w:val="20"/>
                <w:szCs w:val="20"/>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net</w:t>
            </w:r>
          </w:p>
        </w:tc>
        <w:tc>
          <w:tcPr>
            <w:tcW w:w="220" w:type="dxa"/>
            <w:vAlign w:val="bottom"/>
          </w:tcPr>
          <w:p>
            <w:pPr>
              <w:spacing w:after="0"/>
              <w:rPr>
                <w:sz w:val="20"/>
                <w:szCs w:val="20"/>
                <w:color w:val="auto"/>
              </w:rPr>
            </w:pPr>
          </w:p>
        </w:tc>
        <w:tc>
          <w:tcPr>
            <w:tcW w:w="800" w:type="dxa"/>
            <w:vAlign w:val="bottom"/>
            <w:gridSpan w:val="3"/>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03"/>
        </w:trPr>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Trade names</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2,418</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(2,508)</w:t>
            </w: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6,176</w:t>
            </w: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713</w:t>
            </w:r>
          </w:p>
        </w:tc>
        <w:tc>
          <w:tcPr>
            <w:tcW w:w="3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6,889</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(302)</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(6,889)</w:t>
            </w:r>
          </w:p>
        </w:tc>
        <w:tc>
          <w:tcPr>
            <w:tcW w:w="120" w:type="dxa"/>
            <w:vAlign w:val="bottom"/>
          </w:tcPr>
          <w:p>
            <w:pPr>
              <w:spacing w:after="0"/>
              <w:rPr>
                <w:sz w:val="17"/>
                <w:szCs w:val="17"/>
                <w:color w:val="auto"/>
              </w:rPr>
            </w:pPr>
          </w:p>
        </w:tc>
        <w:tc>
          <w:tcPr>
            <w:tcW w:w="860" w:type="dxa"/>
            <w:vAlign w:val="bottom"/>
            <w:gridSpan w:val="4"/>
          </w:tcPr>
          <w:p>
            <w:pPr>
              <w:jc w:val="right"/>
              <w:ind w:right="10"/>
              <w:spacing w:after="0"/>
              <w:rPr>
                <w:sz w:val="20"/>
                <w:szCs w:val="20"/>
                <w:color w:val="auto"/>
              </w:rPr>
            </w:pPr>
            <w:r>
              <w:rPr>
                <w:rFonts w:ascii="Times New Roman" w:cs="Times New Roman" w:eastAsia="Times New Roman" w:hAnsi="Times New Roman"/>
                <w:sz w:val="17"/>
                <w:szCs w:val="17"/>
                <w:color w:val="auto"/>
              </w:rPr>
              <w:t>5,874</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Acquired developed Technology</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4,911</w:t>
            </w: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1,432</w:t>
            </w:r>
          </w:p>
        </w:tc>
        <w:tc>
          <w:tcPr>
            <w:tcW w:w="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6,343</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22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(6,343)</w:t>
            </w:r>
          </w:p>
        </w:tc>
        <w:tc>
          <w:tcPr>
            <w:tcW w:w="1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4,720</w:t>
            </w:r>
          </w:p>
        </w:tc>
        <w:tc>
          <w:tcPr>
            <w:tcW w:w="16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Non-compete</w:t>
            </w: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1,202</w:t>
            </w:r>
          </w:p>
        </w:tc>
        <w:tc>
          <w:tcPr>
            <w:tcW w:w="2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1,202</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(1,142)</w:t>
            </w:r>
          </w:p>
        </w:tc>
        <w:tc>
          <w:tcPr>
            <w:tcW w:w="22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(1,202)</w:t>
            </w:r>
          </w:p>
        </w:tc>
        <w:tc>
          <w:tcPr>
            <w:tcW w:w="120" w:type="dxa"/>
            <w:vAlign w:val="bottom"/>
          </w:tcPr>
          <w:p>
            <w:pPr>
              <w:spacing w:after="0"/>
              <w:rPr>
                <w:sz w:val="17"/>
                <w:szCs w:val="17"/>
                <w:color w:val="auto"/>
              </w:rPr>
            </w:pPr>
          </w:p>
        </w:tc>
        <w:tc>
          <w:tcPr>
            <w:tcW w:w="860" w:type="dxa"/>
            <w:vAlign w:val="bottom"/>
            <w:gridSpan w:val="4"/>
          </w:tcPr>
          <w:p>
            <w:pPr>
              <w:jc w:val="right"/>
              <w:ind w:right="10"/>
              <w:spacing w:after="0"/>
              <w:rPr>
                <w:sz w:val="20"/>
                <w:szCs w:val="20"/>
                <w:color w:val="auto"/>
              </w:rPr>
            </w:pPr>
            <w:r>
              <w:rPr>
                <w:rFonts w:ascii="Times New Roman" w:cs="Times New Roman" w:eastAsia="Times New Roman" w:hAnsi="Times New Roman"/>
                <w:sz w:val="17"/>
                <w:szCs w:val="17"/>
                <w:color w:val="auto"/>
              </w:rPr>
              <w:t>1,142</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Capitalized website costs</w:t>
            </w: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245</w:t>
            </w:r>
          </w:p>
        </w:tc>
        <w:tc>
          <w:tcPr>
            <w:tcW w:w="2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245</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20" w:type="dxa"/>
            <w:vAlign w:val="bottom"/>
            <w:shd w:val="clear" w:color="auto" w:fill="CCEEFF"/>
          </w:tcPr>
          <w:p>
            <w:pPr>
              <w:spacing w:after="0"/>
              <w:rPr>
                <w:sz w:val="20"/>
                <w:szCs w:val="20"/>
                <w:color w:val="auto"/>
              </w:rPr>
            </w:pP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2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rPr>
              <w:t>145</w:t>
            </w:r>
          </w:p>
        </w:tc>
        <w:tc>
          <w:tcPr>
            <w:tcW w:w="16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7"/>
        </w:trPr>
        <w:tc>
          <w:tcPr>
            <w:tcW w:w="2700" w:type="dxa"/>
            <w:vAlign w:val="bottom"/>
            <w:tcBorders>
              <w:top w:val="single" w:sz="8" w:color="CCEEFF"/>
            </w:tcBorders>
            <w:gridSpan w:val="2"/>
          </w:tcPr>
          <w:p>
            <w:pPr>
              <w:spacing w:after="0" w:line="189" w:lineRule="exact"/>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14,952</w:t>
            </w: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2,462</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17,414</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(880</w:t>
            </w: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(16,534</w:t>
            </w:r>
          </w:p>
        </w:tc>
        <w:tc>
          <w:tcPr>
            <w:tcW w:w="1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(17,414</w:t>
            </w:r>
          </w:p>
        </w:tc>
        <w:tc>
          <w:tcPr>
            <w:tcW w:w="1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top w:val="single" w:sz="8" w:color="auto"/>
              <w:bottom w:val="single" w:sz="8" w:color="auto"/>
            </w:tcBorders>
            <w:gridSpan w:val="3"/>
          </w:tcPr>
          <w:p>
            <w:pPr>
              <w:jc w:val="right"/>
              <w:spacing w:after="0" w:line="189" w:lineRule="exact"/>
              <w:rPr>
                <w:sz w:val="20"/>
                <w:szCs w:val="20"/>
                <w:color w:val="auto"/>
              </w:rPr>
            </w:pPr>
            <w:r>
              <w:rPr>
                <w:rFonts w:ascii="Times New Roman" w:cs="Times New Roman" w:eastAsia="Times New Roman" w:hAnsi="Times New Roman"/>
                <w:sz w:val="17"/>
                <w:szCs w:val="17"/>
                <w:color w:val="auto"/>
              </w:rPr>
              <w:t>14,072</w:t>
            </w:r>
          </w:p>
        </w:tc>
        <w:tc>
          <w:tcPr>
            <w:tcW w:w="1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2"/>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0" w:type="dxa"/>
            <w:vAlign w:val="bottom"/>
          </w:tcPr>
          <w:p>
            <w:pPr>
              <w:spacing w:after="0"/>
              <w:rPr>
                <w:sz w:val="24"/>
                <w:szCs w:val="24"/>
                <w:color w:val="auto"/>
              </w:rPr>
            </w:pPr>
          </w:p>
        </w:tc>
        <w:tc>
          <w:tcPr>
            <w:tcW w:w="118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45"/>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40" w:type="dxa"/>
            <w:vAlign w:val="bottom"/>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392"/>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6"/>
        </w:trPr>
        <w:tc>
          <w:tcPr>
            <w:tcW w:w="2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Exchange Note</w:t>
            </w: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21,669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31,975</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7"/>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notes payable (1)</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23,722</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32,654</w:t>
            </w:r>
          </w:p>
        </w:tc>
        <w:tc>
          <w:tcPr>
            <w:tcW w:w="0" w:type="dxa"/>
            <w:vAlign w:val="bottom"/>
          </w:tcPr>
          <w:p>
            <w:pPr>
              <w:spacing w:after="0"/>
              <w:rPr>
                <w:sz w:val="1"/>
                <w:szCs w:val="1"/>
                <w:color w:val="auto"/>
              </w:rPr>
            </w:pPr>
          </w:p>
        </w:tc>
      </w:tr>
      <w:tr>
        <w:trPr>
          <w:trHeight w:val="236"/>
        </w:trPr>
        <w:tc>
          <w:tcPr>
            <w:tcW w:w="3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unamortized debt premium (discount)</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27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net of debt discount</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24,638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29,239</w:t>
            </w:r>
          </w:p>
        </w:tc>
        <w:tc>
          <w:tcPr>
            <w:tcW w:w="0" w:type="dxa"/>
            <w:vAlign w:val="bottom"/>
          </w:tcPr>
          <w:p>
            <w:pPr>
              <w:spacing w:after="0"/>
              <w:rPr>
                <w:sz w:val="1"/>
                <w:szCs w:val="1"/>
                <w:color w:val="auto"/>
              </w:rPr>
            </w:pPr>
          </w:p>
        </w:tc>
      </w:tr>
      <w:tr>
        <w:trPr>
          <w:trHeight w:val="229"/>
        </w:trPr>
        <w:tc>
          <w:tcPr>
            <w:tcW w:w="4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(28,832)</w:t>
            </w:r>
          </w:p>
        </w:tc>
        <w:tc>
          <w:tcPr>
            <w:tcW w:w="0" w:type="dxa"/>
            <w:vAlign w:val="bottom"/>
          </w:tcPr>
          <w:p>
            <w:pPr>
              <w:spacing w:after="0"/>
              <w:rPr>
                <w:sz w:val="1"/>
                <w:szCs w:val="1"/>
                <w:color w:val="auto"/>
              </w:rPr>
            </w:pPr>
          </w:p>
        </w:tc>
      </w:tr>
      <w:tr>
        <w:trPr>
          <w:trHeight w:val="27"/>
        </w:trPr>
        <w:tc>
          <w:tcPr>
            <w:tcW w:w="27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gridSpan w:val="2"/>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0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22,554</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540" w:right="3880" w:hanging="5532"/>
        <w:spacing w:after="0" w:line="783" w:lineRule="auto"/>
        <w:tabs>
          <w:tab w:leader="none" w:pos="3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notes payable relates to a one-year insurance premium that was financed over nine-months.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$300 thousand in repayments for other fees under the 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the High Trail Special Situations LLC. Pursuant to the Exchange Agreement, at closing the Company will prepay approximately $10.3 million in principal amount under the August 2022 Note and exchange $10.0 in principal amount of the remaining balance of the August 2022 Note for a new senior secured convertible note (the “Convertible Note”) with an original principal amount of $10.0 million. After the closing of the Exchange Agreement, the August 2022 Note will remain outstanding with a remaining balance of $11.7 million (the “Modified August 2022 Note” and, collectively with the Convertible Note, the “Notes”).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$170,974 for the three months ended March 31, 2023. Accrued interest totaled $170,974 as of March 31, 2023.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short-term and long-term portions of the Exchange Note as of March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00" w:type="dxa"/>
            <w:vAlign w:val="bottom"/>
          </w:tcPr>
          <w:p>
            <w:pPr>
              <w:spacing w:after="0"/>
              <w:rPr>
                <w:sz w:val="21"/>
                <w:szCs w:val="21"/>
                <w:color w:val="auto"/>
              </w:rPr>
            </w:pP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Long-Term</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payable, net</w:t>
            </w:r>
          </w:p>
        </w:tc>
        <w:tc>
          <w:tcPr>
            <w:tcW w:w="0" w:type="dxa"/>
            <w:vAlign w:val="bottom"/>
          </w:tcPr>
          <w:p>
            <w:pPr>
              <w:spacing w:after="0"/>
              <w:rPr>
                <w:sz w:val="1"/>
                <w:szCs w:val="1"/>
                <w:color w:val="auto"/>
              </w:rPr>
            </w:pPr>
          </w:p>
        </w:tc>
      </w:tr>
      <w:tr>
        <w:trPr>
          <w:trHeight w:val="21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premium</w:t>
            </w: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7"/>
        </w:trPr>
        <w:tc>
          <w:tcPr>
            <w:tcW w:w="36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3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vMerge w:val="continue"/>
            <w:shd w:val="clear" w:color="auto" w:fill="CCEEFF"/>
          </w:tcPr>
          <w:p>
            <w:pPr>
              <w:spacing w:after="0"/>
              <w:rPr>
                <w:sz w:val="21"/>
                <w:szCs w:val="21"/>
                <w:color w:val="auto"/>
              </w:rPr>
            </w:pPr>
          </w:p>
        </w:tc>
        <w:tc>
          <w:tcPr>
            <w:tcW w:w="3720" w:type="dxa"/>
            <w:vAlign w:val="bottom"/>
            <w:gridSpan w:val="2"/>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jc w:val="right"/>
              <w:ind w:right="139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6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0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 of March 31, 2023, future minimum payments were as follows: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9"/>
        </w:trPr>
        <w:tc>
          <w:tcPr>
            <w:tcW w:w="10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21,789</w:t>
            </w:r>
          </w:p>
        </w:tc>
        <w:tc>
          <w:tcPr>
            <w:tcW w:w="80" w:type="dxa"/>
            <w:vAlign w:val="bottom"/>
            <w:shd w:val="clear" w:color="auto" w:fill="CCEEFF"/>
          </w:tcPr>
          <w:p>
            <w:pPr>
              <w:spacing w:after="0"/>
              <w:rPr>
                <w:sz w:val="21"/>
                <w:szCs w:val="21"/>
                <w:color w:val="auto"/>
              </w:rPr>
            </w:pPr>
          </w:p>
        </w:tc>
      </w:tr>
      <w:tr>
        <w:trPr>
          <w:trHeight w:val="210"/>
        </w:trPr>
        <w:tc>
          <w:tcPr>
            <w:tcW w:w="10020" w:type="dxa"/>
            <w:vAlign w:val="bottom"/>
            <w:tcBorders>
              <w:top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23,722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total proceeds of approximately $779 thousand from the unsecured PPP Loan, which was originally scheduled to mature on May 7, 2022. The Company applied for forgiveness on the $779 thousand of PPP 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PPP Loan balances by current and non-current as of March 31, 2023 and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 current</w:t>
            </w:r>
          </w:p>
        </w:tc>
        <w:tc>
          <w:tcPr>
            <w:tcW w:w="1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Long-term debt, current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19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Long-term debt,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CEEFF"/>
            </w:tcBorders>
          </w:tcPr>
          <w:p>
            <w:pPr>
              <w:spacing w:after="0"/>
              <w:rPr>
                <w:sz w:val="20"/>
                <w:szCs w:val="20"/>
                <w:color w:val="auto"/>
              </w:rPr>
            </w:pPr>
          </w:p>
        </w:tc>
      </w:tr>
      <w:tr>
        <w:trPr>
          <w:trHeight w:val="250"/>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190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March 31, 2023, the Company’s weighted-average discount rate utilized for its leases was 7.33%.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The Company’s finance leases have remaining lease terms of one year to five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ectPr>
          <w:pgSz w:w="11900" w:h="16838" w:orient="portrait"/>
          <w:cols w:equalWidth="0" w:num="1">
            <w:col w:w="11240"/>
          </w:cols>
          <w:pgMar w:left="320" w:top="873" w:right="3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Additional information on the Company’s operating and financing lease activity was as follows: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230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7" w:lineRule="exact"/>
        <w:rPr>
          <w:sz w:val="20"/>
          <w:szCs w:val="20"/>
          <w:color w:val="auto"/>
        </w:rPr>
      </w:pPr>
    </w:p>
    <w:p>
      <w:pPr>
        <w:ind w:left="320"/>
        <w:spacing w:after="0"/>
        <w:tabs>
          <w:tab w:leader="none" w:pos="154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40" w:lineRule="exact"/>
        <w:rPr>
          <w:sz w:val="20"/>
          <w:szCs w:val="20"/>
          <w:color w:val="auto"/>
        </w:rPr>
      </w:pPr>
    </w:p>
    <w:p>
      <w:pPr>
        <w:spacing w:after="0"/>
        <w:tabs>
          <w:tab w:leader="none" w:pos="720" w:val="left"/>
          <w:tab w:leader="none" w:pos="12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236</w:t>
        <w:tab/>
        <w:t>$</w:t>
      </w:r>
      <w:r>
        <w:rPr>
          <w:sz w:val="20"/>
          <w:szCs w:val="20"/>
          <w:color w:val="auto"/>
        </w:rPr>
        <w:tab/>
      </w:r>
      <w:r>
        <w:rPr>
          <w:rFonts w:ascii="Times New Roman" w:cs="Times New Roman" w:eastAsia="Times New Roman" w:hAnsi="Times New Roman"/>
          <w:sz w:val="18"/>
          <w:szCs w:val="18"/>
          <w:color w:val="auto"/>
        </w:rPr>
        <w:t>254</w:t>
      </w:r>
    </w:p>
    <w:p>
      <w:pPr>
        <w:spacing w:after="0" w:line="225" w:lineRule="exact"/>
        <w:rPr>
          <w:sz w:val="20"/>
          <w:szCs w:val="20"/>
          <w:color w:val="auto"/>
        </w:rPr>
      </w:pPr>
    </w:p>
    <w:p>
      <w:pPr>
        <w:ind w:left="840"/>
        <w:spacing w:after="0"/>
        <w:tabs>
          <w:tab w:leader="none" w:pos="20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48</w:t>
      </w:r>
    </w:p>
    <w:p>
      <w:pPr>
        <w:spacing w:after="0" w:line="27" w:lineRule="exact"/>
        <w:rPr>
          <w:sz w:val="20"/>
          <w:szCs w:val="20"/>
          <w:color w:val="auto"/>
        </w:rPr>
      </w:pPr>
    </w:p>
    <w:p>
      <w:pPr>
        <w:ind w:left="2140" w:hanging="1213"/>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tabs>
          <w:tab w:leader="none" w:pos="720" w:val="left"/>
          <w:tab w:leader="none" w:pos="12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287</w:t>
        <w:tab/>
        <w:t>$</w:t>
      </w:r>
      <w:r>
        <w:rPr>
          <w:sz w:val="20"/>
          <w:szCs w:val="20"/>
          <w:color w:val="auto"/>
        </w:rPr>
        <w:tab/>
      </w: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23035"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23035"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80" w:space="720"/>
            <w:col w:w="2340"/>
          </w:cols>
          <w:pgMar w:left="320" w:top="873" w:right="339" w:bottom="1440" w:gutter="0" w:footer="0" w:header="0"/>
          <w:type w:val="continuous"/>
        </w:sectPr>
      </w:pPr>
    </w:p>
    <w:p>
      <w:pPr>
        <w:spacing w:after="0" w:line="89"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43" w:lineRule="exact"/>
        <w:rPr>
          <w:sz w:val="20"/>
          <w:szCs w:val="20"/>
          <w:color w:val="auto"/>
        </w:rPr>
      </w:pPr>
    </w:p>
    <w:p>
      <w:pPr>
        <w:jc w:val="center"/>
        <w:ind w:left="8920"/>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29" w:lineRule="exact"/>
        <w:rPr>
          <w:sz w:val="20"/>
          <w:szCs w:val="20"/>
          <w:color w:val="auto"/>
        </w:rPr>
      </w:pPr>
    </w:p>
    <w:p>
      <w:pPr>
        <w:sectPr>
          <w:pgSz w:w="11900" w:h="16838" w:orient="portrait"/>
          <w:cols w:equalWidth="0" w:num="2">
            <w:col w:w="9700" w:space="480"/>
            <w:col w:w="106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4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21"/>
              <w:spacing w:after="0" w:line="203" w:lineRule="exact"/>
              <w:rPr>
                <w:sz w:val="20"/>
                <w:szCs w:val="20"/>
                <w:color w:val="auto"/>
              </w:rPr>
            </w:pPr>
            <w:r>
              <w:rPr>
                <w:rFonts w:ascii="Times New Roman" w:cs="Times New Roman" w:eastAsia="Times New Roman" w:hAnsi="Times New Roman"/>
                <w:sz w:val="18"/>
                <w:szCs w:val="18"/>
                <w:color w:val="auto"/>
              </w:rPr>
              <w:t>3.54 years</w:t>
            </w:r>
          </w:p>
        </w:tc>
        <w:tc>
          <w:tcPr>
            <w:tcW w:w="180" w:type="dxa"/>
            <w:vAlign w:val="bottom"/>
            <w:tcBorders>
              <w:left w:val="single" w:sz="8" w:color="CCEEFF"/>
            </w:tcBorders>
            <w:shd w:val="clear" w:color="auto" w:fill="CCEEFF"/>
          </w:tcPr>
          <w:p>
            <w:pPr>
              <w:spacing w:after="0"/>
              <w:rPr>
                <w:sz w:val="17"/>
                <w:szCs w:val="17"/>
                <w:color w:val="auto"/>
              </w:rPr>
            </w:pPr>
          </w:p>
        </w:tc>
        <w:tc>
          <w:tcPr>
            <w:tcW w:w="960" w:type="dxa"/>
            <w:vAlign w:val="bottom"/>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rPr>
              <w:t>2.27 years</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color w:val="auto"/>
              </w:rPr>
              <w:t>2.09 years</w:t>
            </w: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2.78 years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4"/>
          </w:tcPr>
          <w:p>
            <w:pPr>
              <w:jc w:val="right"/>
              <w:ind w:right="61"/>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391"/>
        </w:trPr>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Right-of-use, net</w:t>
            </w:r>
          </w:p>
        </w:tc>
        <w:tc>
          <w:tcPr>
            <w:tcW w:w="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2,343</w:t>
            </w: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Property and equipment, net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Operating lease liabilities, current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liabilities, non-current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Finance lease liabilities, current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liabilities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non-current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left w:val="single" w:sz="8" w:color="CCEEFF"/>
              <w:bottom w:val="single" w:sz="8" w:color="auto"/>
            </w:tcBorders>
            <w:shd w:val="clear" w:color="auto" w:fill="CCEEFF"/>
          </w:tcPr>
          <w:p>
            <w:pPr>
              <w:spacing w:after="0"/>
              <w:rPr>
                <w:sz w:val="21"/>
                <w:szCs w:val="21"/>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0"/>
        </w:trPr>
        <w:tc>
          <w:tcPr>
            <w:tcW w:w="880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March 31, 2023 are as follows:</w:t>
            </w: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0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45"/>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lease</w:t>
            </w:r>
          </w:p>
        </w:tc>
        <w:tc>
          <w:tcPr>
            <w:tcW w:w="180" w:type="dxa"/>
            <w:vAlign w:val="bottom"/>
          </w:tcPr>
          <w:p>
            <w:pPr>
              <w:spacing w:after="0"/>
              <w:rPr>
                <w:sz w:val="21"/>
                <w:szCs w:val="21"/>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0" w:type="dxa"/>
            <w:vAlign w:val="bottom"/>
          </w:tcPr>
          <w:p>
            <w:pPr>
              <w:spacing w:after="0"/>
              <w:rPr>
                <w:sz w:val="1"/>
                <w:szCs w:val="1"/>
                <w:color w:val="auto"/>
              </w:rPr>
            </w:pPr>
          </w:p>
        </w:tc>
      </w:tr>
      <w:tr>
        <w:trPr>
          <w:trHeight w:val="216"/>
        </w:trPr>
        <w:tc>
          <w:tcPr>
            <w:tcW w:w="48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4"/>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729</w:t>
            </w:r>
          </w:p>
        </w:tc>
        <w:tc>
          <w:tcPr>
            <w:tcW w:w="18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101"/>
              <w:spacing w:after="0"/>
              <w:rPr>
                <w:sz w:val="20"/>
                <w:szCs w:val="20"/>
                <w:color w:val="auto"/>
              </w:rPr>
            </w:pPr>
            <w:r>
              <w:rPr>
                <w:rFonts w:ascii="Times New Roman" w:cs="Times New Roman" w:eastAsia="Times New Roman" w:hAnsi="Times New Roman"/>
                <w:sz w:val="18"/>
                <w:szCs w:val="18"/>
                <w:color w:val="auto"/>
              </w:rPr>
              <w:t>764</w:t>
            </w:r>
          </w:p>
        </w:tc>
        <w:tc>
          <w:tcPr>
            <w:tcW w:w="1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4"/>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647</w:t>
            </w:r>
          </w:p>
        </w:tc>
        <w:tc>
          <w:tcPr>
            <w:tcW w:w="180" w:type="dxa"/>
            <w:vAlign w:val="bottom"/>
            <w:tcBorders>
              <w:left w:val="single" w:sz="8" w:color="CCEEFF"/>
            </w:tcBorders>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101"/>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tcBorders>
              <w:right w:val="single" w:sz="8" w:color="CCEEFF"/>
            </w:tcBorders>
            <w:gridSpan w:val="4"/>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Borders>
              <w:left w:val="single" w:sz="8" w:color="CCEEFF"/>
            </w:tcBorders>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10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8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3"/>
          </w:tcPr>
          <w:p>
            <w:pPr>
              <w:jc w:val="right"/>
              <w:spacing w:after="0" w:line="203" w:lineRule="exact"/>
              <w:rPr>
                <w:sz w:val="20"/>
                <w:szCs w:val="20"/>
                <w:color w:val="auto"/>
              </w:rPr>
            </w:pPr>
            <w:r>
              <w:rPr>
                <w:rFonts w:ascii="Times New Roman" w:cs="Times New Roman" w:eastAsia="Times New Roman" w:hAnsi="Times New Roman"/>
                <w:sz w:val="18"/>
                <w:szCs w:val="18"/>
                <w:color w:val="auto"/>
              </w:rPr>
              <w:t>2,842</w:t>
            </w:r>
          </w:p>
        </w:tc>
        <w:tc>
          <w:tcPr>
            <w:tcW w:w="1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Borders>
              <w:bottom w:val="single" w:sz="8" w:color="CCEEFF"/>
              <w:right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left w:val="single" w:sz="8" w:color="CCEEFF"/>
              <w:bottom w:val="single" w:sz="8" w:color="auto"/>
            </w:tcBorders>
            <w:shd w:val="clear" w:color="auto" w:fill="CCEEFF"/>
          </w:tcPr>
          <w:p>
            <w:pPr>
              <w:spacing w:after="0"/>
              <w:rPr>
                <w:sz w:val="20"/>
                <w:szCs w:val="20"/>
                <w:color w:val="auto"/>
              </w:rPr>
            </w:pPr>
          </w:p>
        </w:tc>
        <w:tc>
          <w:tcPr>
            <w:tcW w:w="8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4"/>
          </w:tcPr>
          <w:p>
            <w:pPr>
              <w:jc w:val="right"/>
              <w:ind w:right="101"/>
              <w:spacing w:after="0"/>
              <w:rPr>
                <w:sz w:val="20"/>
                <w:szCs w:val="20"/>
                <w:color w:val="auto"/>
              </w:rPr>
            </w:pPr>
            <w:r>
              <w:rPr>
                <w:rFonts w:ascii="Times New Roman" w:cs="Times New Roman" w:eastAsia="Times New Roman" w:hAnsi="Times New Roman"/>
                <w:sz w:val="18"/>
                <w:szCs w:val="18"/>
                <w:color w:val="auto"/>
              </w:rPr>
              <w:t>2,505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0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8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 Additional information regarding the PurePressure Holdback Buyer Shares may be found in Note 8 – Business Combinations, included elsewhere in the notes to the consolidated financial statements.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16, 2022, the Company issued 594,232 shares of its Common Stock, Pre-Funded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the Company’s own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Chairman and CEO, participated in the Offering and purchased 115,385 shares of Common Stock and 230,769 December 2022 Warrants for an aggregate purchase price of approximately $1.5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Company’s December 2022 Warrants may be found in Note 1 – Overview, Basis of Presentation, and Significant Accounting Policies and Note 4 – Fair Value Measures, included elsewhere in the notes to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right="2680" w:firstLine="2671"/>
        <w:spacing w:after="0" w:line="50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Note 11 — Stock-Based Compensation and Employee Benefit Plans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March 31, 2023, there were 13,123 shares of Common Stock available to be granted under the Company’s 2022 Plan.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stock compensation expense was $0.9 million and $4.3 million for the three months ended March 31, 2023 and 2022,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months ended March 31, 2023.</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three months ended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45"/>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6"/>
        </w:trPr>
        <w:tc>
          <w:tcPr>
            <w:tcW w:w="7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871.05</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outstanding at March 31, 2023</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1,553.49</w:t>
            </w:r>
          </w:p>
        </w:tc>
        <w:tc>
          <w:tcPr>
            <w:tcW w:w="1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tcBorders>
            <w:gridSpan w:val="2"/>
            <w:vMerge w:val="restart"/>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8"/>
        </w:trPr>
        <w:tc>
          <w:tcPr>
            <w:tcW w:w="7560" w:type="dxa"/>
            <w:vAlign w:val="bottom"/>
            <w:gridSpan w:val="2"/>
            <w:vMerge w:val="continue"/>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13,123</w:t>
            </w:r>
          </w:p>
        </w:tc>
        <w:tc>
          <w:tcPr>
            <w:tcW w:w="100" w:type="dxa"/>
            <w:vAlign w:val="bottom"/>
            <w:vMerge w:val="continue"/>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40" w:type="dxa"/>
            <w:vAlign w:val="bottom"/>
            <w:vMerge w:val="continue"/>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as of March 31, 2023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1,337.29</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60" w:type="dxa"/>
            <w:vAlign w:val="bottom"/>
            <w:tcBorders>
              <w:top w:val="single" w:sz="8" w:color="CCEEFF"/>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expected to vest as of March 31,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1,498.89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total unrecognized compensation expense related to unvested options under the Company’s 2022 Plan was $2.4 million, which is expected to be recognized over a weighted average period of 0.95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6"/>
                <w:szCs w:val="16"/>
                <w:color w:val="auto"/>
              </w:rPr>
            </w:pPr>
          </w:p>
        </w:tc>
      </w:tr>
      <w:tr>
        <w:trPr>
          <w:trHeight w:val="245"/>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Contractual Life (Years)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3,511</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5.84</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8.76</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2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March 31,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 Remaining</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jc w:val="center"/>
              <w:ind w:right="2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00" w:type="dxa"/>
            <w:vAlign w:val="bottom"/>
          </w:tcPr>
          <w:p>
            <w:pPr>
              <w:spacing w:after="0"/>
              <w:rPr>
                <w:sz w:val="16"/>
                <w:szCs w:val="16"/>
                <w:color w:val="auto"/>
              </w:rPr>
            </w:pPr>
          </w:p>
        </w:tc>
      </w:tr>
      <w:tr>
        <w:trPr>
          <w:trHeight w:val="245"/>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Contractual Life (Years)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10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3,565</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6.02</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10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2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8.76</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4,500</w:t>
            </w:r>
          </w:p>
        </w:tc>
        <w:tc>
          <w:tcPr>
            <w:tcW w:w="2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655"/>
        </w:trPr>
        <w:tc>
          <w:tcPr>
            <w:tcW w:w="1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9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8900" w:type="dxa"/>
            <w:vAlign w:val="bottom"/>
          </w:tcPr>
          <w:p>
            <w:pPr>
              <w:spacing w:after="0"/>
              <w:rPr>
                <w:sz w:val="21"/>
                <w:szCs w:val="21"/>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16"/>
        </w:trPr>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230.08</w:t>
            </w:r>
          </w:p>
        </w:tc>
      </w:tr>
      <w:tr>
        <w:trPr>
          <w:trHeight w:val="237"/>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230.08</w:t>
            </w:r>
          </w:p>
        </w:tc>
      </w:tr>
      <w:tr>
        <w:trPr>
          <w:trHeight w:val="250"/>
        </w:trPr>
        <w:tc>
          <w:tcPr>
            <w:tcW w:w="8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March 31, 2023</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2023, total unrecognized compensation expense related to unvested restricted stock units was $1.2 million, which is expected to be recognized over a weighted average period of 2.20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2,500 shares of Common Stock for issuance under the ESPP. On March 31, 2023, 2,500 shares were available for future issuance.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three months ended March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months ended March 31, 2023, the Company did not contribute to the 401(k)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three months ended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1"/>
                <w:szCs w:val="2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tc>
        <w:tc>
          <w:tcPr>
            <w:tcW w:w="4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45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outstanding at March 31, 2023</w:t>
            </w:r>
          </w:p>
        </w:tc>
        <w:tc>
          <w:tcPr>
            <w:tcW w:w="4540" w:type="dxa"/>
            <w:vAlign w:val="bottom"/>
            <w:tcBorders>
              <w:top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1,495,001</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4540" w:type="dxa"/>
            <w:vAlign w:val="bottom"/>
            <w:vMerge w:val="restart"/>
          </w:tcPr>
          <w:p>
            <w:pPr>
              <w:jc w:val="right"/>
              <w:ind w:right="309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3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vMerge w:val="continue"/>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90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8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9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45"/>
        </w:trPr>
        <w:tc>
          <w:tcPr>
            <w:tcW w:w="890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1"/>
                <w:szCs w:val="21"/>
                <w:color w:val="auto"/>
              </w:rPr>
            </w:pPr>
          </w:p>
        </w:tc>
        <w:tc>
          <w:tcPr>
            <w:tcW w:w="10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18"/>
                <w:szCs w:val="18"/>
                <w:color w:val="auto"/>
              </w:rPr>
            </w:pPr>
          </w:p>
        </w:tc>
      </w:tr>
      <w:tr>
        <w:trPr>
          <w:trHeight w:val="24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 outstanding at March 31, 2022</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w:t>
            </w:r>
          </w:p>
        </w:tc>
        <w:tc>
          <w:tcPr>
            <w:tcW w:w="220" w:type="dxa"/>
            <w:vAlign w:val="bottom"/>
            <w:tcBorders>
              <w:top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warrants of $0 and $1 thousand for the three months ended March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p>
      <w:pPr>
        <w:spacing w:after="0" w:line="221"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43"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542607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3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Agrify Corporation</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income (loss) available for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2023</w:t>
      </w:r>
      <w:r>
        <w:rPr>
          <w:sz w:val="20"/>
          <w:szCs w:val="20"/>
          <w:color w:val="auto"/>
        </w:rPr>
        <w:tab/>
      </w:r>
      <w:r>
        <w:rPr>
          <w:rFonts w:ascii="Times New Roman" w:cs="Times New Roman" w:eastAsia="Times New Roman" w:hAnsi="Times New Roman"/>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19685</wp:posOffset>
            </wp:positionV>
            <wp:extent cx="156019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200"/>
        <w:spacing w:after="0"/>
        <w:tabs>
          <w:tab w:leader="none" w:pos="1640" w:val="left"/>
        </w:tabs>
        <w:rPr>
          <w:sz w:val="20"/>
          <w:szCs w:val="20"/>
          <w:color w:val="auto"/>
        </w:rPr>
      </w:pPr>
      <w:r>
        <w:rPr>
          <w:rFonts w:ascii="Times New Roman" w:cs="Times New Roman" w:eastAsia="Times New Roman" w:hAnsi="Times New Roman"/>
          <w:sz w:val="18"/>
          <w:szCs w:val="18"/>
          <w:color w:val="auto"/>
        </w:rPr>
        <w:t>(10,327)</w:t>
      </w:r>
      <w:r>
        <w:rPr>
          <w:sz w:val="20"/>
          <w:szCs w:val="20"/>
          <w:color w:val="auto"/>
        </w:rPr>
        <w:tab/>
      </w:r>
      <w:r>
        <w:rPr>
          <w:rFonts w:ascii="Times New Roman" w:cs="Times New Roman" w:eastAsia="Times New Roman" w:hAnsi="Times New Roman"/>
          <w:sz w:val="18"/>
          <w:szCs w:val="18"/>
          <w:color w:val="auto"/>
        </w:rPr>
        <w:t>1,780</w:t>
      </w:r>
    </w:p>
    <w:p>
      <w:pPr>
        <w:spacing w:after="0" w:line="41" w:lineRule="exact"/>
        <w:rPr>
          <w:sz w:val="20"/>
          <w:szCs w:val="20"/>
          <w:color w:val="auto"/>
        </w:rPr>
      </w:pPr>
    </w:p>
    <w:p>
      <w:pPr>
        <w:ind w:left="200"/>
        <w:spacing w:after="0"/>
        <w:tabs>
          <w:tab w:leader="none" w:pos="1640" w:val="left"/>
        </w:tabs>
        <w:rPr>
          <w:sz w:val="20"/>
          <w:szCs w:val="20"/>
          <w:color w:val="auto"/>
        </w:rPr>
      </w:pPr>
      <w:r>
        <w:rPr>
          <w:rFonts w:ascii="Times New Roman" w:cs="Times New Roman" w:eastAsia="Times New Roman" w:hAnsi="Times New Roman"/>
          <w:sz w:val="18"/>
          <w:szCs w:val="18"/>
          <w:color w:val="auto"/>
        </w:rPr>
        <w:t>(10,327</w:t>
      </w:r>
      <w:r>
        <w:rPr>
          <w:rFonts w:ascii="Times New Roman" w:cs="Times New Roman" w:eastAsia="Times New Roman" w:hAnsi="Times New Roman"/>
          <w:sz w:val="35"/>
          <w:szCs w:val="35"/>
          <w:color w:val="auto"/>
          <w:vertAlign w:val="superscript"/>
        </w:rPr>
        <w:t>)</w:t>
      </w:r>
      <w:r>
        <w:rPr>
          <w:sz w:val="20"/>
          <w:szCs w:val="20"/>
          <w:color w:val="auto"/>
        </w:rPr>
        <w:tab/>
      </w:r>
      <w:r>
        <w:rPr>
          <w:rFonts w:ascii="Times New Roman" w:cs="Times New Roman" w:eastAsia="Times New Roman" w:hAnsi="Times New Roman"/>
          <w:sz w:val="18"/>
          <w:szCs w:val="18"/>
          <w:color w:val="auto"/>
        </w:rPr>
        <w:t>1,780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-83185</wp:posOffset>
            </wp:positionV>
            <wp:extent cx="156019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3"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1,072,292</w:t>
      </w:r>
      <w:r>
        <w:rPr>
          <w:sz w:val="20"/>
          <w:szCs w:val="20"/>
          <w:color w:val="auto"/>
        </w:rPr>
        <w:tab/>
      </w:r>
      <w:r>
        <w:rPr>
          <w:rFonts w:ascii="Times New Roman" w:cs="Times New Roman" w:eastAsia="Times New Roman" w:hAnsi="Times New Roman"/>
          <w:sz w:val="18"/>
          <w:szCs w:val="18"/>
          <w:color w:val="auto"/>
        </w:rPr>
        <w:t>122,946</w:t>
      </w:r>
    </w:p>
    <w:p>
      <w:pPr>
        <w:spacing w:after="0" w:line="45" w:lineRule="exact"/>
        <w:rPr>
          <w:sz w:val="20"/>
          <w:szCs w:val="20"/>
          <w:color w:val="auto"/>
        </w:rPr>
      </w:pPr>
    </w:p>
    <w:p>
      <w:pPr>
        <w:sectPr>
          <w:pgSz w:w="11900" w:h="16838" w:orient="portrait"/>
          <w:cols w:equalWidth="0" w:num="2">
            <w:col w:w="8340" w:space="720"/>
            <w:col w:w="2180"/>
          </w:cols>
          <w:pgMar w:left="320" w:top="873"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1,072,292</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129,045</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income (loss) per share attributable to Common Stockholders – basic</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14.48</w:t>
            </w:r>
          </w:p>
        </w:tc>
        <w:tc>
          <w:tcPr>
            <w:tcW w:w="100" w:type="dxa"/>
            <w:vAlign w:val="bottom"/>
            <w:tcBorders>
              <w:top w:val="single" w:sz="8" w:color="CCEEFF"/>
            </w:tcBorders>
          </w:tcPr>
          <w:p>
            <w:pPr>
              <w:spacing w:after="0"/>
              <w:rPr>
                <w:sz w:val="17"/>
                <w:szCs w:val="17"/>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 diluted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(9.63</w:t>
            </w:r>
            <w:r>
              <w:rPr>
                <w:rFonts w:ascii="Times New Roman" w:cs="Times New Roman" w:eastAsia="Times New Roman" w:hAnsi="Times New Roman"/>
                <w:sz w:val="29"/>
                <w:szCs w:val="29"/>
                <w:color w:val="auto"/>
                <w:vertAlign w:val="superscript"/>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13.79</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256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45"/>
        </w:trPr>
        <w:tc>
          <w:tcPr>
            <w:tcW w:w="8680" w:type="dxa"/>
            <w:vAlign w:val="bottom"/>
            <w:vMerge w:val="continue"/>
          </w:tcPr>
          <w:p>
            <w:pPr>
              <w:spacing w:after="0"/>
              <w:rPr>
                <w:sz w:val="21"/>
                <w:szCs w:val="21"/>
                <w:color w:val="auto"/>
              </w:rPr>
            </w:pPr>
          </w:p>
        </w:tc>
        <w:tc>
          <w:tcPr>
            <w:tcW w:w="1660" w:type="dxa"/>
            <w:vAlign w:val="bottom"/>
            <w:tcBorders>
              <w:bottom w:val="single" w:sz="8" w:color="auto"/>
            </w:tcBorders>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6,307</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1,495,001</w:t>
            </w: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1,511,870</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during October 2023, and Agrify will be permitted to make responsive filings, which may include an answer and counterclaim.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8"/>
          <w:szCs w:val="18"/>
          <w:i w:val="1"/>
          <w:iCs w:val="1"/>
          <w:color w:val="auto"/>
        </w:rPr>
        <w:t>Bowdoin Construction Corp.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Agrify Corporation, Bud &amp; Mary’s Cultivation, Inc. and BMLC2, LLC</w:t>
      </w:r>
      <w:r>
        <w:rPr>
          <w:rFonts w:ascii="Times New Roman" w:cs="Times New Roman" w:eastAsia="Times New Roman" w:hAnsi="Times New Roman"/>
          <w:sz w:val="18"/>
          <w:szCs w:val="18"/>
          <w:color w:val="auto"/>
        </w:rPr>
        <w:t>, case no. 2382CV00173. The Bowdoin Complaint relates to a construction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17 – Subsequent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Sinclair Scientific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March 31, 2023,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17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Party – Bluezone Products, Inc.</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4D Bios,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 The Company settled all outstanding commitments, leaving no open committed purchases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8 – Debt, included elsewhere in the notes to the consolidated financial statements for details of the Company’s future minimum debt payments. Refer to Note 9 – Leases, included elsewhere in the notes to the consolidated financial statements for details of the Company’s future minimum lease payments under operating and financing lease liabilities. Refer to Note 13 – Income Taxes, included elsewhere in the notes to the consolidated financial statements for information regarding income tax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8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NEIA</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(634)</w:t>
            </w:r>
          </w:p>
        </w:tc>
      </w:tr>
      <w:tr>
        <w:trPr>
          <w:trHeight w:val="216"/>
        </w:trPr>
        <w:tc>
          <w:tcPr>
            <w:tcW w:w="8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(637)</w:t>
            </w:r>
          </w:p>
        </w:tc>
      </w:tr>
      <w:tr>
        <w:trPr>
          <w:trHeight w:val="234"/>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4,951</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March 31,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NEIA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Deficiency Notices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Exchange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26, 2023, the Company entered into a letter agreement with the above referenced accredited lender (the “Letter Agreement”), pursuant to which the Company and the lender agreed to exchange $2.0 million of the remaining outstanding principal amount under the Exchange Note for 445,197 shares of common stock of the Company, subject to a Beneficial Ownership Limitation of 4.99% of the Company’s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Discontinuance of the ATM Program</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ATM Program was discontinued after April 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 of Common Stock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issued 1,338,462 common stock warrants in conjunction with the Company’s public offering from December, 2022. On April 18, 2023, the Company undertook a warrant exercise inducement program, which it later cancelled. As a result, the warrant exercise price was reduced from $13.00 per share to $3.45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May 23, 2023, the Company extended its lease by three years until July 31, 2026, for the premises located at 2625 S. Santa Fe Dr., Bldg. 1, Units 1H and 1IJ.</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Molding Modification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 respectively. Following the November 1, 2023 payment, the Company will be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27, 2023, the Company entered into a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lender under the terms of the Letter Agreement for a warrant to purchase 375,629 shares of common stock (the “Abeyance Warrant”).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the Company’s Chief Executive Officer, purchased the Exchange Note and the Convertible Note from their holder.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Amendment and Secured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(the “Note”) in favor of GIC Acquisition, LLC (“GIC”), an entity that is managed by Raymond Chang, the Company’s Chairman and Chief Executive Officer, with an original principal amount of up to $500,000. On October 27, 2023, GIC and the Company amended and restated the Note (the “Restated Note”). Pursuant to the terms of the Restated Note, the Maturity Date was extended until December 31, 2023 and the Company granted a security interest in the Company’s assets that ranks junior to the Exchange Note and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Restated Note, the Company issued a junior secured promissory note (the “Junior Secured Note”) to the New Lender. Pursuant to the Junior Secured Note, the New Lender will lend up to $3,000,000 to the Company. The Junior Secured Note bears interest at a rate of 10% per annum, will mature in full on December 31, 2023, and may be prepaid without any fee or penalty. The Junior Secured Note is a secured obligation of the Company that ranks junior to the Exchange Note and the Convertible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2022 filed with the Securities and Exchange Commission on November 27, 2023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factors described in our Annual Report on Form 10-K in the section entitled “Risk Factors” in the Annual Report on Form 10-K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provides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Billerica, Massachusetts. We also lease properties located within various geographic regions in which we conduct business, including Colorado, Georgia, Massachusetts, Michigan, and Oregon.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12, 2021, we effected a 1-for-1.581804 reverse stock split on our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us from the private placement were approximately $27.3 million, before deducting the placement agent’s fees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our intangible assets assuming no residual value over periods in which the economic benefit of these assets is consumed.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an accredited investor (the “Investor”),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Investor to amend its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the Exchange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Additional information regarding our August 2022 Warrants may be found in Note 1 – Overview, Basis of Presentation and Significant Accounting Policies and Note 4 – Fair Value Measures, included in the notes to the condensed consolidated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ours and ranks senior to all indebtedness of ours.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us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holder can elect to redeem the Exchange Note for cash equal to 115% of the then-outstanding principal amount of the Note (or such lesser principal amount accelerated by the holder),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holder’s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holder’s election. Until we completed a qualified equity financing of at least $15.0 million, which requirement was satisfied with sales under the at-the-market continuous equity offering (“ATM” or “ATM Program”), the Note Exchange Warrant’s exercise price would have been reduced to the extent we issued securities for a lower purchase price. The Note Exchange Warrant also prohibited us, until following the completion of such qualified equity financing, from issuing warrants with more favorable or preferential terms and/or provisions.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each provide that in no event will the number of shares of Common Stock issued upon exercise of such warrants result in the holder’s beneficial ownership exceeding 4.99% of our shares of Common Stock outstanding at the time of exercise (which percentage may be decreased or increased by the holder, but to no greater than 9.99). Additionally, the August 2022 Warrants could not be exercised for more than an aggregate of 26,542 shares of Common Stock unless and until shareholder approval is obtained, which approval was obtained on October 14,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2023 Securities Exchange Agreement</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March 9, 2023 we entered into senior note with High Trail Special Situations LLC (“Holder”). for value received, promises to pay to High Trail Special Situations LLC (the “Initial Holder”), or its registered assigns, the principal sum of ten million dollars ($10,000,000) (such principal sum, the “Principal Amount”) on August 19, 2025, and to pay any outstanding interest thereon, as provided in this Note, in each case as provided in and subject to the other provisions of this Note, including the earlier redemption, repurchase or conversion of this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Second Amendment</w:t>
      </w:r>
      <w:r>
        <w:rPr>
          <w:rFonts w:ascii="Times New Roman" w:cs="Times New Roman" w:eastAsia="Times New Roman" w:hAnsi="Times New Roman"/>
          <w:sz w:val="18"/>
          <w:szCs w:val="18"/>
          <w:color w:val="auto"/>
        </w:rPr>
        <w:t>”) with the High Trail Special Situations LLC. Pursuant to the Exchange Agreement, at closing the Company will prepay approximately $10.3 million in principal amount under the August 2022 Note and exchange $10.0 in principal amount of the remaining balance of the August 2022 Note for a new senior secured convertible note (the “</w:t>
      </w:r>
      <w:r>
        <w:rPr>
          <w:rFonts w:ascii="Times New Roman" w:cs="Times New Roman" w:eastAsia="Times New Roman" w:hAnsi="Times New Roman"/>
          <w:sz w:val="18"/>
          <w:szCs w:val="18"/>
          <w:u w:val="single" w:color="auto"/>
          <w:color w:val="auto"/>
        </w:rPr>
        <w:t>Convertible Note</w:t>
      </w:r>
      <w:r>
        <w:rPr>
          <w:rFonts w:ascii="Times New Roman" w:cs="Times New Roman" w:eastAsia="Times New Roman" w:hAnsi="Times New Roman"/>
          <w:sz w:val="18"/>
          <w:szCs w:val="18"/>
          <w:color w:val="auto"/>
        </w:rPr>
        <w:t>”) with an original principal amount of $10.0 million. After the closing of the Exchange Agreement, the August 2022 Note will remain outstanding with a remaining balance of $11.7 million (the “Modified August 2022 Note” and, collectively with the Convertible Note, the “Notes”).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4" w:name="page55"/>
    <w:bookmarkEnd w:id="5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determined the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$170,974 for the three months ended March 31, 2023. Accrued interest totaled $170,974 as of March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Marketing Offering</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 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5" w:name="page56"/>
    <w:bookmarkEnd w:id="55"/>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our Common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our Chairman and CEO, participated in the Offering and purchased 115,385 shares of Common Stock and 230,769 warrants for an aggregate purchase price of approximately $1.5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to us from the Offering of approximately $8.7 million including offering costs of approximately $0.5 million for broker fees and legal expenses, for net proceeds of $8.2 million. We intend to use the net proceeds from the Offering, together with its existing cash resources, for working capital and general corporate purposes, which may include capital expenditures and repayment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coronavirus pandemic (“COVID-19”)</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extensive impact of the pandemic caused by COVID-19 has resulted and will likely continue to result in significant disruptions to the global economy, as well as businesses and capital markets around the world. In an effort to halt the outbreak of COVID-19, a number of countries, states, counties, and other jurisdictions have imposed, and may impose in the future, various measures, including but not limited to, voluntary and mandatory quarantines, stay-at-home orders, travel restrictions, limitations on gatherings of people, reduced operations, and extended closures of businesses.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date, although all of our operations are functioning, COVID-19 has continued to cause some disruptions to our business, such as some temporary delays in the delivery of our inventory. Although the ability of our suppliers to timely ship their goods has affected some of our deliveries, currently the difficulties experienced by our suppliers have not yet materially impacted our ability to deliver products to our customers. However, if this continues, it may negatively affect any inventory we may have and more significantly delay the delivery of merchandise to our customers, which in turn will adversely affect our revenues and results of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March 31, 2023 and 2022, we did not have any such financial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8" w:name="page59"/>
    <w:bookmarkEnd w:id="5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 There have been no impairment charges recorded for three months ended March 31, 2023 and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200" w:lineRule="exact"/>
        <w:rPr>
          <w:sz w:val="20"/>
          <w:szCs w:val="20"/>
          <w:color w:val="auto"/>
        </w:rPr>
      </w:pPr>
    </w:p>
    <w:p>
      <w:pPr>
        <w:spacing w:after="0" w:line="20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2023 and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2023 and 2022: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(including $46 and $863 from related parties, respectively)</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4,816</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21,851</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6,931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(684)</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(7,584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(9,763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w:t>
            </w:r>
          </w:p>
        </w:tc>
        <w:tc>
          <w:tcPr>
            <w:tcW w:w="32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10,785</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320" w:type="dxa"/>
            <w:vAlign w:val="bottom"/>
          </w:tcPr>
          <w:p>
            <w:pPr>
              <w:spacing w:after="0"/>
              <w:rPr>
                <w:sz w:val="20"/>
                <w:szCs w:val="20"/>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income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(10,327)</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attributable to non-controlling interest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8"/>
        </w:trPr>
        <w:tc>
          <w:tcPr>
            <w:tcW w:w="8680" w:type="dxa"/>
            <w:vAlign w:val="bottom"/>
            <w:tcBorders>
              <w:top w:val="single" w:sz="8" w:color="CCEEFF"/>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attributable to Agrify Corporation</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20" w:type="dxa"/>
            <w:vAlign w:val="bottom"/>
            <w:tcBorders>
              <w:top w:val="single" w:sz="8" w:color="CCEEFF"/>
              <w:bottom w:val="single" w:sz="8" w:color="CCEEFF"/>
            </w:tcBorders>
          </w:tcPr>
          <w:p>
            <w:pPr>
              <w:spacing w:after="0"/>
              <w:rPr>
                <w:sz w:val="24"/>
                <w:szCs w:val="24"/>
                <w:color w:val="auto"/>
              </w:rPr>
            </w:pPr>
          </w:p>
        </w:tc>
        <w:tc>
          <w:tcPr>
            <w:tcW w:w="8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income per share attributable to Common Stockholders – basic</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 per share attributable to Common Stockholders – diluted</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gridSpan w:val="2"/>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tcBorders>
              <w:bottom w:val="single" w:sz="8" w:color="CCEEFF"/>
            </w:tcBorders>
            <w:vMerge w:val="continue"/>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 average common shares outstanding - basic (1)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122,946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 (1)</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gridSpan w:val="2"/>
            <w:vMerge w:val="continue"/>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1,072,292</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129,045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monitor and address COVID-19 pandemic impacts on our supply chain. Although the availability of various products is dependent on our suppliers, their locations, and the extent to which they are impacted by the COVID-19 pandemic, we are proactively working with manufacturers to meet the needs of our customers during the pandemic. Product shortages have generally led to increases in prices globally, with significant impacts to sales and interim profits.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 an integrated ecosystem which allows us to be engaged with our potential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months ended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decreased by $20.2 million, or 78% for the three months ended March 31, 2023 compared to the same period in 2022. The comparative decrease in revenue was generated primarily from decreases in revenue from factory build-outs and extraction solutions. Extraction division revenues totaled $5.0 million in the first quarter of 2023. Additionally, design and build revenues decreased by $12.6 million due to the continued build-out of facilities under our TTK 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months ended March 31,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Cultivation solutions, including ancillary products and services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(12,356)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(4,807)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0"/>
        </w:trPr>
        <w:tc>
          <w:tcPr>
            <w:tcW w:w="59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decreased by $17.0 million, or 78%, for the three months ended March 31, 2023 compared to the same period in 2022. The comparative quarterly decrease in cost of goods sold is associated with decreases in cost of goods sold related to factory build-outs and extraction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gridSpan w:val="6"/>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7"/>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20" w:type="dxa"/>
            <w:vAlign w:val="bottom"/>
            <w:gridSpan w:val="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3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988</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55"/>
        </w:trPr>
        <w:tc>
          <w:tcPr>
            <w:tcW w:w="3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63" w:name="page64"/>
    <w:bookmarkEnd w:id="6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Gross profit totaled $1.0 million, or 17.0% of total revenue during the three months ended March 31, 2023 compared to a gross loss of $4.2 million, or 16.0% of total revenue during the three months ended March 31, 2022. The comparative $3.2 million first-quarter year over year decrease in gross profit, as well as the comparative decrease in gross profit margin, is primarily attributable to a smaller decrease in costs of goods sold relative to the decrease in revenue for the period. During the first quarter of 2023, we realized a gross profit margin of 28% associated with our extraction solutions revenue, while we realized a gross profit margin of approximately (215)% on our cultivation-related revenues.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 forward-looking basis, with the full year benefit of anticipated margin contribution associated with the extraction-related revenue contributions, the Company anticipates that gross margin performance, aided by our extraction-related equipment sales, will be in a mid-teens range. We anticipate that we will be able to improve upon that expected gross profit margin performance once we are able to generate meaningful software and production fee revenues from our TTK Solutions, which we currently expect to begin in the late third or early fourth quarter of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G&amp;A expense decreased by $2.8 million, or 29%, for the three months ended March 31, 2023, compared to the same period in 2022. The decrease is attributable to payroll, benefits and related expenses decrease of $1.3 million, a decrease in acquisition-related expenses of $1.3 million, an increase in consulting and other related expenses of $652 thousand, a decrease in insurance expenses of $207 thousand, a decrease in depreciation and amortization of $639 thousand.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decreased by $0.5 million, or 24%, for the three months ended March 31, 2023, compared to the same period in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is attributable to a decrease in payroll, advertising and trade show expenses, along with an increase in travel and other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software and next generation VFUs, which includes: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next generation VFUs;</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R&amp;D expense decreased by $$1.3 million, or 65%, for the three months ended March 31, 2023, compared to the same period in 2022. The decrease is attributable to the personnel and facility costs associated with the continued development of our VFUs, specifically related to improving the individual unit cooling and humidity environments.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continue to invest in future developments of our VFUs, Agrify Insights software and our extraction products. As a percentage of net revenue, R&amp;D expenses were 12.7% of total revenue for the three months ended March 31, 2023, compared to 8.0% for the three months ended March 31, 2022.</w:t>
      </w:r>
    </w:p>
    <w:p>
      <w:pPr>
        <w:sectPr>
          <w:pgSz w:w="11900" w:h="16838" w:orient="portrait"/>
          <w:cols w:equalWidth="0" w:num="1">
            <w:col w:w="11240"/>
          </w:cols>
          <w:pgMar w:left="320" w:top="877"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286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8"/>
        </w:trPr>
        <w:tc>
          <w:tcPr>
            <w:tcW w:w="240" w:type="dxa"/>
            <w:vAlign w:val="bottom"/>
            <w:tcBorders>
              <w:top w:val="single" w:sz="8" w:color="auto"/>
            </w:tcBorders>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(799)</w:t>
            </w:r>
          </w:p>
        </w:tc>
        <w:tc>
          <w:tcPr>
            <w:tcW w:w="220" w:type="dxa"/>
            <w:vAlign w:val="bottom"/>
          </w:tcPr>
          <w:p>
            <w:pPr>
              <w:spacing w:after="0"/>
              <w:rPr>
                <w:sz w:val="17"/>
                <w:szCs w:val="17"/>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559</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(1,358)</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(243)</w:t>
            </w:r>
          </w:p>
        </w:tc>
        <w:tc>
          <w:tcPr>
            <w:tcW w:w="2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(4,620)</w:t>
            </w: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2,672</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10,785</w:t>
            </w:r>
          </w:p>
        </w:tc>
        <w:tc>
          <w:tcPr>
            <w:tcW w:w="16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(8,113)</w:t>
            </w: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41"/>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11,344</w:t>
            </w:r>
          </w:p>
        </w:tc>
        <w:tc>
          <w:tcPr>
            <w:tcW w:w="2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-496570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-205105</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-788035</wp:posOffset>
            </wp:positionV>
            <wp:extent cx="71323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20" w:space="720"/>
            <w:col w:w="5300"/>
          </w:cols>
          <w:pgMar w:left="320" w:top="877" w:right="3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Interest income (expense), net decreased by $1.4 million, or 243%, for the three months ended March 31, 2023, compared to the same period in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in interest income is attributable mainly to decreases in interest from marketable securities and interest income from TTK Solutions.</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fair value of warrant liabilities during the three months ended March 31, 2023 is related to the fair value remeasurement of warrants issued during March, August, and December,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Attributable to Non-Controlling Interest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2023, our principal sources of liquidity were cash and cash equivalents and marketable securities totaling $1.5 million and $— million in restricted cash.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We anticipate that we will allocate a significant portion of our current balance of working capital to satisfy the financing requirements of our current and future TTK arrangements. These arrangements require a significant amount of upfront capital necessary to fund construction, associated with facility build-outs, and equipment.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an institutional investor.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three months ended March 31,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(30,875)</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9,795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(13,365)</w:t>
            </w: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(9,307)</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87,431</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43,191</w:t>
            </w:r>
          </w:p>
        </w:tc>
        <w:tc>
          <w:tcPr>
            <w:tcW w:w="100" w:type="dxa"/>
            <w:vAlign w:val="bottom"/>
            <w:tcBorders>
              <w:top w:val="single" w:sz="8" w:color="CCEEFF"/>
            </w:tcBorders>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we incurred a net loss of $10.3 million, which included $0.4 million related to depreciation and amortization, $— related to amortization of debt issuance costs, $0.9 of stock based compensation expense, and $2.7 related to the change in fair value of warrant liabilities. Net cash was reduced by changes in operating assets and liabilities of $2.6 million.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2022, we recorded net income of $1.8 million, which included a non-cash gain related to the remeasurement of warrant liabilities of $10.8 million, non-cash expenses of $1.1 million related to depreciation and amortization, $1.0 million in connection with the issuance and acceleration of stock options, debt issuance costs of $2.7 million, non-cash interest income of $0.4 million related to TTK Solutions, and gain attributed to non-controlling interest in the amount of $1 thousand. Net cash was reduced by a $0.8 million increase in accounts receivable, a $2.4 million decrease in deferred revenue, a $16.4 million increase in inventory due to demand forecast, and a $3.0 million increase in prepaid expenses, a $2.1 million increase in accrued expenses and other current liabilities and $2.8 million decrease in accounts payable.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provided by investing activities was $9.8 million, which included cash outflows of $0.1 million in net purchases of property, plant and equipment and $0.6 in issuances of notes receivable and cash inflows of $10.4 million related to proceeds from sales of securities.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investing activities was $13.4 million, which included cash outflows of $6.4 million in net purchases of marketable securities, $3.5 million paid in connection with our 2022 acquisitions of Lab Society, $12.5 million related to the issuance of TTK-related loans receivable, and $3.7 million of expenditures for property and equipment.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2023, net cash used in financing activities was $9.3 million. Net cash used in financing activities was primarily driven by repayments of notes payable of $10.7 million, proceeds from at-the-market offerings of $1.5 million, and proceeds from ESPP shares of $0.03 million.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2022, net cash provided by financing activities was $87.4 million. Net cash provided by financing activities was primarily driven by the Company’s two private placements during 2022. The Company received $65.0 million in net proceeds from our issuance of debt and warrants in a private placement, and $25.8 million in net proceeds from our issuance of Common Stock and warrants in a private placement. Additionally, the Company received $11 thousand in proceeds from the exercise of stock options and warrants. Each of the above inflows of cash was offset by $81 thousand in payments relating to financing leases.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 I, Item, 2, “Management’s Discussion and Analysis of Financial Condition and Results of Operations” discusses our consolidated financial statements, which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1 - Overview, Basis of Presentation and Significant Accounting Policies included in our 2022 Annual Report and Note 1 - Overview, Basis of Presentation and Significant Accounting Policies to our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recently issued accounting pronouncements are included within Note 1 - Overview, Basis of Presentation and Significant Accounting Policies, included elsewhere in the notes to consolidated financial statements covered under Part I, Item 1 of this Quarterly Report on Form 10-Q.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more information on new accounting pronouncements not yet adopted are included within Note 1 - Overview, Basis of Presentation and Significant Accounting Policies, included elsewhere in the notes to consolidated financial statements covered under Part I, Item 1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the Company is not required to provide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March 31, 2023. Based on this evaluation, our Chief Executive Officer concluded that, due to the material weaknesses in our internal control over financial reporting previously identified in Item 9A, “Controls and Procedures” of our Annual Report on Form 10-K for the fiscal year ended December 31, 2022 and filed with the SEC on November 27, 2023, our disclosure controls and procedures were not effective at the reasonable assurance level as of March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additional qualified personnel, further documentation and implementation of control procedures and the implementation of control monitoring. Other than those measures, there have been no changes in our internal control over financial reporting (as such term is defined in Rules 13a-15(f) and 15d-15(f) under the Exchange Act) during the quarter ended March 31, 2023 that have materially affected, or are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Proceedings in Note 15 - Commitments and Contingencies to our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Certified of Amendment to the Articles of Incorporation of the Registrant, filed October 17, 2022 (incorporated by reference to Exhibit 3.1</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to the Registrant’s Current Report on Form 8-K filed with the Securities and Exchange Commission on October 17,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Securities and Exchange Commission on August 19, 2022).</w:t>
              </w:r>
            </w:hyperlink>
          </w:p>
        </w:tc>
        <w:tc>
          <w:tcPr>
            <w:tcW w:w="5780" w:type="dxa"/>
            <w:vAlign w:val="bottom"/>
            <w:tcBorders>
              <w:top w:val="single" w:sz="8" w:color="0000EE"/>
              <w:bottom w:val="single" w:sz="8" w:color="CCEEFF"/>
            </w:tcBorders>
            <w:gridSpan w:val="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Warrant Exchange Note (incorporated by reference to Exhibit 4.2 to the Registrant’s Current Report on Form 8-K filed with the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Securities and Exchange Commission on August 19,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Note Exchange Note (incorporated by reference to Exhibit 4.3 to the Registrant’s Current Report on Form 8-K filed with the</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Securities and Exchange Commission on August 19, 2022).</w:t>
              </w:r>
            </w:hyperlink>
          </w:p>
        </w:tc>
        <w:tc>
          <w:tcPr>
            <w:tcW w:w="580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 to</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4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bottom w:val="single" w:sz="8" w:color="0000EE"/>
            </w:tcBorders>
            <w:gridSpan w:val="10"/>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Exchange Agreement, dated as of August 18, 2022, between Agrify Corporation and the investor listed therein (incorporated by reference</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to Exhibit 10.1 to the Registrant’s Current Report on Form 8-K filed with the Securities and Exchange Commission on August 19, 2022).</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bottom w:val="single" w:sz="8" w:color="0000EE"/>
            </w:tcBorders>
            <w:gridSpan w:val="10"/>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 18,</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30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2022).</w:t>
              </w:r>
            </w:hyperlink>
          </w:p>
        </w:tc>
        <w:tc>
          <w:tcPr>
            <w:tcW w:w="2300" w:type="dxa"/>
            <w:vAlign w:val="bottom"/>
            <w:tcBorders>
              <w:top w:val="single" w:sz="8" w:color="0000EE"/>
            </w:tcBorders>
            <w:shd w:val="clear" w:color="auto" w:fill="CCEEFF"/>
          </w:tcPr>
          <w:p>
            <w:pPr>
              <w:spacing w:after="0"/>
              <w:rPr>
                <w:sz w:val="17"/>
                <w:szCs w:val="17"/>
                <w:color w:val="auto"/>
              </w:rPr>
            </w:pPr>
          </w:p>
        </w:tc>
        <w:tc>
          <w:tcPr>
            <w:tcW w:w="760" w:type="dxa"/>
            <w:vAlign w:val="bottom"/>
            <w:tcBorders>
              <w:top w:val="single" w:sz="8" w:color="0000EE"/>
            </w:tcBorders>
            <w:shd w:val="clear" w:color="auto" w:fill="CCEEFF"/>
          </w:tcPr>
          <w:p>
            <w:pPr>
              <w:spacing w:after="0"/>
              <w:rPr>
                <w:sz w:val="17"/>
                <w:szCs w:val="17"/>
                <w:color w:val="auto"/>
              </w:rPr>
            </w:pPr>
          </w:p>
        </w:tc>
        <w:tc>
          <w:tcPr>
            <w:tcW w:w="100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10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101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 and principal financial and accounting officer</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 and principal financial and accounting officer</w:t>
            </w:r>
          </w:p>
        </w:tc>
        <w:tc>
          <w:tcPr>
            <w:tcW w:w="2740" w:type="dxa"/>
            <w:vAlign w:val="bottom"/>
            <w:tcBorders>
              <w:bottom w:val="single" w:sz="8" w:color="CCEEFF"/>
            </w:tcBorders>
            <w:gridSpan w:val="6"/>
            <w:shd w:val="clear" w:color="auto" w:fill="CCEEFF"/>
          </w:tcPr>
          <w:p>
            <w:pPr>
              <w:spacing w:after="0"/>
              <w:rPr>
                <w:sz w:val="17"/>
                <w:szCs w:val="17"/>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520" w:firstLine="8"/>
        <w:spacing w:after="0" w:line="490" w:lineRule="auto"/>
        <w:tabs>
          <w:tab w:leader="none" w:pos="11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March 31, 2023;</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Amendment No. 1 to the Quarterly Report on Form 10-Q of Agrify Corporation (the “Company”) for the quarterly period ended March 31, 2023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27, 2023</w:t>
            </w: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20" w:type="dxa"/>
            <w:vAlign w:val="bottom"/>
          </w:tcPr>
          <w:p>
            <w:pPr>
              <w:spacing w:after="0"/>
              <w:rPr>
                <w:sz w:val="18"/>
                <w:szCs w:val="18"/>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3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34"/>
        </w:trPr>
        <w:tc>
          <w:tcPr>
            <w:tcW w:w="43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amp;"/>
      <w:numFmt w:val="bullet"/>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emdash "/>
      <w:numFmt w:val="bullet"/>
      <w:start w:val="1"/>
    </w:lvl>
    <w:lvl w:ilvl="1">
      <w:lvlJc w:val="left"/>
      <w:lvlText w:val="6"/>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04"/>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96" Type="http://schemas.openxmlformats.org/officeDocument/2006/relationships/hyperlink" Target="http://www.sec.gov/Archives/edgar/data/1800637/000121390022039420/ea162872ex3-1_agrify.htm" TargetMode="External"/><Relationship Id="rId97" Type="http://schemas.openxmlformats.org/officeDocument/2006/relationships/hyperlink" Target="http://www.sec.gov/Archives/edgar/data/1800637/000121390022064269/ea167213ex3-1agrifycorp.htm" TargetMode="External"/><Relationship Id="rId98" Type="http://schemas.openxmlformats.org/officeDocument/2006/relationships/hyperlink" Target="http://www.sec.gov/Archives/edgar/data/1800637/000121390022049494/ea164681ex4-1_agrify.htm" TargetMode="External"/><Relationship Id="rId99" Type="http://schemas.openxmlformats.org/officeDocument/2006/relationships/hyperlink" Target="http://www.sec.gov/Archives/edgar/data/1800637/000121390022049494/ea164681ex4-2_agrify.htm" TargetMode="External"/><Relationship Id="rId100" Type="http://schemas.openxmlformats.org/officeDocument/2006/relationships/hyperlink" Target="http://www.sec.gov/Archives/edgar/data/1800637/000121390022049494/ea164681ex4-3_agrify.htm" TargetMode="External"/><Relationship Id="rId101" Type="http://schemas.openxmlformats.org/officeDocument/2006/relationships/hyperlink" Target="http://www.sec.gov/Archives/edgar/data/1800637/000121390022039420/ea162872ex10-2_agrify.htm" TargetMode="External"/><Relationship Id="rId102" Type="http://schemas.openxmlformats.org/officeDocument/2006/relationships/hyperlink" Target="http://www.sec.gov/Archives/edgar/data/1800637/000121390022039420/ea162872ex10-1_agrify.htm" TargetMode="External"/><Relationship Id="rId103" Type="http://schemas.openxmlformats.org/officeDocument/2006/relationships/hyperlink" Target="http://www.sec.gov/Archives/edgar/data/1800637/000121390022049494/ea164681ex10-1_agrify.htm" TargetMode="External"/><Relationship Id="rId104" Type="http://schemas.openxmlformats.org/officeDocument/2006/relationships/hyperlink" Target="http://www.sec.gov/Archives/edgar/data/1800637/000121390022064592/ea167238ex1-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2023-11-28T06:52:53Z</dcterms:created>
  <dcterms:modified xsi:type="dcterms:W3CDTF">2023-11-28T06:52:53Z</dcterms:modified>
</cp:coreProperties>
</file>