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4"/>
          <w:szCs w:val="24"/>
          <w:color w:val="auto"/>
        </w:rPr>
      </w:pPr>
    </w:p>
    <w:p>
      <w:pPr>
        <w:jc w:val="center"/>
        <w:ind w:left="3880" w:right="940" w:hanging="2932"/>
        <w:spacing w:after="0" w:line="500" w:lineRule="auto"/>
        <w:tabs>
          <w:tab w:leader="none" w:pos="115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June 30, 2023</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jc w:val="center"/>
        <w:ind w:left="3500" w:right="940" w:hanging="2559"/>
        <w:spacing w:after="0" w:line="500" w:lineRule="auto"/>
        <w:tabs>
          <w:tab w:leader="none" w:pos="1139"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 to _________</w:t>
      </w:r>
    </w:p>
    <w:p>
      <w:pPr>
        <w:spacing w:after="0" w:line="1" w:lineRule="exact"/>
        <w:rPr>
          <w:rFonts w:ascii="MS PGothic" w:cs="MS PGothic" w:eastAsia="MS PGothic" w:hAnsi="MS PGothic"/>
          <w:sz w:val="18"/>
          <w:szCs w:val="18"/>
          <w:color w:val="auto"/>
          <w:highlight w:val="black"/>
        </w:rPr>
      </w:pP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001-39946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3142615</wp:posOffset>
            </wp:positionH>
            <wp:positionV relativeFrom="paragraph">
              <wp:posOffset>156845</wp:posOffset>
            </wp:positionV>
            <wp:extent cx="822960" cy="677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2960" cy="677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5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5500" w:type="dxa"/>
            <w:vAlign w:val="bottom"/>
          </w:tcPr>
          <w:p>
            <w:pPr>
              <w:jc w:val="right"/>
              <w:ind w:right="2230"/>
              <w:spacing w:after="0"/>
              <w:rPr>
                <w:sz w:val="20"/>
                <w:szCs w:val="20"/>
                <w:color w:val="auto"/>
              </w:rPr>
            </w:pPr>
            <w:r>
              <w:rPr>
                <w:rFonts w:ascii="Times New Roman" w:cs="Times New Roman" w:eastAsia="Times New Roman" w:hAnsi="Times New Roman"/>
                <w:sz w:val="18"/>
                <w:szCs w:val="18"/>
                <w:b w:val="1"/>
                <w:bCs w:val="1"/>
                <w:color w:val="auto"/>
              </w:rPr>
              <w:t>30-0943453</w:t>
            </w:r>
          </w:p>
        </w:tc>
      </w:tr>
      <w:tr>
        <w:trPr>
          <w:trHeight w:val="234"/>
        </w:trPr>
        <w:tc>
          <w:tcPr>
            <w:tcW w:w="5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(State or other jurisdiction of incorporation or organization)</w:t>
            </w:r>
          </w:p>
        </w:tc>
        <w:tc>
          <w:tcPr>
            <w:tcW w:w="220" w:type="dxa"/>
            <w:vAlign w:val="bottom"/>
          </w:tcPr>
          <w:p>
            <w:pPr>
              <w:spacing w:after="0"/>
              <w:rPr>
                <w:sz w:val="20"/>
                <w:szCs w:val="20"/>
                <w:color w:val="auto"/>
              </w:rPr>
            </w:pPr>
          </w:p>
        </w:tc>
        <w:tc>
          <w:tcPr>
            <w:tcW w:w="55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(I.R.S. Employer Identification No.)</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2468 Industrial Row Dr.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Troy, Michigan 48084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(855) 420-0020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phone number, including area code)</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60" w:type="dxa"/>
            <w:vAlign w:val="bottom"/>
          </w:tcPr>
          <w:p>
            <w:pPr>
              <w:spacing w:after="0"/>
              <w:rPr>
                <w:sz w:val="20"/>
                <w:szCs w:val="20"/>
                <w:color w:val="auto"/>
              </w:rPr>
            </w:pPr>
          </w:p>
        </w:tc>
      </w:tr>
      <w:tr>
        <w:trPr>
          <w:trHeight w:val="459"/>
        </w:trPr>
        <w:tc>
          <w:tcPr>
            <w:tcW w:w="4620" w:type="dxa"/>
            <w:vAlign w:val="bottom"/>
            <w:gridSpan w:val="3"/>
          </w:tcPr>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16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0"/>
        </w:trPr>
        <w:tc>
          <w:tcPr>
            <w:tcW w:w="3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920" w:type="dxa"/>
            <w:vAlign w:val="bottom"/>
            <w:tcBorders>
              <w:top w:val="single" w:sz="8" w:color="auto"/>
            </w:tcBorders>
            <w:shd w:val="clear" w:color="auto" w:fill="CCEEFF"/>
          </w:tcPr>
          <w:p>
            <w:pPr>
              <w:jc w:val="center"/>
              <w:ind w:right="470"/>
              <w:spacing w:after="0"/>
              <w:rPr>
                <w:sz w:val="20"/>
                <w:szCs w:val="20"/>
                <w:color w:val="auto"/>
              </w:rPr>
            </w:pPr>
            <w:r>
              <w:rPr>
                <w:rFonts w:ascii="Times New Roman" w:cs="Times New Roman" w:eastAsia="Times New Roman" w:hAnsi="Times New Roman"/>
                <w:sz w:val="18"/>
                <w:szCs w:val="18"/>
                <w:color w:val="auto"/>
                <w:w w:val="97"/>
              </w:rPr>
              <w:t>AGFY</w:t>
            </w:r>
          </w:p>
        </w:tc>
        <w:tc>
          <w:tcPr>
            <w:tcW w:w="24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NASDAQ Capital Market</w:t>
            </w:r>
          </w:p>
        </w:tc>
      </w:tr>
    </w:tbl>
    <w:p>
      <w:pPr>
        <w:spacing w:after="0" w:line="198"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35"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21" w:lineRule="exact"/>
        <w:rPr>
          <w:sz w:val="24"/>
          <w:szCs w:val="24"/>
          <w:color w:val="auto"/>
        </w:rPr>
      </w:pPr>
    </w:p>
    <w:p>
      <w:pPr>
        <w:ind w:left="10180"/>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277"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21"/>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Accelerated filer</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100" w:type="dxa"/>
            <w:vAlign w:val="bottom"/>
          </w:tcPr>
          <w:p>
            <w:pPr>
              <w:ind w:left="1440"/>
              <w:spacing w:after="0" w:line="181" w:lineRule="exact"/>
              <w:rPr>
                <w:sz w:val="20"/>
                <w:szCs w:val="20"/>
                <w:color w:val="auto"/>
              </w:rPr>
            </w:pPr>
            <w:r>
              <w:rPr>
                <w:rFonts w:ascii="MS PGothic" w:cs="MS PGothic" w:eastAsia="MS PGothic" w:hAnsi="MS PGothic"/>
                <w:sz w:val="18"/>
                <w:szCs w:val="18"/>
                <w:color w:val="auto"/>
              </w:rPr>
              <w:t>☒</w:t>
            </w: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30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Emerging growth company</w:t>
            </w:r>
          </w:p>
        </w:tc>
        <w:tc>
          <w:tcPr>
            <w:tcW w:w="1420" w:type="dxa"/>
            <w:vAlign w:val="bottom"/>
          </w:tcPr>
          <w:p>
            <w:pPr>
              <w:ind w:left="12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5"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84" w:lineRule="exact"/>
        <w:rPr>
          <w:sz w:val="24"/>
          <w:szCs w:val="24"/>
          <w:color w:val="auto"/>
        </w:rPr>
      </w:pPr>
    </w:p>
    <w:p>
      <w:pPr>
        <w:jc w:val="right"/>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the number of shares outstanding of each of the issuer’s classes of common stock, as of the latest practicable date.</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65"/>
        </w:trPr>
        <w:tc>
          <w:tcPr>
            <w:tcW w:w="58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Class</w:t>
            </w:r>
          </w:p>
        </w:tc>
        <w:tc>
          <w:tcPr>
            <w:tcW w:w="5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Outstanding as of October 19, 2023</w:t>
            </w:r>
          </w:p>
        </w:tc>
      </w:tr>
      <w:tr>
        <w:trPr>
          <w:trHeight w:val="209"/>
        </w:trPr>
        <w:tc>
          <w:tcPr>
            <w:tcW w:w="56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20" w:type="dxa"/>
            <w:vAlign w:val="bottom"/>
            <w:tcBorders>
              <w:top w:val="single" w:sz="8" w:color="CCEEFF"/>
            </w:tcBorders>
            <w:shd w:val="clear" w:color="auto" w:fill="CCEEFF"/>
          </w:tcPr>
          <w:p>
            <w:pPr>
              <w:spacing w:after="0"/>
              <w:rPr>
                <w:sz w:val="18"/>
                <w:szCs w:val="18"/>
                <w:color w:val="auto"/>
              </w:rPr>
            </w:pPr>
          </w:p>
        </w:tc>
        <w:tc>
          <w:tcPr>
            <w:tcW w:w="5380" w:type="dxa"/>
            <w:vAlign w:val="bottom"/>
            <w:tcBorders>
              <w:top w:val="single" w:sz="8" w:color="auto"/>
            </w:tcBorders>
            <w:shd w:val="clear" w:color="auto" w:fill="CCEEFF"/>
          </w:tcPr>
          <w:p>
            <w:pPr>
              <w:jc w:val="right"/>
              <w:ind w:right="2230"/>
              <w:spacing w:after="0"/>
              <w:rPr>
                <w:sz w:val="20"/>
                <w:szCs w:val="20"/>
                <w:color w:val="auto"/>
              </w:rPr>
            </w:pPr>
            <w:r>
              <w:rPr>
                <w:rFonts w:ascii="Times New Roman" w:cs="Times New Roman" w:eastAsia="Times New Roman" w:hAnsi="Times New Roman"/>
                <w:sz w:val="18"/>
                <w:szCs w:val="18"/>
                <w:color w:val="auto"/>
              </w:rPr>
              <w:t>1,651,281</w:t>
            </w:r>
          </w:p>
        </w:tc>
      </w:tr>
      <w:tr>
        <w:trPr>
          <w:trHeight w:val="216"/>
        </w:trPr>
        <w:tc>
          <w:tcPr>
            <w:tcW w:w="56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380" w:type="dxa"/>
            <w:vAlign w:val="bottom"/>
            <w:tcBorders>
              <w:bottom w:val="single" w:sz="8" w:color="auto"/>
            </w:tcBorders>
          </w:tcPr>
          <w:p>
            <w:pPr>
              <w:spacing w:after="0"/>
              <w:rPr>
                <w:sz w:val="18"/>
                <w:szCs w:val="18"/>
                <w:color w:val="auto"/>
              </w:rPr>
            </w:pPr>
          </w:p>
        </w:tc>
      </w:tr>
      <w:tr>
        <w:trPr>
          <w:trHeight w:val="28"/>
        </w:trPr>
        <w:tc>
          <w:tcPr>
            <w:tcW w:w="56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380" w:type="dxa"/>
            <w:vAlign w:val="bottom"/>
            <w:tcBorders>
              <w:bottom w:val="single" w:sz="8" w:color="auto"/>
            </w:tcBorders>
          </w:tcPr>
          <w:p>
            <w:pPr>
              <w:spacing w:after="0"/>
              <w:rPr>
                <w:sz w:val="2"/>
                <w:szCs w:val="2"/>
                <w:color w:val="auto"/>
              </w:rPr>
            </w:pPr>
          </w:p>
        </w:tc>
      </w:tr>
    </w:tbl>
    <w:p>
      <w:pPr>
        <w:sectPr>
          <w:pgSz w:w="11900" w:h="16838" w:orient="portrait"/>
          <w:cols w:equalWidth="0" w:num="1">
            <w:col w:w="11240"/>
          </w:cols>
          <w:pgMar w:left="320" w:top="414"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140" w:type="dxa"/>
            <w:vAlign w:val="bottom"/>
            <w:gridSpan w:val="7"/>
          </w:tcPr>
          <w:p>
            <w:pPr>
              <w:ind w:left="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23"/>
        </w:trPr>
        <w:tc>
          <w:tcPr>
            <w:tcW w:w="920" w:type="dxa"/>
            <w:vAlign w:val="bottom"/>
            <w:tcBorders>
              <w:bottom w:val="single" w:sz="8" w:color="CCEEFF"/>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spacing w:after="0"/>
              <w:rPr>
                <w:sz w:val="19"/>
                <w:szCs w:val="19"/>
                <w:color w:val="auto"/>
              </w:rPr>
            </w:pPr>
          </w:p>
        </w:tc>
        <w:tc>
          <w:tcPr>
            <w:tcW w:w="19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Balance Sheets as of June 30, 2023 (unaudited) and December 31, 2022</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1</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Borders>
              <w:bottom w:val="single" w:sz="8" w:color="CCEEFF"/>
            </w:tcBorders>
            <w:shd w:val="clear" w:color="auto" w:fill="CCEEFF"/>
          </w:tcPr>
          <w:p>
            <w:pPr>
              <w:spacing w:after="0"/>
              <w:rPr>
                <w:sz w:val="15"/>
                <w:szCs w:val="15"/>
                <w:color w:val="auto"/>
              </w:rPr>
            </w:pPr>
          </w:p>
        </w:tc>
        <w:tc>
          <w:tcPr>
            <w:tcW w:w="93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and six months ended June 30, 2023 (unaudited) and 2022</w:t>
            </w: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20" w:type="dxa"/>
            <w:vAlign w:val="bottom"/>
            <w:shd w:val="clear" w:color="auto" w:fill="CCEEFF"/>
          </w:tcPr>
          <w:p>
            <w:pPr>
              <w:spacing w:after="0"/>
              <w:rPr>
                <w:sz w:val="18"/>
                <w:szCs w:val="18"/>
                <w:color w:val="auto"/>
              </w:rPr>
            </w:pPr>
          </w:p>
        </w:tc>
        <w:tc>
          <w:tcPr>
            <w:tcW w:w="932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w:t>
            </w: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2</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920" w:type="dxa"/>
            <w:vAlign w:val="bottom"/>
            <w:tcBorders>
              <w:bottom w:val="single" w:sz="8" w:color="CCEEFF"/>
            </w:tcBorders>
            <w:shd w:val="clear" w:color="auto" w:fill="CCEEFF"/>
          </w:tcPr>
          <w:p>
            <w:pPr>
              <w:spacing w:after="0"/>
              <w:rPr>
                <w:sz w:val="15"/>
                <w:szCs w:val="15"/>
                <w:color w:val="auto"/>
              </w:rPr>
            </w:pPr>
          </w:p>
        </w:tc>
        <w:tc>
          <w:tcPr>
            <w:tcW w:w="9320" w:type="dxa"/>
            <w:vAlign w:val="bottom"/>
            <w:tcBorders>
              <w:bottom w:val="single" w:sz="8" w:color="0000EE"/>
            </w:tcBorders>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 for the three and six months ended June 30, 2023</w:t>
            </w:r>
          </w:p>
        </w:tc>
        <w:tc>
          <w:tcPr>
            <w:tcW w:w="10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920" w:type="dxa"/>
            <w:vAlign w:val="bottom"/>
            <w:shd w:val="clear" w:color="auto" w:fill="CCEEFF"/>
          </w:tcPr>
          <w:p>
            <w:pPr>
              <w:spacing w:after="0"/>
              <w:rPr>
                <w:sz w:val="18"/>
                <w:szCs w:val="18"/>
                <w:color w:val="auto"/>
              </w:rPr>
            </w:pPr>
          </w:p>
        </w:tc>
        <w:tc>
          <w:tcPr>
            <w:tcW w:w="9320" w:type="dxa"/>
            <w:vAlign w:val="bottom"/>
            <w:gridSpan w:val="19"/>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(unaudited) and 2022 (unaudited)</w:t>
            </w:r>
          </w:p>
        </w:tc>
        <w:tc>
          <w:tcPr>
            <w:tcW w:w="1000" w:type="dxa"/>
            <w:vAlign w:val="bottom"/>
            <w:shd w:val="clear" w:color="auto" w:fill="CCEEFF"/>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3</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Condensed Consolidated Statements of Cash Flows for the six months ended June 30, 2023 (unaudited) and 2022 (unaudited)</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5</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rPr>
                <w:sz w:val="17"/>
                <w:szCs w:val="17"/>
                <w:color w:val="auto"/>
              </w:rPr>
            </w:pP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Notes to the Condensed Consolidated Financial Statements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88"/>
              </w:rPr>
              <w:t>6</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51</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190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71</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72</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PART II</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LEGAL PROCEEDINGS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1A.</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73</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2.</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180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3.</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4.</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MINE SAFETY DISCLOSURES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5.</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OTHER INFORMATION</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74</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92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ITEM 6.</w:t>
            </w:r>
          </w:p>
        </w:tc>
        <w:tc>
          <w:tcPr>
            <w:tcW w:w="9320" w:type="dxa"/>
            <w:vAlign w:val="bottom"/>
            <w:gridSpan w:val="19"/>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EXHIBITS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75</w:t>
            </w:r>
          </w:p>
        </w:tc>
        <w:tc>
          <w:tcPr>
            <w:tcW w:w="0" w:type="dxa"/>
            <w:vAlign w:val="bottom"/>
          </w:tcPr>
          <w:p>
            <w:pPr>
              <w:spacing w:after="0"/>
              <w:rPr>
                <w:sz w:val="1"/>
                <w:szCs w:val="1"/>
                <w:color w:val="auto"/>
              </w:rPr>
            </w:pPr>
          </w:p>
        </w:tc>
      </w:tr>
      <w:tr>
        <w:trPr>
          <w:trHeight w:val="216"/>
        </w:trPr>
        <w:tc>
          <w:tcPr>
            <w:tcW w:w="920" w:type="dxa"/>
            <w:vAlign w:val="bottom"/>
            <w:tcBorders>
              <w:top w:val="single" w:sz="8" w:color="CCEEFF"/>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18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024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SIGNATURES</w:t>
            </w:r>
          </w:p>
        </w:tc>
        <w:tc>
          <w:tcPr>
            <w:tcW w:w="100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color w:val="auto"/>
                <w:w w:val="99"/>
              </w:rPr>
              <w:t>76</w:t>
            </w:r>
          </w:p>
        </w:tc>
        <w:tc>
          <w:tcPr>
            <w:tcW w:w="0" w:type="dxa"/>
            <w:vAlign w:val="bottom"/>
          </w:tcPr>
          <w:p>
            <w:pPr>
              <w:spacing w:after="0"/>
              <w:rPr>
                <w:sz w:val="1"/>
                <w:szCs w:val="1"/>
                <w:color w:val="auto"/>
              </w:rPr>
            </w:pPr>
          </w:p>
        </w:tc>
      </w:tr>
      <w:tr>
        <w:trPr>
          <w:trHeight w:val="21"/>
        </w:trPr>
        <w:tc>
          <w:tcPr>
            <w:tcW w:w="9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18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8"/>
              </w:rPr>
              <w:t>PART I - FINANCIAL INFORMATION</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CONDENSED CONSOLIDATED BALANCE SHEETS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8680" w:type="dxa"/>
            <w:vAlign w:val="bottom"/>
          </w:tcPr>
          <w:p>
            <w:pPr>
              <w:jc w:val="center"/>
              <w:ind w:left="24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and per share data)</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0" w:type="dxa"/>
            <w:vAlign w:val="bottom"/>
          </w:tcPr>
          <w:p>
            <w:pPr>
              <w:spacing w:after="0"/>
              <w:rPr>
                <w:sz w:val="20"/>
                <w:szCs w:val="20"/>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(Unaudited)</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9"/>
        </w:trPr>
        <w:tc>
          <w:tcPr>
            <w:tcW w:w="86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308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Accounts receivable, net of allowance for doubtful accounts of $4,090 and $4,605 at June 30, 2023 and December</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31, 2022,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1,348</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Inventory, net of reserves of $32,422 and $32,422 at June 30, 2023 and December 31, 2022, respectively</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18,736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2,153</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Loan receivable, net of allowance for doubtful accounts of $19,215 and $33,050 at June 30, 2023 and December 31,</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2022, respectively</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11,257</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12,214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9,123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2,359</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1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156</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vMerge w:val="restart"/>
          </w:tcPr>
          <w:p>
            <w:pPr>
              <w:ind w:left="340"/>
              <w:spacing w:after="0"/>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8680" w:type="dxa"/>
            <w:vAlign w:val="bottom"/>
            <w:vMerge w:val="continue"/>
          </w:tcPr>
          <w:p>
            <w:pPr>
              <w:spacing w:after="0"/>
              <w:rPr>
                <w:sz w:val="24"/>
                <w:szCs w:val="2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45,444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69,687</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290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21,859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20,543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12,109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current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1,424</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100" w:type="dxa"/>
            <w:vAlign w:val="bottom"/>
          </w:tcPr>
          <w:p>
            <w:pPr>
              <w:spacing w:after="0"/>
              <w:rPr>
                <w:sz w:val="20"/>
                <w:szCs w:val="20"/>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3,593</w:t>
            </w:r>
          </w:p>
        </w:tc>
        <w:tc>
          <w:tcPr>
            <w:tcW w:w="2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39,816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 liabilities</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4,361</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net of current</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1,703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19,152</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65,118</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78,728</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15)</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 equity:</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680" w:type="dxa"/>
            <w:vAlign w:val="bottom"/>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per share, 10,000,000 and 5,000,000 shares authorized at June 30, 2023 and</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2022, respectively, 1,622,946 and 1,038,298 shares issued and outstanding at June 30, 2023 and</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8680" w:type="dxa"/>
            <w:vAlign w:val="bottom"/>
            <w:shd w:val="clear" w:color="auto" w:fill="CCEEFF"/>
          </w:tcPr>
          <w:p>
            <w:pPr>
              <w:ind w:left="340"/>
              <w:spacing w:after="0" w:line="271" w:lineRule="exact"/>
              <w:rPr>
                <w:sz w:val="20"/>
                <w:szCs w:val="20"/>
                <w:color w:val="auto"/>
              </w:rPr>
            </w:pPr>
            <w:r>
              <w:rPr>
                <w:rFonts w:ascii="Times New Roman" w:cs="Times New Roman" w:eastAsia="Times New Roman" w:hAnsi="Times New Roman"/>
                <w:sz w:val="18"/>
                <w:szCs w:val="18"/>
                <w:color w:val="auto"/>
              </w:rPr>
              <w:t xml:space="preserve">December 31, 2022, respectively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Preferred Stock, $0.001 par value per share, 2,895,000 shares authorized, no shares issued or outstanding</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Preferred A Stock, $0.001 par value per share, 105,000 shares authorized, no shares issued or outstanding</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00" w:type="dxa"/>
            <w:vAlign w:val="bottom"/>
          </w:tcPr>
          <w:p>
            <w:pPr>
              <w:spacing w:after="0"/>
              <w:rPr>
                <w:sz w:val="18"/>
                <w:szCs w:val="18"/>
                <w:color w:val="auto"/>
              </w:rPr>
            </w:pP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244,373</w:t>
            </w:r>
          </w:p>
        </w:tc>
        <w:tc>
          <w:tcPr>
            <w:tcW w:w="2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237,875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(264,282)</w:t>
            </w:r>
          </w:p>
        </w:tc>
        <w:tc>
          <w:tcPr>
            <w:tcW w:w="240" w:type="dxa"/>
            <w:vAlign w:val="bottom"/>
            <w:shd w:val="clear" w:color="auto" w:fill="CCEEFF"/>
          </w:tcPr>
          <w:p>
            <w:pPr>
              <w:spacing w:after="0"/>
              <w:rPr>
                <w:sz w:val="21"/>
                <w:szCs w:val="21"/>
                <w:color w:val="auto"/>
              </w:rPr>
            </w:pPr>
          </w:p>
        </w:tc>
        <w:tc>
          <w:tcPr>
            <w:tcW w:w="9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(247,148)</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ind w:left="340"/>
              <w:spacing w:after="0" w:line="203" w:lineRule="exact"/>
              <w:rPr>
                <w:sz w:val="20"/>
                <w:szCs w:val="20"/>
                <w:color w:val="auto"/>
              </w:rPr>
            </w:pPr>
            <w:r>
              <w:rPr>
                <w:rFonts w:ascii="Times New Roman" w:cs="Times New Roman" w:eastAsia="Times New Roman" w:hAnsi="Times New Roman"/>
                <w:sz w:val="18"/>
                <w:szCs w:val="18"/>
                <w:color w:val="auto"/>
              </w:rPr>
              <w:t>Total stockholders’ deficit attributable to Agrify</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(19,907</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(9,272</w:t>
            </w:r>
          </w:p>
        </w:tc>
        <w:tc>
          <w:tcPr>
            <w:tcW w:w="100" w:type="dxa"/>
            <w:vAlign w:val="bottom"/>
            <w:tcBorders>
              <w:top w:val="single" w:sz="8" w:color="CCEEFF"/>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45,444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69,687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the reverse stock splits may be found in Note 1 – Overview, Basis of Presentation, and Significant Accounting Policies, included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028"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20" w:type="dxa"/>
            <w:vAlign w:val="bottom"/>
          </w:tcPr>
          <w:p>
            <w:pPr>
              <w:spacing w:after="0"/>
              <w:rPr>
                <w:sz w:val="21"/>
                <w:szCs w:val="21"/>
                <w:color w:val="auto"/>
              </w:rPr>
            </w:pPr>
          </w:p>
        </w:tc>
        <w:tc>
          <w:tcPr>
            <w:tcW w:w="2420" w:type="dxa"/>
            <w:vAlign w:val="bottom"/>
            <w:gridSpan w:val="5"/>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Revenue (including $0, $1,129, $46, and $1,763 from related parties,</w:t>
            </w: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5,066</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19,329</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45,350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4,466</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17,717</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9,282</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39,568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4,819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19,378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11,750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29,137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Pr>
          <w:p>
            <w:pPr>
              <w:spacing w:after="0"/>
              <w:rPr>
                <w:sz w:val="18"/>
                <w:szCs w:val="18"/>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1,120</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Pr>
          <w:p>
            <w:pPr>
              <w:spacing w:after="0"/>
              <w:rPr>
                <w:sz w:val="18"/>
                <w:szCs w:val="18"/>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2,710</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1,378</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1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(638)</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(907)</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69,904</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69,904</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5,944</w:t>
            </w:r>
          </w:p>
        </w:tc>
        <w:tc>
          <w:tcPr>
            <w:tcW w:w="26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93,145</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14,516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107,078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1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 net</w:t>
            </w:r>
          </w:p>
        </w:tc>
        <w:tc>
          <w:tcPr>
            <w:tcW w:w="10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(400)</w:t>
            </w: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(3,311)</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(1,048)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20,181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30,966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extinguishment of notes payable</w:t>
            </w:r>
          </w:p>
        </w:tc>
        <w:tc>
          <w:tcPr>
            <w:tcW w:w="100" w:type="dxa"/>
            <w:vAlign w:val="bottom"/>
          </w:tcPr>
          <w:p>
            <w:pPr>
              <w:spacing w:after="0"/>
              <w:rPr>
                <w:sz w:val="18"/>
                <w:szCs w:val="18"/>
                <w:color w:val="auto"/>
              </w:rPr>
            </w:pPr>
          </w:p>
        </w:tc>
        <w:tc>
          <w:tcPr>
            <w:tcW w:w="128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(4,631)</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Other (expense) income, net</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(1,463</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16,870</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100" w:type="dxa"/>
            <w:vAlign w:val="bottom"/>
          </w:tcPr>
          <w:p>
            <w:pPr>
              <w:spacing w:after="0"/>
              <w:rPr>
                <w:sz w:val="20"/>
                <w:szCs w:val="20"/>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interests</w:t>
            </w:r>
          </w:p>
        </w:tc>
        <w:tc>
          <w:tcPr>
            <w:tcW w:w="100" w:type="dxa"/>
            <w:vAlign w:val="bottom"/>
          </w:tcPr>
          <w:p>
            <w:pPr>
              <w:spacing w:after="0"/>
              <w:rPr>
                <w:sz w:val="19"/>
                <w:szCs w:val="19"/>
                <w:color w:val="auto"/>
              </w:rPr>
            </w:pPr>
          </w:p>
        </w:tc>
        <w:tc>
          <w:tcPr>
            <w:tcW w:w="12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
        </w:trPr>
        <w:tc>
          <w:tcPr>
            <w:tcW w:w="59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(6,805)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(74,604)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4"/>
        </w:trPr>
        <w:tc>
          <w:tcPr>
            <w:tcW w:w="598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(561.31)</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Weighted average common shares outstanding – basic and diluted </w:t>
            </w:r>
            <w:r>
              <w:rPr>
                <w:rFonts w:ascii="Times New Roman" w:cs="Times New Roman" w:eastAsia="Times New Roman" w:hAnsi="Times New Roman"/>
                <w:sz w:val="29"/>
                <w:szCs w:val="29"/>
                <w:color w:val="auto"/>
                <w:vertAlign w:val="superscript"/>
              </w:rPr>
              <w:t>(1)</w:t>
            </w:r>
          </w:p>
        </w:tc>
        <w:tc>
          <w:tcPr>
            <w:tcW w:w="10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1,549,669</w:t>
            </w:r>
          </w:p>
        </w:tc>
        <w:tc>
          <w:tcPr>
            <w:tcW w:w="24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132,911</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1,312,299</w:t>
            </w:r>
          </w:p>
        </w:tc>
        <w:tc>
          <w:tcPr>
            <w:tcW w:w="240" w:type="dxa"/>
            <w:vAlign w:val="bottom"/>
            <w:shd w:val="clear" w:color="auto" w:fill="CCEEFF"/>
          </w:tcPr>
          <w:p>
            <w:pPr>
              <w:spacing w:after="0"/>
              <w:rPr>
                <w:sz w:val="22"/>
                <w:szCs w:val="22"/>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127,956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reverse stock splits may be found in Note 1 – Overview, Basis of Presentation, and Significant Accounting Policies, included in the notes to the consolidated financial statements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A Stock</w:t>
            </w:r>
          </w:p>
        </w:tc>
        <w:tc>
          <w:tcPr>
            <w:tcW w:w="1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84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8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40" w:type="dxa"/>
            <w:vAlign w:val="bottom"/>
          </w:tcPr>
          <w:p>
            <w:pPr>
              <w:spacing w:after="0"/>
              <w:rPr>
                <w:sz w:val="14"/>
                <w:szCs w:val="14"/>
                <w:color w:val="auto"/>
              </w:rPr>
            </w:pPr>
          </w:p>
        </w:tc>
        <w:tc>
          <w:tcPr>
            <w:tcW w:w="880" w:type="dxa"/>
            <w:vAlign w:val="bottom"/>
            <w:gridSpan w:val="2"/>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Agrify</w:t>
            </w:r>
          </w:p>
        </w:tc>
        <w:tc>
          <w:tcPr>
            <w:tcW w:w="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7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2022</w:t>
            </w:r>
          </w:p>
        </w:tc>
        <w:tc>
          <w:tcPr>
            <w:tcW w:w="6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111,035</w:t>
            </w:r>
          </w:p>
        </w:tc>
        <w:tc>
          <w:tcPr>
            <w:tcW w:w="2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98"/>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2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196,034</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(58,975)</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137,059</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365</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137,424</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2"/>
                <w:szCs w:val="12"/>
                <w:color w:val="auto"/>
              </w:rPr>
            </w:pPr>
          </w:p>
        </w:tc>
        <w:tc>
          <w:tcPr>
            <w:tcW w:w="4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953</w:t>
            </w: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and warrants in</w:t>
            </w:r>
          </w:p>
        </w:tc>
        <w:tc>
          <w:tcPr>
            <w:tcW w:w="84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12,252</w:t>
            </w:r>
          </w:p>
        </w:tc>
        <w:tc>
          <w:tcPr>
            <w:tcW w:w="4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14,800</w:t>
            </w: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14,800</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14,800</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private placement</w:t>
            </w:r>
          </w:p>
        </w:tc>
        <w:tc>
          <w:tcPr>
            <w:tcW w:w="840" w:type="dxa"/>
            <w:vAlign w:val="bottom"/>
            <w:gridSpan w:val="2"/>
            <w:vMerge w:val="continue"/>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Acquisition of Lab Society</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1,490</w:t>
            </w:r>
          </w:p>
        </w:tc>
        <w:tc>
          <w:tcPr>
            <w:tcW w:w="420" w:type="dxa"/>
            <w:vAlign w:val="bottom"/>
          </w:tcPr>
          <w:p>
            <w:pPr>
              <w:spacing w:after="0"/>
              <w:rPr>
                <w:sz w:val="12"/>
                <w:szCs w:val="12"/>
                <w:color w:val="auto"/>
              </w:rPr>
            </w:pPr>
          </w:p>
        </w:tc>
        <w:tc>
          <w:tcPr>
            <w:tcW w:w="4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1,903</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1,903</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1,903</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4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7,916</w:t>
            </w:r>
          </w:p>
        </w:tc>
        <w:tc>
          <w:tcPr>
            <w:tcW w:w="420" w:type="dxa"/>
            <w:vAlign w:val="bottom"/>
          </w:tcPr>
          <w:p>
            <w:pPr>
              <w:spacing w:after="0"/>
              <w:rPr>
                <w:sz w:val="12"/>
                <w:szCs w:val="12"/>
                <w:color w:val="auto"/>
              </w:rPr>
            </w:pPr>
          </w:p>
        </w:tc>
        <w:tc>
          <w:tcPr>
            <w:tcW w:w="4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income</w:t>
            </w: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5"/>
                <w:szCs w:val="15"/>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4"/>
                <w:szCs w:val="14"/>
                <w:color w:val="auto"/>
              </w:rPr>
              <w:t>1,780</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1,780</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1,781</w:t>
            </w:r>
          </w:p>
        </w:tc>
        <w:tc>
          <w:tcPr>
            <w:tcW w:w="0" w:type="dxa"/>
            <w:vAlign w:val="bottom"/>
          </w:tcPr>
          <w:p>
            <w:pPr>
              <w:spacing w:after="0"/>
              <w:rPr>
                <w:sz w:val="1"/>
                <w:szCs w:val="1"/>
                <w:color w:val="auto"/>
              </w:rPr>
            </w:pPr>
          </w:p>
        </w:tc>
      </w:tr>
      <w:tr>
        <w:trPr>
          <w:trHeight w:val="136"/>
        </w:trPr>
        <w:tc>
          <w:tcPr>
            <w:tcW w:w="274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at March 31, 2022</w:t>
            </w:r>
          </w:p>
        </w:tc>
        <w:tc>
          <w:tcPr>
            <w:tcW w:w="6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132,714</w:t>
            </w:r>
          </w:p>
        </w:tc>
        <w:tc>
          <w:tcPr>
            <w:tcW w:w="20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ind w:left="6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CCEEFF"/>
            </w:tcBorders>
          </w:tcPr>
          <w:p>
            <w:pPr>
              <w:spacing w:after="0"/>
              <w:rPr>
                <w:sz w:val="11"/>
                <w:szCs w:val="11"/>
                <w:color w:val="auto"/>
              </w:rPr>
            </w:pPr>
          </w:p>
        </w:tc>
        <w:tc>
          <w:tcPr>
            <w:tcW w:w="620" w:type="dxa"/>
            <w:vAlign w:val="bottom"/>
            <w:tcBorders>
              <w:top w:val="single" w:sz="8" w:color="auto"/>
            </w:tcBorders>
          </w:tcPr>
          <w:p>
            <w:pPr>
              <w:ind w:left="48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20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213,701</w:t>
            </w: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(57,195)</w:t>
            </w:r>
          </w:p>
        </w:tc>
        <w:tc>
          <w:tcPr>
            <w:tcW w:w="2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156,506</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366</w:t>
            </w: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156,872</w:t>
            </w: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940</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Exercise of options</w:t>
            </w:r>
          </w:p>
        </w:tc>
        <w:tc>
          <w:tcPr>
            <w:tcW w:w="8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21</w:t>
            </w:r>
          </w:p>
        </w:tc>
        <w:tc>
          <w:tcPr>
            <w:tcW w:w="420" w:type="dxa"/>
            <w:vAlign w:val="bottom"/>
          </w:tcPr>
          <w:p>
            <w:pPr>
              <w:spacing w:after="0"/>
              <w:rPr>
                <w:sz w:val="12"/>
                <w:szCs w:val="12"/>
                <w:color w:val="auto"/>
              </w:rPr>
            </w:pPr>
          </w:p>
        </w:tc>
        <w:tc>
          <w:tcPr>
            <w:tcW w:w="400" w:type="dxa"/>
            <w:vAlign w:val="bottom"/>
            <w:gridSpan w:val="2"/>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2"/>
                <w:szCs w:val="12"/>
                <w:color w:val="auto"/>
              </w:rPr>
            </w:pPr>
          </w:p>
        </w:tc>
        <w:tc>
          <w:tcPr>
            <w:tcW w:w="3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140" w:type="dxa"/>
            <w:vAlign w:val="bottom"/>
          </w:tcPr>
          <w:p>
            <w:pPr>
              <w:spacing w:after="0"/>
              <w:rPr>
                <w:sz w:val="12"/>
                <w:szCs w:val="12"/>
                <w:color w:val="auto"/>
              </w:rPr>
            </w:pPr>
          </w:p>
        </w:tc>
        <w:tc>
          <w:tcPr>
            <w:tcW w:w="880" w:type="dxa"/>
            <w:vAlign w:val="bottom"/>
            <w:gridSpan w:val="2"/>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Exercise of warrants</w:t>
            </w:r>
          </w:p>
        </w:tc>
        <w:tc>
          <w:tcPr>
            <w:tcW w:w="84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222</w:t>
            </w:r>
          </w:p>
        </w:tc>
        <w:tc>
          <w:tcPr>
            <w:tcW w:w="4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480" w:type="dxa"/>
            <w:vAlign w:val="bottom"/>
            <w:shd w:val="clear" w:color="auto" w:fill="CCEEFF"/>
          </w:tcPr>
          <w:p>
            <w:pPr>
              <w:spacing w:after="0"/>
              <w:rPr>
                <w:sz w:val="12"/>
                <w:szCs w:val="12"/>
                <w:color w:val="auto"/>
              </w:rPr>
            </w:pPr>
          </w:p>
        </w:tc>
        <w:tc>
          <w:tcPr>
            <w:tcW w:w="36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4"/>
                <w:szCs w:val="14"/>
                <w:color w:val="auto"/>
              </w:rPr>
            </w:pPr>
          </w:p>
        </w:tc>
        <w:tc>
          <w:tcPr>
            <w:tcW w:w="40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spacing w:after="0"/>
              <w:rPr>
                <w:sz w:val="14"/>
                <w:szCs w:val="14"/>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19"/>
              <w:spacing w:after="0"/>
              <w:rPr>
                <w:sz w:val="20"/>
                <w:szCs w:val="20"/>
                <w:color w:val="auto"/>
              </w:rPr>
            </w:pPr>
            <w:r>
              <w:rPr>
                <w:rFonts w:ascii="Times New Roman" w:cs="Times New Roman" w:eastAsia="Times New Roman" w:hAnsi="Times New Roman"/>
                <w:sz w:val="14"/>
                <w:szCs w:val="14"/>
                <w:color w:val="auto"/>
              </w:rPr>
              <w:t>(74,604)</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(74,604)</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w:t>
            </w: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(74,601)</w:t>
            </w:r>
          </w:p>
        </w:tc>
        <w:tc>
          <w:tcPr>
            <w:tcW w:w="0" w:type="dxa"/>
            <w:vAlign w:val="bottom"/>
          </w:tcPr>
          <w:p>
            <w:pPr>
              <w:spacing w:after="0"/>
              <w:rPr>
                <w:sz w:val="1"/>
                <w:szCs w:val="1"/>
                <w:color w:val="auto"/>
              </w:rPr>
            </w:pPr>
          </w:p>
        </w:tc>
      </w:tr>
      <w:tr>
        <w:trPr>
          <w:trHeight w:val="27"/>
        </w:trPr>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2022</w:t>
            </w:r>
          </w:p>
        </w:tc>
        <w:tc>
          <w:tcPr>
            <w:tcW w:w="6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vMerge w:val="continue"/>
            <w:shd w:val="clear" w:color="auto" w:fill="CCEEFF"/>
          </w:tcPr>
          <w:p>
            <w:pPr>
              <w:spacing w:after="0"/>
              <w:rPr>
                <w:sz w:val="15"/>
                <w:szCs w:val="15"/>
                <w:color w:val="auto"/>
              </w:rPr>
            </w:pPr>
          </w:p>
        </w:tc>
        <w:tc>
          <w:tcPr>
            <w:tcW w:w="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132,957</w:t>
            </w:r>
          </w:p>
        </w:tc>
        <w:tc>
          <w:tcPr>
            <w:tcW w:w="420" w:type="dxa"/>
            <w:vAlign w:val="bottom"/>
            <w:shd w:val="clear" w:color="auto" w:fill="CCEEFF"/>
          </w:tcPr>
          <w:p>
            <w:pPr>
              <w:jc w:val="right"/>
              <w:ind w:right="298"/>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4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214,652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(131,799</w:t>
            </w:r>
          </w:p>
        </w:tc>
        <w:tc>
          <w:tcPr>
            <w:tcW w:w="200" w:type="dxa"/>
            <w:vAlign w:val="bottom"/>
            <w:vMerge w:val="continue"/>
            <w:shd w:val="clear" w:color="auto" w:fill="CCEEFF"/>
          </w:tcPr>
          <w:p>
            <w:pPr>
              <w:spacing w:after="0"/>
              <w:rPr>
                <w:sz w:val="15"/>
                <w:szCs w:val="15"/>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82,853</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369</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83,222</w:t>
            </w:r>
          </w:p>
        </w:tc>
        <w:tc>
          <w:tcPr>
            <w:tcW w:w="0" w:type="dxa"/>
            <w:vAlign w:val="bottom"/>
          </w:tcPr>
          <w:p>
            <w:pPr>
              <w:spacing w:after="0"/>
              <w:rPr>
                <w:sz w:val="1"/>
                <w:szCs w:val="1"/>
                <w:color w:val="auto"/>
              </w:rPr>
            </w:pPr>
          </w:p>
        </w:tc>
      </w:tr>
      <w:tr>
        <w:trPr>
          <w:trHeight w:val="21"/>
        </w:trPr>
        <w:tc>
          <w:tcPr>
            <w:tcW w:w="27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2"/>
                <w:szCs w:val="12"/>
                <w:color w:val="auto"/>
              </w:rPr>
            </w:pPr>
          </w:p>
        </w:tc>
        <w:tc>
          <w:tcPr>
            <w:tcW w:w="84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4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8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740" w:type="dxa"/>
            <w:vAlign w:val="bottom"/>
          </w:tcPr>
          <w:p>
            <w:pPr>
              <w:spacing w:after="0"/>
              <w:rPr>
                <w:sz w:val="16"/>
                <w:szCs w:val="16"/>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32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Preferred A Stock</w:t>
            </w:r>
          </w:p>
        </w:tc>
        <w:tc>
          <w:tcPr>
            <w:tcW w:w="16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120" w:type="dxa"/>
            <w:vAlign w:val="bottom"/>
            <w:gridSpan w:val="3"/>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attributable to</w:t>
            </w:r>
          </w:p>
        </w:tc>
        <w:tc>
          <w:tcPr>
            <w:tcW w:w="92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Controlling</w:t>
            </w:r>
          </w:p>
        </w:tc>
        <w:tc>
          <w:tcPr>
            <w:tcW w:w="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69"/>
        </w:trPr>
        <w:tc>
          <w:tcPr>
            <w:tcW w:w="274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Pr>
          <w:p>
            <w:pPr>
              <w:spacing w:after="0"/>
              <w:rPr>
                <w:sz w:val="14"/>
                <w:szCs w:val="14"/>
                <w:color w:val="auto"/>
              </w:rPr>
            </w:pPr>
          </w:p>
        </w:tc>
        <w:tc>
          <w:tcPr>
            <w:tcW w:w="74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4"/>
                <w:szCs w:val="14"/>
                <w:color w:val="auto"/>
              </w:rPr>
            </w:pP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Paid-in-Capital</w:t>
            </w:r>
          </w:p>
        </w:tc>
        <w:tc>
          <w:tcPr>
            <w:tcW w:w="140" w:type="dxa"/>
            <w:vAlign w:val="bottom"/>
          </w:tcPr>
          <w:p>
            <w:pPr>
              <w:spacing w:after="0"/>
              <w:rPr>
                <w:sz w:val="14"/>
                <w:szCs w:val="14"/>
                <w:color w:val="auto"/>
              </w:rPr>
            </w:pPr>
          </w:p>
        </w:tc>
        <w:tc>
          <w:tcPr>
            <w:tcW w:w="88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4"/>
                <w:szCs w:val="14"/>
                <w:color w:val="auto"/>
              </w:rPr>
            </w:pPr>
          </w:p>
        </w:tc>
        <w:tc>
          <w:tcPr>
            <w:tcW w:w="9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Agrify</w:t>
            </w:r>
          </w:p>
        </w:tc>
        <w:tc>
          <w:tcPr>
            <w:tcW w:w="80" w:type="dxa"/>
            <w:vAlign w:val="bottom"/>
          </w:tcPr>
          <w:p>
            <w:pPr>
              <w:spacing w:after="0"/>
              <w:rPr>
                <w:sz w:val="14"/>
                <w:szCs w:val="14"/>
                <w:color w:val="auto"/>
              </w:rPr>
            </w:pPr>
          </w:p>
        </w:tc>
        <w:tc>
          <w:tcPr>
            <w:tcW w:w="8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2740" w:type="dxa"/>
            <w:vAlign w:val="bottom"/>
            <w:tcBorders>
              <w:top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at January 1, 2023</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1,038,298</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jc w:val="right"/>
              <w:ind w:right="296"/>
              <w:spacing w:after="0"/>
              <w:rPr>
                <w:sz w:val="20"/>
                <w:szCs w:val="20"/>
                <w:color w:val="auto"/>
              </w:rPr>
            </w:pPr>
            <w:r>
              <w:rPr>
                <w:rFonts w:ascii="Times New Roman" w:cs="Times New Roman" w:eastAsia="Times New Roman" w:hAnsi="Times New Roman"/>
                <w:sz w:val="11"/>
                <w:szCs w:val="11"/>
                <w:color w:val="auto"/>
                <w:w w:val="71"/>
              </w:rPr>
              <w:t>$</w:t>
            </w:r>
          </w:p>
        </w:tc>
        <w:tc>
          <w:tcPr>
            <w:tcW w:w="2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w:t>
            </w:r>
          </w:p>
        </w:tc>
        <w:tc>
          <w:tcPr>
            <w:tcW w:w="20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jc w:val="right"/>
              <w:ind w:right="32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60" w:type="dxa"/>
            <w:vAlign w:val="bottom"/>
            <w:tcBorders>
              <w:top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237,875</w:t>
            </w:r>
          </w:p>
        </w:tc>
        <w:tc>
          <w:tcPr>
            <w:tcW w:w="1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(247,148)</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(9,272)</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231</w:t>
            </w: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(9,041)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859</w:t>
            </w: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through an “at</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323,082</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1,545</w:t>
            </w: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1,545</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1,545</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the market” offering, net of fees</w:t>
            </w: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Common Stock to Pure Pressure</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366</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stock units</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7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Proceeds from Employee Stock Purchase</w:t>
            </w: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2,500</w:t>
            </w:r>
          </w:p>
        </w:tc>
        <w:tc>
          <w:tcPr>
            <w:tcW w:w="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10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25</w:t>
            </w:r>
          </w:p>
        </w:tc>
        <w:tc>
          <w:tcPr>
            <w:tcW w:w="140" w:type="dxa"/>
            <w:vAlign w:val="bottom"/>
          </w:tcPr>
          <w:p>
            <w:pPr>
              <w:spacing w:after="0"/>
              <w:rPr>
                <w:sz w:val="10"/>
                <w:szCs w:val="10"/>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0"/>
                <w:szCs w:val="10"/>
                <w:color w:val="auto"/>
              </w:rPr>
            </w:pPr>
          </w:p>
        </w:tc>
        <w:tc>
          <w:tcPr>
            <w:tcW w:w="84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71"/>
        </w:trPr>
        <w:tc>
          <w:tcPr>
            <w:tcW w:w="274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Plan Shares</w:t>
            </w:r>
          </w:p>
        </w:tc>
        <w:tc>
          <w:tcPr>
            <w:tcW w:w="7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(10,327)</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(10,327)</w:t>
            </w: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(10,327)</w:t>
            </w:r>
          </w:p>
        </w:tc>
        <w:tc>
          <w:tcPr>
            <w:tcW w:w="0" w:type="dxa"/>
            <w:vAlign w:val="bottom"/>
          </w:tcPr>
          <w:p>
            <w:pPr>
              <w:spacing w:after="0"/>
              <w:rPr>
                <w:sz w:val="1"/>
                <w:szCs w:val="1"/>
                <w:color w:val="auto"/>
              </w:rPr>
            </w:pPr>
          </w:p>
        </w:tc>
      </w:tr>
      <w:tr>
        <w:trPr>
          <w:trHeight w:val="135"/>
        </w:trPr>
        <w:tc>
          <w:tcPr>
            <w:tcW w:w="2740" w:type="dxa"/>
            <w:vAlign w:val="bottom"/>
            <w:tcBorders>
              <w:top w:val="single" w:sz="8" w:color="CCEEFF"/>
            </w:tcBorders>
          </w:tcPr>
          <w:p>
            <w:pPr>
              <w:spacing w:after="0" w:line="136" w:lineRule="exact"/>
              <w:rPr>
                <w:sz w:val="20"/>
                <w:szCs w:val="20"/>
                <w:color w:val="auto"/>
              </w:rPr>
            </w:pPr>
            <w:r>
              <w:rPr>
                <w:rFonts w:ascii="Times New Roman" w:cs="Times New Roman" w:eastAsia="Times New Roman" w:hAnsi="Times New Roman"/>
                <w:sz w:val="14"/>
                <w:szCs w:val="14"/>
                <w:b w:val="1"/>
                <w:bCs w:val="1"/>
                <w:color w:val="auto"/>
              </w:rPr>
              <w:t>Balance March 31, 2023</w:t>
            </w: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1,364,263</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w:t>
            </w:r>
          </w:p>
        </w:tc>
        <w:tc>
          <w:tcPr>
            <w:tcW w:w="200" w:type="dxa"/>
            <w:vAlign w:val="bottom"/>
            <w:tcBorders>
              <w:top w:val="single" w:sz="8" w:color="CCEEFF"/>
            </w:tcBorders>
          </w:tcPr>
          <w:p>
            <w:pPr>
              <w:spacing w:after="0"/>
              <w:rPr>
                <w:sz w:val="11"/>
                <w:szCs w:val="11"/>
                <w:color w:val="auto"/>
              </w:rPr>
            </w:pPr>
          </w:p>
        </w:tc>
        <w:tc>
          <w:tcPr>
            <w:tcW w:w="640" w:type="dxa"/>
            <w:vAlign w:val="bottom"/>
            <w:tcBorders>
              <w:top w:val="single" w:sz="8" w:color="auto"/>
            </w:tcBorders>
          </w:tcPr>
          <w:p>
            <w:pPr>
              <w:ind w:left="480"/>
              <w:spacing w:after="0" w:line="136" w:lineRule="exact"/>
              <w:rPr>
                <w:sz w:val="20"/>
                <w:szCs w:val="20"/>
                <w:color w:val="auto"/>
              </w:rPr>
            </w:pPr>
            <w:r>
              <w:rPr>
                <w:rFonts w:ascii="Times New Roman" w:cs="Times New Roman" w:eastAsia="Times New Roman" w:hAnsi="Times New Roman"/>
                <w:sz w:val="14"/>
                <w:szCs w:val="14"/>
                <w:b w:val="1"/>
                <w:bCs w:val="1"/>
                <w:color w:val="auto"/>
                <w:w w:val="99"/>
              </w:rPr>
              <w:t>—</w:t>
            </w:r>
          </w:p>
        </w:tc>
        <w:tc>
          <w:tcPr>
            <w:tcW w:w="100" w:type="dxa"/>
            <w:vAlign w:val="bottom"/>
            <w:tcBorders>
              <w:top w:val="single" w:sz="8" w:color="CCEEFF"/>
            </w:tcBorders>
          </w:tcPr>
          <w:p>
            <w:pPr>
              <w:spacing w:after="0"/>
              <w:rPr>
                <w:sz w:val="11"/>
                <w:szCs w:val="11"/>
                <w:color w:val="auto"/>
              </w:rPr>
            </w:pPr>
          </w:p>
        </w:tc>
        <w:tc>
          <w:tcPr>
            <w:tcW w:w="100" w:type="dxa"/>
            <w:vAlign w:val="bottom"/>
            <w:tcBorders>
              <w:top w:val="single" w:sz="8" w:color="CCEEFF"/>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80" w:type="dxa"/>
            <w:vAlign w:val="bottom"/>
            <w:tcBorders>
              <w:top w:val="single" w:sz="8" w:color="CCEEFF"/>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240,304</w:t>
            </w:r>
          </w:p>
        </w:tc>
        <w:tc>
          <w:tcPr>
            <w:tcW w:w="18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(257,475)</w:t>
            </w:r>
          </w:p>
        </w:tc>
        <w:tc>
          <w:tcPr>
            <w:tcW w:w="20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(17,170)</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231</w:t>
            </w:r>
          </w:p>
        </w:tc>
        <w:tc>
          <w:tcPr>
            <w:tcW w:w="22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(16,939)</w:t>
            </w:r>
          </w:p>
        </w:tc>
        <w:tc>
          <w:tcPr>
            <w:tcW w:w="10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752</w:t>
            </w: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Issuance of held-back shares to Lab Society</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499</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7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Exercise of prefunded warrants in private</w:t>
            </w: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35,000</w:t>
            </w:r>
          </w:p>
        </w:tc>
        <w:tc>
          <w:tcPr>
            <w:tcW w:w="100" w:type="dxa"/>
            <w:vAlign w:val="bottom"/>
            <w:shd w:val="clear" w:color="auto" w:fill="CCEEFF"/>
          </w:tcPr>
          <w:p>
            <w:pPr>
              <w:spacing w:after="0"/>
              <w:rPr>
                <w:sz w:val="10"/>
                <w:szCs w:val="10"/>
                <w:color w:val="auto"/>
              </w:rPr>
            </w:pPr>
          </w:p>
        </w:tc>
        <w:tc>
          <w:tcPr>
            <w:tcW w:w="420" w:type="dxa"/>
            <w:vAlign w:val="bottom"/>
            <w:shd w:val="clear" w:color="auto" w:fill="CCEEFF"/>
          </w:tcPr>
          <w:p>
            <w:pPr>
              <w:spacing w:after="0"/>
              <w:rPr>
                <w:sz w:val="10"/>
                <w:szCs w:val="10"/>
                <w:color w:val="auto"/>
              </w:rPr>
            </w:pPr>
          </w:p>
        </w:tc>
        <w:tc>
          <w:tcPr>
            <w:tcW w:w="40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10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4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placement</w:t>
            </w:r>
          </w:p>
        </w:tc>
        <w:tc>
          <w:tcPr>
            <w:tcW w:w="7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400" w:type="dxa"/>
            <w:vAlign w:val="bottom"/>
            <w:gridSpan w:val="2"/>
            <w:vMerge w:val="continue"/>
            <w:shd w:val="clear" w:color="auto" w:fill="CCEEFF"/>
          </w:tcPr>
          <w:p>
            <w:pPr>
              <w:spacing w:after="0"/>
              <w:rPr>
                <w:sz w:val="14"/>
                <w:szCs w:val="14"/>
                <w:color w:val="auto"/>
              </w:rPr>
            </w:pPr>
          </w:p>
        </w:tc>
        <w:tc>
          <w:tcPr>
            <w:tcW w:w="7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7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Conversion of Exchange Note</w:t>
            </w: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69,567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0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1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80" w:type="dxa"/>
            <w:vAlign w:val="bottom"/>
          </w:tcPr>
          <w:p>
            <w:pPr>
              <w:spacing w:after="0"/>
              <w:rPr>
                <w:sz w:val="12"/>
                <w:szCs w:val="12"/>
                <w:color w:val="auto"/>
              </w:rPr>
            </w:pPr>
          </w:p>
        </w:tc>
        <w:tc>
          <w:tcPr>
            <w:tcW w:w="8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2,146</w:t>
            </w:r>
          </w:p>
        </w:tc>
        <w:tc>
          <w:tcPr>
            <w:tcW w:w="0" w:type="dxa"/>
            <w:vAlign w:val="bottom"/>
          </w:tcPr>
          <w:p>
            <w:pPr>
              <w:spacing w:after="0"/>
              <w:rPr>
                <w:sz w:val="1"/>
                <w:szCs w:val="1"/>
                <w:color w:val="auto"/>
              </w:rPr>
            </w:pPr>
          </w:p>
        </w:tc>
      </w:tr>
      <w:tr>
        <w:trPr>
          <w:trHeight w:val="148"/>
        </w:trPr>
        <w:tc>
          <w:tcPr>
            <w:tcW w:w="27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Conversion of Convertible Note</w:t>
            </w:r>
          </w:p>
        </w:tc>
        <w:tc>
          <w:tcPr>
            <w:tcW w:w="78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153,617</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40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740" w:type="dxa"/>
            <w:vAlign w:val="bottom"/>
            <w:gridSpan w:val="2"/>
            <w:shd w:val="clear" w:color="auto" w:fill="CCEEFF"/>
          </w:tcPr>
          <w:p>
            <w:pPr>
              <w:ind w:left="4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340" w:type="dxa"/>
            <w:vAlign w:val="bottom"/>
            <w:gridSpan w:val="2"/>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1,171</w:t>
            </w: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1,172</w:t>
            </w:r>
          </w:p>
        </w:tc>
        <w:tc>
          <w:tcPr>
            <w:tcW w:w="0" w:type="dxa"/>
            <w:vAlign w:val="bottom"/>
          </w:tcPr>
          <w:p>
            <w:pPr>
              <w:spacing w:after="0"/>
              <w:rPr>
                <w:sz w:val="1"/>
                <w:szCs w:val="1"/>
                <w:color w:val="auto"/>
              </w:rPr>
            </w:pPr>
          </w:p>
        </w:tc>
      </w:tr>
      <w:tr>
        <w:trPr>
          <w:trHeight w:val="162"/>
        </w:trPr>
        <w:tc>
          <w:tcPr>
            <w:tcW w:w="274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(6,807)</w:t>
            </w:r>
          </w:p>
        </w:tc>
        <w:tc>
          <w:tcPr>
            <w:tcW w:w="16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(6,807)</w:t>
            </w:r>
          </w:p>
        </w:tc>
        <w:tc>
          <w:tcPr>
            <w:tcW w:w="80" w:type="dxa"/>
            <w:vAlign w:val="bottom"/>
          </w:tcPr>
          <w:p>
            <w:pPr>
              <w:spacing w:after="0"/>
              <w:rPr>
                <w:sz w:val="14"/>
                <w:szCs w:val="14"/>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w:t>
            </w:r>
          </w:p>
        </w:tc>
        <w:tc>
          <w:tcPr>
            <w:tcW w:w="140" w:type="dxa"/>
            <w:vAlign w:val="bottom"/>
          </w:tcPr>
          <w:p>
            <w:pPr>
              <w:spacing w:after="0"/>
              <w:rPr>
                <w:sz w:val="14"/>
                <w:szCs w:val="14"/>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(6,805)</w:t>
            </w:r>
          </w:p>
        </w:tc>
        <w:tc>
          <w:tcPr>
            <w:tcW w:w="0" w:type="dxa"/>
            <w:vAlign w:val="bottom"/>
          </w:tcPr>
          <w:p>
            <w:pPr>
              <w:spacing w:after="0"/>
              <w:rPr>
                <w:sz w:val="1"/>
                <w:szCs w:val="1"/>
                <w:color w:val="auto"/>
              </w:rPr>
            </w:pPr>
          </w:p>
        </w:tc>
      </w:tr>
      <w:tr>
        <w:trPr>
          <w:trHeight w:val="27"/>
        </w:trPr>
        <w:tc>
          <w:tcPr>
            <w:tcW w:w="27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6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740" w:type="dxa"/>
            <w:vAlign w:val="bottom"/>
            <w:vMerge w:val="continue"/>
            <w:shd w:val="clear" w:color="auto" w:fill="CCEEFF"/>
          </w:tcPr>
          <w:p>
            <w:pPr>
              <w:spacing w:after="0"/>
              <w:rPr>
                <w:sz w:val="15"/>
                <w:szCs w:val="15"/>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1,622,946</w:t>
            </w:r>
          </w:p>
        </w:tc>
        <w:tc>
          <w:tcPr>
            <w:tcW w:w="520" w:type="dxa"/>
            <w:vAlign w:val="bottom"/>
            <w:gridSpan w:val="2"/>
            <w:shd w:val="clear" w:color="auto" w:fill="CCEEFF"/>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w:t>
            </w:r>
          </w:p>
        </w:tc>
        <w:tc>
          <w:tcPr>
            <w:tcW w:w="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w:t>
            </w:r>
          </w:p>
        </w:tc>
        <w:tc>
          <w:tcPr>
            <w:tcW w:w="7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4"/>
                <w:szCs w:val="14"/>
                <w:b w:val="1"/>
                <w:bCs w:val="1"/>
                <w:color w:val="auto"/>
              </w:rPr>
              <w:t>—</w:t>
            </w:r>
          </w:p>
        </w:tc>
        <w:tc>
          <w:tcPr>
            <w:tcW w:w="580" w:type="dxa"/>
            <w:vAlign w:val="bottom"/>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w:t>
            </w:r>
          </w:p>
        </w:tc>
        <w:tc>
          <w:tcPr>
            <w:tcW w:w="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244,373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(264,282)</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(19,907)</w:t>
            </w: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233</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(19,674)</w:t>
            </w:r>
          </w:p>
        </w:tc>
        <w:tc>
          <w:tcPr>
            <w:tcW w:w="0" w:type="dxa"/>
            <w:vAlign w:val="bottom"/>
          </w:tcPr>
          <w:p>
            <w:pPr>
              <w:spacing w:after="0"/>
              <w:rPr>
                <w:sz w:val="1"/>
                <w:szCs w:val="1"/>
                <w:color w:val="auto"/>
              </w:rPr>
            </w:pPr>
          </w:p>
        </w:tc>
      </w:tr>
      <w:tr>
        <w:trPr>
          <w:trHeight w:val="21"/>
        </w:trPr>
        <w:tc>
          <w:tcPr>
            <w:tcW w:w="2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 w:name="page8"/>
    <w:bookmarkEnd w:id="7"/>
    <w:p>
      <w:pPr>
        <w:spacing w:after="0" w:line="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For the 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(17,132)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(72,824)</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Adjustments to reconcile net loss attributable to Agrify Corporation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premium on investment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on investment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issuance costs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based compensation expense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Early termination of lease</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Non-cash interest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(1,624)</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69,904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Provision for doubtful accounts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(542)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slow-moving inventory</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(337)</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Loss on disposal of fixed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on extinguishment of notes payable, net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Loss attributable to non-controlling interests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 net of acquisitions: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Inventory</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Prepaid and refundable taxes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Right of use assets,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(149)</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w:t>
            </w: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(4,261)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(4,049)</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8"/>
        </w:trPr>
        <w:tc>
          <w:tcPr>
            <w:tcW w:w="868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28"/>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and cash equivalents used in operating activities</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(11,634</w:t>
            </w:r>
          </w:p>
        </w:tc>
        <w:tc>
          <w:tcPr>
            <w:tcW w:w="220" w:type="dxa"/>
            <w:vAlign w:val="bottom"/>
            <w:tcBorders>
              <w:bottom w:val="single" w:sz="8" w:color="CCEEFF"/>
            </w:tcBorders>
            <w:shd w:val="clear" w:color="auto" w:fill="CCEEFF"/>
          </w:tcPr>
          <w:p>
            <w:pPr>
              <w:jc w:val="right"/>
              <w:ind w:right="81"/>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(50,491</w:t>
            </w:r>
          </w:p>
        </w:tc>
        <w:tc>
          <w:tcPr>
            <w:tcW w:w="100" w:type="dxa"/>
            <w:vAlign w:val="bottom"/>
            <w:tcBorders>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(9,100)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disposal of property and equipment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securities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(211,030)</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sale of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Issuance of loan</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(591)</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repayment of loan receivable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business combination, net of cash acquired</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(3,513)</w:t>
            </w:r>
          </w:p>
        </w:tc>
        <w:tc>
          <w:tcPr>
            <w:tcW w:w="0" w:type="dxa"/>
            <w:vAlign w:val="bottom"/>
          </w:tcPr>
          <w:p>
            <w:pPr>
              <w:spacing w:after="0"/>
              <w:rPr>
                <w:sz w:val="1"/>
                <w:szCs w:val="1"/>
                <w:color w:val="auto"/>
              </w:rPr>
            </w:pPr>
          </w:p>
        </w:tc>
      </w:tr>
      <w:tr>
        <w:trPr>
          <w:trHeight w:val="228"/>
        </w:trPr>
        <w:tc>
          <w:tcPr>
            <w:tcW w:w="8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and cash equivalents provided by (used in) investing activities</w:t>
            </w: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(29,637</w:t>
            </w:r>
          </w:p>
        </w:tc>
        <w:tc>
          <w:tcPr>
            <w:tcW w:w="100" w:type="dxa"/>
            <w:vAlign w:val="bottom"/>
            <w:tcBorders>
              <w:top w:val="single" w:sz="8" w:color="CCEEFF"/>
              <w:bottom w:val="single" w:sz="8" w:color="CCEEFF"/>
            </w:tcBorders>
            <w:shd w:val="clear" w:color="auto" w:fill="CCEEFF"/>
          </w:tcPr>
          <w:p>
            <w:pPr>
              <w:jc w:val="right"/>
              <w:spacing w:after="0" w:line="175"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issuance of debt and warrants in private placement,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Common Stock and warrants in private placement, net of fees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“at the market” Program, net</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Employee Stock Purchase Plan Shares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exercise of options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exercise of warrants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Repayment of debt in private placement</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(10,307)</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Repayments of notes payable, other</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other financing loans</w:t>
            </w:r>
          </w:p>
        </w:tc>
        <w:tc>
          <w:tcPr>
            <w:tcW w:w="240" w:type="dxa"/>
            <w:vAlign w:val="bottom"/>
          </w:tcPr>
          <w:p>
            <w:pPr>
              <w:spacing w:after="0"/>
              <w:rPr>
                <w:sz w:val="18"/>
                <w:szCs w:val="18"/>
                <w:color w:val="auto"/>
              </w:rPr>
            </w:pPr>
          </w:p>
        </w:tc>
        <w:tc>
          <w:tcPr>
            <w:tcW w:w="11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w:t>
            </w:r>
          </w:p>
        </w:tc>
        <w:tc>
          <w:tcPr>
            <w:tcW w:w="24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on insurance financing loans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(999)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0" w:type="dxa"/>
            <w:vAlign w:val="bottom"/>
          </w:tcPr>
          <w:p>
            <w:pPr>
              <w:spacing w:after="0"/>
              <w:rPr>
                <w:sz w:val="1"/>
                <w:szCs w:val="1"/>
                <w:color w:val="auto"/>
              </w:rPr>
            </w:pPr>
          </w:p>
        </w:tc>
      </w:tr>
      <w:tr>
        <w:trPr>
          <w:trHeight w:val="189"/>
        </w:trPr>
        <w:tc>
          <w:tcPr>
            <w:tcW w:w="86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Payments of financing leases</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8"/>
        </w:trPr>
        <w:tc>
          <w:tcPr>
            <w:tcW w:w="8680" w:type="dxa"/>
            <w:vAlign w:val="bottom"/>
            <w:tcBorders>
              <w:bottom w:val="single" w:sz="8" w:color="CCEEFF"/>
            </w:tcBorders>
            <w:vMerge w:val="continue"/>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vMerge w:val="continue"/>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Net cash and cash equivalents (used in) provided by financing activities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(9,873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86,722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(10,149)</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6,594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beginning of period</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10,457</w:t>
            </w: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12,014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8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Cash and cash equivalents at the end of period</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18,608</w:t>
            </w:r>
          </w:p>
        </w:tc>
        <w:tc>
          <w:tcPr>
            <w:tcW w:w="1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6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cash, cash equivalents, and restricted cash at the end of period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96" w:orient="portrait"/>
          <w:cols w:equalWidth="0" w:num="1">
            <w:col w:w="11240"/>
          </w:cols>
          <w:pgMar w:left="320" w:top="873" w:right="339"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0"/>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disclosures of non-cash flow information</w:t>
            </w:r>
          </w:p>
        </w:tc>
        <w:tc>
          <w:tcPr>
            <w:tcW w:w="400" w:type="dxa"/>
            <w:vAlign w:val="bottom"/>
            <w:tcBorders>
              <w:top w:val="single" w:sz="8" w:color="auto"/>
            </w:tcBorders>
            <w:shd w:val="clear" w:color="auto" w:fill="CCEEFF"/>
          </w:tcPr>
          <w:p>
            <w:pPr>
              <w:spacing w:after="0"/>
              <w:rPr>
                <w:sz w:val="23"/>
                <w:szCs w:val="23"/>
                <w:color w:val="auto"/>
              </w:rPr>
            </w:pPr>
          </w:p>
        </w:tc>
        <w:tc>
          <w:tcPr>
            <w:tcW w:w="720" w:type="dxa"/>
            <w:vAlign w:val="bottom"/>
            <w:tcBorders>
              <w:top w:val="single" w:sz="8" w:color="auto"/>
            </w:tcBorders>
            <w:shd w:val="clear" w:color="auto" w:fill="CCEEFF"/>
          </w:tcPr>
          <w:p>
            <w:pPr>
              <w:spacing w:after="0"/>
              <w:rPr>
                <w:sz w:val="23"/>
                <w:szCs w:val="23"/>
                <w:color w:val="auto"/>
              </w:rPr>
            </w:pPr>
          </w:p>
        </w:tc>
        <w:tc>
          <w:tcPr>
            <w:tcW w:w="220" w:type="dxa"/>
            <w:vAlign w:val="bottom"/>
            <w:tcBorders>
              <w:top w:val="single" w:sz="8" w:color="CCEEFF"/>
            </w:tcBorders>
            <w:shd w:val="clear" w:color="auto" w:fill="CCEEFF"/>
          </w:tcPr>
          <w:p>
            <w:pPr>
              <w:spacing w:after="0"/>
              <w:rPr>
                <w:sz w:val="23"/>
                <w:szCs w:val="23"/>
                <w:color w:val="auto"/>
              </w:rPr>
            </w:pPr>
          </w:p>
        </w:tc>
        <w:tc>
          <w:tcPr>
            <w:tcW w:w="360" w:type="dxa"/>
            <w:vAlign w:val="bottom"/>
            <w:tcBorders>
              <w:top w:val="single" w:sz="8" w:color="auto"/>
            </w:tcBorders>
            <w:shd w:val="clear" w:color="auto" w:fill="CCEEFF"/>
          </w:tcPr>
          <w:p>
            <w:pPr>
              <w:spacing w:after="0"/>
              <w:rPr>
                <w:sz w:val="23"/>
                <w:szCs w:val="23"/>
                <w:color w:val="auto"/>
              </w:rPr>
            </w:pPr>
          </w:p>
        </w:tc>
        <w:tc>
          <w:tcPr>
            <w:tcW w:w="7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Initial fair value of warrants</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40,496</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Financing of prepaid insurance</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1,820</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1,928</w:t>
            </w: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Conversion of private placement debt into Common Stock</w:t>
            </w:r>
          </w:p>
        </w:tc>
        <w:tc>
          <w:tcPr>
            <w:tcW w:w="400" w:type="dxa"/>
            <w:vAlign w:val="bottom"/>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3,160</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Transfer of property and equipment to inventory</w:t>
            </w:r>
          </w:p>
        </w:tc>
        <w:tc>
          <w:tcPr>
            <w:tcW w:w="400" w:type="dxa"/>
            <w:vAlign w:val="bottom"/>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Basis of Presentation and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Agrify Corporation (“Agrify” or the “Company”) is a leading provider of innovative cultivation and extraction solutions for the cannabis industry, bringing data, science, and technology to the forefront of the market. The Company’s proprietary micro-environment-controlled Agrify Vertical Farming Units (or “VFUs”) enable cultivators to produce the highest quality products with what we believe to be unmatched consistency, yield, and return investment at scale. The Company’s comprehensive extraction product line, which includes hydrocarbon, alcohol, solventless, post-processing, and lab equipment, empowers producers to maximize the quantity and quality of extract required for premium concentrates.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believes it is the only company with an automated and fully integrated grow solution in the industry. The Company’s cultivation and extraction solutions seamlessly combines its integrated hardware and software offerings with a broad range of associated services including consulting, engineering, and construction and is designed to deliver the most complete commercial indoor farming solution available from a single provider. The totality of its product offerings and service capabilities forms an unrivaled ecosystem in what has historically been a highly fragmented market. As a result, the Company believes it is well-positioned to capture market share and create a dominant market position in the indoor cannabis sector.</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was formed in the State of Nevada on June 6, 2016 as Agrinamics, Inc., and subsequently changed its name to Agrify Corporation. The Company is sometimes referred to herein by the words “we,” “us,” “our,” and similar terminology.</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nine wholly-owned subsidiaries, which are collectively referred to as the “Subsidiaries” and the Company also has ownership interests in certain companies.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Reverse Stock Splits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No fractional shares of Common Stock were issued as a result of these reverse stock splits. Any fractional shares in connection with these reverse stock splits were rounded up to the nearest whole share and no stockholders received cash in lieu of fractional shares. The reverse stock splits had no impact on the number of shares of Common Stock that the Company is authorized to issue pursuant to its articles of incorporation or on the par value per share of the Common Stock. Proportional adjustments were made to the number of shares of Common Stock issuable upon exercise or conversion of the Company’s outstanding stock options and warrants, the exercise price or conversion price (as applicable) of the Company’s outstanding stock options and warrants, and the number of shares reserved for issuance under the Company’s equity incentive plan. All share and per share information included in this Quarterly Report on Form 10-Q has been retroactively adjusted to reflect the impact of these reverse stock splits.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December 16, 2022, the Company entered into an underwriting agreement (the “Underwriting Agreement”) with Canaccord Genuity LLC as the underwriter, pursuant to which the Company agreed to issue and sell an aggregate of 594,232 shares of its Common Stock, and, in lieu of Common Stock to certain investors that so chose, pre-funded warrants (the “Pre-Funded 2022 Warrants”) to purchase 75,000 shares of our Common Stock, and accompanying warrants (the “December 2022 Warrants”) to purchase 1,338,462 shares of the Company’s Common Stock (the “Offering”). The shares of Common Stock (or Pre-Funded 2022 Warrants) and the accompanying December 2022 Warrants will be issued separately but can only be purchased together in this Offering. Additional information regarding the Company’s December 2022 Warrants may be found in Note 4 – Fair Value Measures and Note 10 – Stockholders’ Equity, included elsewhere in the notes to the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gross proceeds to the Company from the Offering were approximately $8.7 million including offering costs of approximately $0.5 million for broker fees and legal expenses, for net proceeds of $8.2 million. The Company has used the net proceeds from the Offering, together with its existing cash resources, for working capital and general corporate purposes, which may include capital expenditures and repayment of debt.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Nasdaq Deficiency Notice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4, 2022, the Company received a deficiency letter from the Listing Qualifications Department (the “Staff”) of The Nasdaq Stock Market, LLC (“Nasdaq”) notifying the Company that, for the last 30 consecutive business days, the bid price for the Company’s Common Stock had closed below $1.00 per share, which is the minimum closing price required to maintain a continued listing on The Nasdaq Capital Market under Nasdaq Listing Rule 5550(a)(2)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exercised its discretion to extend the minimum trading day period pursuant to Nasdaq Listing Rule 5810(c)(3)(G). On October 28, 2022, the Staff notified the Company that the closing bid price for its Common Stock was more than $1.00 for 10 consecutive trading days, and that the Company therefore regained compliance with the Minimum Bid Requirement.</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January 19, 2023, the Company received a new deficiency letter from the Staff of Nasdaq notifying the Company that, for the previous 30 consecutive business days, the bid price for its Common Stock had closed below $1.00 per share, which is the minimum closing price required to maintain a continued listing on The Nasdaq Capital Market under the Minimum Bid Requirement. In accordance with Nasdaq Listing Rule 5810(c)(3)(A), the Company had 180 calendar days to regain compliance with the Minimum Bid Requirement. To regain compliance with the Minimum Bid Requirement, the closing bid price of the Company’s Common Stock must be at least $1.00 per share for a minimum of 10 consecutive trading days during this 180-day compliance period, unless the Staff exercises its discretion to extend the minimum trading day period pursuant to Nasdaq Listing Rule 5810(c)(3)(G). On July 19, 2023, the Company received a notice from Nasdaq confirming its recompliance with the minimum bid price rule.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disclosed in the Current Report on Form 8-K filed on April 17, 2023, the Company’s audit committee concluded that, as a result of inadvertent errors in the accounting for warrants previously issued by the Company, it was appropriate to restate the Company’s previously issued unaudited condensed consolidated interim financial statements as of and for the quarterly periods ended March 31, 2022, June 30, 2022 and September 30, 2022 included in the Company’s Quarterly Reports on Form 10-Q for such periods in amended quarterly reports for the affected periods. As a result of such restatements, the Company was unable to timely file the 2022 Form 10-K, the First Quarter 2023 Form 10-Q and the Second Quarter 2023 Form 10-Q without unreasonable effort or expense.</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18, 2023, the Company received a notice from Nasdaq (the “April Nasdaq Notice”) that it was noncompliant with Nasdaq Listing Rule 5250(c)(1) as a result of its failure to file its Annual Report on Form 10-K (the “Form 10-K”) with the SEC by the required due date.</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May 17, 2023, the Company received a second notice from Nasdaq (the “May Nasdaq Notice”) that it remained noncompliant with Nasdaq Listing Rule 5250(c)(1) as a result of its failure to file its Quarterly Report on Form 10-Q for the quarter ended March 31, 2023 (the “First Quarter Form 10-Q”) with the SEC by the required due date.</w:t>
      </w:r>
    </w:p>
    <w:p>
      <w:pPr>
        <w:spacing w:after="0" w:line="17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Nasdaq granted the Company an exception until October 16, 2023, to file its 2022 Form 10-K and First and Second Quarter 2023 Forms 10-Q.</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Nasdaq Notice had no immediate effect on the listing of the Company’s Common Stock on The Nasdaq Stock Market LLC.</w:t>
      </w:r>
    </w:p>
    <w:p>
      <w:pPr>
        <w:spacing w:after="0" w:line="20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17, 2023, the Company received a Staff Delisting Determination (the “Staff Determination”) from the Listing Qualifications Department of Nasdaq notifying the Company that it was not in compliance with Nasdaq’s continued listing requirements under the Listing Rule as a result of its failure to file the First Quarter Form 10-Q, the Second Quarter Form 10-Q and the Form 10-K (collectively, the “Delinquent Reports”) in a timely manner.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16, 2023, the Company received a notice from Nasdaq that the Company remains noncompliant with the Listing Rule as a result of its failure to file its Quarterly Report on Form 10-Q for the fiscal quarter ended September 30, 2023 with the SEC by the required filing date (the “November Nasdaq Notice” and, together with the April Nasdaq Notice, the May Nasdaq Notice, and the August Nasdaq Notice, the “Nasdaq Notices”).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timely requested a hearing before the Nasdaq Hearings Panel (the “Panel”), and the Panel scheduled a hearing for January 11, 2024. In connection with the hearing request, the Company requested that the stay be extended through the hearing and the expiration of any additional extension period granted by the Panel following the hearing. In that regard, pursuant to the Nasdaq Listing Rules, the Panel granted the additional extension period. However, there can be no assurance that the Company will be able to regain compliance by the end of any additional extension period.</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The Paycheck Protection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May 2020, the Company received an unsecured Paycheck Protection Program Loan (“PPP Loan”) from the Bank of America pursuant to the Paycheck Protection Program (the “PPP”) under the Coronavirus Aid, Relief, and Economic Security Act (“CARES Act”), administered by the U.S. Small Business Administration (the “SBA”). The Company received total loan proceeds of approximately $779 thousand from the PPP Loan. On February 18, 2022, the Company applied for forgiveness of the outstanding balance of the PPP Loan and the application was denied by the SBA on March 18,2022. However, on June 23, 2022, the Company received a letter from Bank of America agreeing to extend the maturity date to May 7, 2025 and the loan will bear interest at a rate of 1.00% per year. The PPP loan is payable in 34 equal combined monthly principal and interest payments of approximately $24 thousand that commenced on August 7, 2022.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 and Principles of Consolidation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Wholly-Owned Subsidiaries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accounting principles generally accepted in the United States (“GAAP”) and include the accounts of Agrify Corporation and its wholly-owned subsidiaries, as described above, in accordance with the provisions required by the Consolidation Topic 810 of the Financial Accounting Standards Board (“FASB”) Accounting Standards Codification (“ASC”). The Company includes results of operations of acquired companies from the date of acquisition. All significant intercompany transactions and balances are eliminated.</w:t>
      </w:r>
    </w:p>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Less Than Wholly-Owned Subsidiaries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For the Company’s less than wholly-owned subsidiaries, which include, Agrify-Valiant LLC (“Agrify-Valiant”), and Agrify Brands, LLC (“Agrify Brands”), the Company first analyzes whether these entities are a variable interest entity (a “VIE”) in accordance with ASC Topic 810, Consolidation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The financial results of a VIE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joint-venture is a VIE, and (ii) if the Company is the primary beneficiary of the VIE. If it is determined that the joint-venture qualifies as a VIE and the Company is the primary beneficiary, the Company’s financial interest in the VIE is consolidated.</w:t>
      </w:r>
    </w:p>
    <w:p>
      <w:pPr>
        <w:spacing w:after="0" w:line="19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Based on the Company’s analysis of these entities, the Company has determined that Agrify-Valiant and Agrify Brands are each a VIE, and that the Company is the primary beneficiary. While the Company owns 60% of Agrify-Valiant’s equity interests and 75% of Agrify Brand’s equity interests, the remaining equity interests in Agrify-Valiant and Agrify Brands are owned by unrelated third parties, and the agreement with these third parties provides the Company with greater voting rights. Accordingly, the Company consolidates its interest in the financial statements of Agrify-Valiant and Agrify Brands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the FASB Accounting Standards Update (“ASU”) 2014-15, “Presentation of Financial Statements - Going Concern”, the Company’s management evaluated whether there are conditions or events that raise substantial doubt about its ability to continue as a going concern within one year after the financial statements’ issuance date. The following matters raise substantial doubt about the Company’s ability to continue as a going concern within one year after the date the financial statements are issued.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incurred operating losses since its inception and has negative cash flows from operations and a working capital deficiency. The Company also has an accumulated deficit of $264 million as of June 30, 2023. The Company’s primary sources of liquidity are its cash and cash equivalents and marketable securities, with additional liquidity accessible, subject to market conditions and other factors, including limitations that may apply to the Company under applicable SEC regulations, from the capital markets, including under its at-the-market continuous equity offering (“ATM” or “ATM Program”).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2023, the Company had $312 thousand of cash, cash equivalents, and marketable securities. The Company had no restricted cash as of June 30, 2023. As of December 31, 2022 the Company’s restricted cash balance of $10.0 million was associated with its new senior secured note (the “Exchange Note”). Current liabilities were $39.8 million as of June 30, 2023. Additional information regarding the Company’s Exchange Note may be found in Note 8 – Debt, included elsewhere in the notes to the consolidated financial statements.</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Canaccord Genuity LLC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In 2022, the Company sold 306,628 shares of Common Stock under the ATM at an average price of $50.85, resulting in gross proceeds of $15.6 million and net proceeds $15.1 million after commissions and fees to the Agent totaling $468 thousand and legal fees totaling $75 thousand. As of April 1, 2023, after which time the ATM program was discontinued, the Company sold an additional 323,082 shares of Common Stock under the ATM at an average price of $4.93, resulting in gross proceeds of $1.6 million and net proceeds of $1.6 million after commissions and fees to the Agent totaling $48 thousand. $3.0 million of the proceeds under the ATM Program were used to repay amounts due to the Investor under the Exchange Note. The Company used the net proceeds generated from the ATM Program for working capital and general corporate purposes, including repayment of indebtedness, funding its transformation initiatives and product category expansion efforts and capital expenditures. Due to the late filing of the Company’s 2022 Annual Report on Form 10-K, the Company is no longer eligible to utilize the registration statement on Form S-3 relating to the ATM Program.</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include assumptions about collection of accounts and notes receivable, the valuation and recognition of stock-based compensation expense, valuation allowance for deferred tax assets, the valuation of inventory, and useful life of fixed assets and intangible assets. The Company bases its estimates on historical experience, known trends and other market-specific information, other relevant factors that it believes to be reasonable under the circumstances, and management’s judgement. On an ongoing basis, management evaluates its estimates when there are changes in circumstances, facts, and experience. Changes in estimates are recorded in the period in which they become known. Actual financial results could differ from those estimates.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Reclassifications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Certain amounts in the Company’s prior period financial statements have been reclassified to conform to the presentation of the current period financial statements. In this Form 10-Q, the Company has reclassified selling, general and administrative expenses to two separate line items in the accompanying consolidated statements of operations as general and administrative expenses and selling and marketing expenses for the three months ended June 30, 2023 and 2022.</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the Company effected a 1-for-10 reverse stock split of its Common Stock on October 18, 2022 and a 1-for-20 reverse stock split of its Common Stock on July 5, 2023. All share and per share information has been retroactively adjusted to give effect to the reverse stock split for all periods presented unless otherwise indicated. The shares of Common Stock retained a par value of $0.001 per share. Accordingly, the Stockholders’ equity section of the Consolidated Balance Sheet reflects the reverse stock split by reclassifying from “Common Stock” to “Additional paid-in capital” an amount equal to the par value of the decreased shares resulting from the reverse stock split.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Cash and cash equivalents consist principally of cash and deposits with maturities of three months or less as of June 30, 2023 and December 31,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cash equivalents are carried at cost, which approximates fair value.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marketable security investments primarily include investments held in mutual funds, municipal bonds, and corporate bonds. The mutual funds are recorded at fair value in the accompanying consolidated balance sheets as part of cash and cash equivalents. The municipal and corporate bonds are considered to be held-to-maturity securities and are recorded at amortized cost in the accompanying consolidated balance sheets. The fair value of these investments was estimated using recently executed transactions and market price quotations. The Company considers current assets to be those investments that will mature within the next 12 months, including interest receivable on long-term bonds.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Accounts receivable, net, primarily consists of amounts for goods and services that are billed and currently due from customers. Accounts receivable balances are presented net of an allowance for credit losses, which is an estimate of billed amounts that may not be collectible. In determining the amount of the allowance at each reporting date, management makes judgments about general economic conditions, historical write-off experience, and any specific risks identified in customer collection matters, including the aging of unpaid accounts receivable and changes in customer financial conditions. Accounts receivable balances are written off after all means of collection are exhausted and the potential for non-recovery is determined to be probable. Adjustments to the allowance for credit losses are recorded as general and administrative expenses in the consolidated statements of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Significant Customer</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a concentration of credit risk primarily consist of cash, cash equivalents, restricted cash, marketable securities, and accounts receivable. Cash equivalents primarily consist of money market funds with original maturities of three months or less, which are invested primarily with U.S. financial institutions. Cash deposits with financial institutions, including restricted cash, generally exceed federally insured limits. Management believes minimal credit risk exists with respect to these financial institutions and the Company has not experienced any losses on such amounts.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tables below show customers who account for 10% or more of the Company’s total revenues and 10% or more of the Company’s accounts receivable for the periods presented: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2023 and 2022, the Company’s customers that accounted for 10% or more of the total revenue were as follows: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4"/>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6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220" w:type="dxa"/>
            <w:vAlign w:val="bottom"/>
            <w:gridSpan w:val="4"/>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gridSpan w:val="4"/>
          </w:tcPr>
          <w:p>
            <w:pPr>
              <w:ind w:left="4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4"/>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60" w:type="dxa"/>
            <w:vAlign w:val="bottom"/>
            <w:gridSpan w:val="5"/>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2220" w:type="dxa"/>
            <w:vAlign w:val="bottom"/>
            <w:gridSpan w:val="4"/>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180" w:type="dxa"/>
            <w:vAlign w:val="bottom"/>
            <w:gridSpan w:val="4"/>
          </w:tcPr>
          <w:p>
            <w:pPr>
              <w:ind w:left="5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0" w:type="dxa"/>
            <w:vAlign w:val="bottom"/>
          </w:tcPr>
          <w:p>
            <w:pPr>
              <w:spacing w:after="0"/>
              <w:rPr>
                <w:sz w:val="1"/>
                <w:szCs w:val="1"/>
                <w:color w:val="auto"/>
              </w:rPr>
            </w:pPr>
          </w:p>
        </w:tc>
      </w:tr>
      <w:tr>
        <w:trPr>
          <w:trHeight w:val="124"/>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0"/>
                <w:szCs w:val="10"/>
                <w:color w:val="auto"/>
              </w:rPr>
            </w:pPr>
          </w:p>
        </w:tc>
        <w:tc>
          <w:tcPr>
            <w:tcW w:w="760" w:type="dxa"/>
            <w:vAlign w:val="bottom"/>
            <w:tcBorders>
              <w:top w:val="single" w:sz="8" w:color="auto"/>
            </w:tcBorders>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tcPr>
          <w:p>
            <w:pPr>
              <w:jc w:val="center"/>
              <w:ind w:left="48"/>
              <w:spacing w:after="0" w:line="124"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0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vMerge w:val="restart"/>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vMerge w:val="restart"/>
          </w:tcPr>
          <w:p>
            <w:pPr>
              <w:spacing w:after="0"/>
              <w:rPr>
                <w:sz w:val="10"/>
                <w:szCs w:val="10"/>
                <w:color w:val="auto"/>
              </w:rPr>
            </w:pPr>
          </w:p>
        </w:tc>
        <w:tc>
          <w:tcPr>
            <w:tcW w:w="1000" w:type="dxa"/>
            <w:vAlign w:val="bottom"/>
            <w:tcBorders>
              <w:top w:val="single" w:sz="8" w:color="auto"/>
            </w:tcBorders>
          </w:tcPr>
          <w:p>
            <w:pPr>
              <w:jc w:val="right"/>
              <w:ind w:right="104"/>
              <w:spacing w:after="0" w:line="124"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vMerge w:val="restart"/>
          </w:tcPr>
          <w:p>
            <w:pPr>
              <w:spacing w:after="0"/>
              <w:rPr>
                <w:sz w:val="10"/>
                <w:szCs w:val="10"/>
                <w:color w:val="auto"/>
              </w:rPr>
            </w:pPr>
          </w:p>
        </w:tc>
        <w:tc>
          <w:tcPr>
            <w:tcW w:w="1000" w:type="dxa"/>
            <w:vAlign w:val="bottom"/>
            <w:tcBorders>
              <w:top w:val="single" w:sz="8" w:color="auto"/>
            </w:tcBorders>
          </w:tcPr>
          <w:p>
            <w:pPr>
              <w:jc w:val="right"/>
              <w:ind w:right="104"/>
              <w:spacing w:after="0" w:line="124" w:lineRule="exact"/>
              <w:rPr>
                <w:sz w:val="20"/>
                <w:szCs w:val="20"/>
                <w:color w:val="auto"/>
              </w:rPr>
            </w:pPr>
            <w:r>
              <w:rPr>
                <w:rFonts w:ascii="Times New Roman" w:cs="Times New Roman" w:eastAsia="Times New Roman" w:hAnsi="Times New Roman"/>
                <w:sz w:val="14"/>
                <w:szCs w:val="14"/>
                <w:b w:val="1"/>
                <w:bCs w:val="1"/>
                <w:color w:val="auto"/>
              </w:rPr>
              <w:t>% of Total</w:t>
            </w: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vMerge w:val="restart"/>
          </w:tcPr>
          <w:p>
            <w:pPr>
              <w:spacing w:after="0"/>
              <w:rPr>
                <w:sz w:val="10"/>
                <w:szCs w:val="10"/>
                <w:color w:val="auto"/>
              </w:rPr>
            </w:pPr>
          </w:p>
        </w:tc>
        <w:tc>
          <w:tcPr>
            <w:tcW w:w="1000" w:type="dxa"/>
            <w:vAlign w:val="bottom"/>
            <w:tcBorders>
              <w:top w:val="single" w:sz="8" w:color="auto"/>
            </w:tcBorders>
          </w:tcPr>
          <w:p>
            <w:pPr>
              <w:jc w:val="center"/>
              <w:spacing w:after="0" w:line="124" w:lineRule="exact"/>
              <w:rPr>
                <w:sz w:val="20"/>
                <w:szCs w:val="20"/>
                <w:color w:val="auto"/>
              </w:rPr>
            </w:pPr>
            <w:r>
              <w:rPr>
                <w:rFonts w:ascii="Times New Roman" w:cs="Times New Roman" w:eastAsia="Times New Roman" w:hAnsi="Times New Roman"/>
                <w:sz w:val="14"/>
                <w:szCs w:val="14"/>
                <w:b w:val="1"/>
                <w:bCs w:val="1"/>
                <w:color w:val="auto"/>
                <w:w w:val="99"/>
              </w:rPr>
              <w:t>% of Total</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0"/>
        </w:trPr>
        <w:tc>
          <w:tcPr>
            <w:tcW w:w="182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CCEEFF"/>
            </w:tcBorders>
            <w:vMerge w:val="continue"/>
          </w:tcPr>
          <w:p>
            <w:pPr>
              <w:spacing w:after="0"/>
              <w:rPr>
                <w:sz w:val="15"/>
                <w:szCs w:val="15"/>
                <w:color w:val="auto"/>
              </w:rPr>
            </w:pPr>
          </w:p>
        </w:tc>
        <w:tc>
          <w:tcPr>
            <w:tcW w:w="7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right"/>
              <w:ind w:right="164"/>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6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CCEEFF"/>
            </w:tcBorders>
            <w:vMerge w:val="continue"/>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Customer A</w:t>
            </w: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4,835</w:t>
            </w:r>
          </w:p>
        </w:tc>
        <w:tc>
          <w:tcPr>
            <w:tcW w:w="138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25.0%  $</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627</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5.8%</w:t>
            </w:r>
          </w:p>
        </w:tc>
        <w:tc>
          <w:tcPr>
            <w:tcW w:w="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4"/>
                <w:szCs w:val="14"/>
                <w:color w:val="auto"/>
              </w:rPr>
              <w:t>8,628</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234"/>
        </w:trPr>
        <w:tc>
          <w:tcPr>
            <w:tcW w:w="1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Customer C</w:t>
            </w:r>
          </w:p>
        </w:tc>
        <w:tc>
          <w:tcPr>
            <w:tcW w:w="760" w:type="dxa"/>
            <w:vAlign w:val="bottom"/>
          </w:tcPr>
          <w:p>
            <w:pPr>
              <w:spacing w:after="0"/>
              <w:rPr>
                <w:sz w:val="20"/>
                <w:szCs w:val="20"/>
                <w:color w:val="auto"/>
              </w:rPr>
            </w:pPr>
          </w:p>
        </w:tc>
        <w:tc>
          <w:tcPr>
            <w:tcW w:w="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spacing w:after="0"/>
              <w:rPr>
                <w:sz w:val="20"/>
                <w:szCs w:val="20"/>
                <w:color w:val="auto"/>
              </w:rPr>
            </w:pPr>
          </w:p>
        </w:tc>
        <w:tc>
          <w:tcPr>
            <w:tcW w:w="2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tcPr>
          <w:p>
            <w:pPr>
              <w:ind w:left="520"/>
              <w:spacing w:after="0"/>
              <w:rPr>
                <w:sz w:val="20"/>
                <w:szCs w:val="20"/>
                <w:color w:val="auto"/>
              </w:rPr>
            </w:pPr>
            <w:r>
              <w:rPr>
                <w:rFonts w:ascii="Times New Roman" w:cs="Times New Roman" w:eastAsia="Times New Roman" w:hAnsi="Times New Roman"/>
                <w:sz w:val="14"/>
                <w:szCs w:val="14"/>
                <w:color w:val="auto"/>
              </w:rPr>
              <w:t>6,146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13.6%</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revenue, as a percentage of total revenue, was less than 10%</w:t>
      </w:r>
    </w:p>
    <w:p>
      <w:pPr>
        <w:spacing w:after="0" w:line="221"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Accounts Receivable, Net</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As of June 30, 2023 and December 31, 2022, the Company’s customers that accounted for 10% or more of the total accounts receivable, net,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20" w:type="dxa"/>
            <w:vAlign w:val="bottom"/>
            <w:gridSpan w:val="4"/>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As of June 30, 2023</w:t>
            </w:r>
          </w:p>
        </w:tc>
        <w:tc>
          <w:tcPr>
            <w:tcW w:w="180" w:type="dxa"/>
            <w:vAlign w:val="bottom"/>
          </w:tcPr>
          <w:p>
            <w:pPr>
              <w:spacing w:after="0"/>
              <w:rPr>
                <w:sz w:val="21"/>
                <w:szCs w:val="21"/>
                <w:color w:val="auto"/>
              </w:rPr>
            </w:pPr>
          </w:p>
        </w:tc>
        <w:tc>
          <w:tcPr>
            <w:tcW w:w="2420" w:type="dxa"/>
            <w:vAlign w:val="bottom"/>
            <w:gridSpan w:val="4"/>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As of December 31, 2022</w:t>
            </w:r>
          </w:p>
        </w:tc>
      </w:tr>
      <w:tr>
        <w:trPr>
          <w:trHeight w:val="194"/>
        </w:trPr>
        <w:tc>
          <w:tcPr>
            <w:tcW w:w="5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8"/>
              </w:rPr>
              <w:t>% of Total</w:t>
            </w:r>
          </w:p>
        </w:tc>
        <w:tc>
          <w:tcPr>
            <w:tcW w:w="160" w:type="dxa"/>
            <w:vAlign w:val="bottom"/>
          </w:tcPr>
          <w:p>
            <w:pPr>
              <w:spacing w:after="0"/>
              <w:rPr>
                <w:sz w:val="16"/>
                <w:szCs w:val="16"/>
                <w:color w:val="auto"/>
              </w:rPr>
            </w:pPr>
          </w:p>
        </w:tc>
      </w:t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Accounts</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Accounts</w:t>
            </w:r>
          </w:p>
        </w:tc>
      </w:tr>
      <w:tr>
        <w:trPr>
          <w:trHeight w:val="245"/>
        </w:trPr>
        <w:tc>
          <w:tcPr>
            <w:tcW w:w="58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2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Receivable</w:t>
            </w:r>
          </w:p>
        </w:tc>
        <w:tc>
          <w:tcPr>
            <w:tcW w:w="160" w:type="dxa"/>
            <w:vAlign w:val="bottom"/>
            <w:tcBorders>
              <w:bottom w:val="single" w:sz="8" w:color="CCEEFF"/>
            </w:tcBorders>
          </w:tcPr>
          <w:p>
            <w:pPr>
              <w:spacing w:after="0"/>
              <w:rPr>
                <w:sz w:val="21"/>
                <w:szCs w:val="21"/>
                <w:color w:val="auto"/>
              </w:rPr>
            </w:pPr>
          </w:p>
        </w:tc>
      </w:tr>
      <w:tr>
        <w:trPr>
          <w:trHeight w:val="216"/>
        </w:trPr>
        <w:tc>
          <w:tcPr>
            <w:tcW w:w="5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- 10888-1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r>
      <w:tr>
        <w:trPr>
          <w:trHeight w:val="216"/>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15095</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718</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352</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32.9%</w:t>
            </w:r>
          </w:p>
        </w:tc>
      </w:tr>
      <w:tr>
        <w:trPr>
          <w:trHeight w:val="216"/>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Customer Number - 16491</w:t>
            </w: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123</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11.5%</w:t>
            </w:r>
          </w:p>
        </w:tc>
      </w:tr>
      <w:tr>
        <w:trPr>
          <w:trHeight w:val="234"/>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Customer Number - 10888</w:t>
            </w:r>
          </w:p>
        </w:tc>
        <w:tc>
          <w:tcPr>
            <w:tcW w:w="18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w:t>
            </w:r>
          </w:p>
        </w:tc>
      </w:tr>
    </w:tbl>
    <w:p>
      <w:pPr>
        <w:spacing w:after="0" w:line="179"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accounts receivable, as a percentage of total accounts receivable, was less than 10%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values all its inventories, which consist primarily of significant raw material hardware components, at the lower of cost or net realizable value, with cost principally determined by the weighted-average cost method on a first-in, first-out basis. Write-offs of potentially slow-moving or damaged inventory are recorded through specific identification of obsolete or damaged material. The Company takes physical inventory at least once annually at all inventory locations.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and Equipment</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80" w:type="dxa"/>
            <w:vAlign w:val="bottom"/>
          </w:tcPr>
          <w:p>
            <w:pPr>
              <w:spacing w:after="0"/>
              <w:rPr>
                <w:sz w:val="18"/>
                <w:szCs w:val="18"/>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Estimated Useful Life</w:t>
            </w:r>
          </w:p>
        </w:tc>
      </w:tr>
      <w:tr>
        <w:trPr>
          <w:trHeight w:val="245"/>
        </w:trPr>
        <w:tc>
          <w:tcPr>
            <w:tcW w:w="9480" w:type="dxa"/>
            <w:vAlign w:val="bottom"/>
            <w:tcBorders>
              <w:bottom w:val="single" w:sz="8" w:color="CCEEFF"/>
            </w:tcBorders>
          </w:tcPr>
          <w:p>
            <w:pPr>
              <w:spacing w:after="0"/>
              <w:rPr>
                <w:sz w:val="21"/>
                <w:szCs w:val="21"/>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(Years)</w:t>
            </w: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 to 3</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2</w:t>
            </w: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3</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Vehicles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of laboratory equipment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216"/>
        </w:trPr>
        <w:tc>
          <w:tcPr>
            <w:tcW w:w="9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 to 13</w:t>
            </w:r>
          </w:p>
        </w:tc>
      </w:tr>
      <w:tr>
        <w:trPr>
          <w:trHeight w:val="216"/>
        </w:trPr>
        <w:tc>
          <w:tcPr>
            <w:tcW w:w="9480" w:type="dxa"/>
            <w:vAlign w:val="bottom"/>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 to 5</w:t>
            </w:r>
          </w:p>
        </w:tc>
      </w:tr>
      <w:tr>
        <w:trPr>
          <w:trHeight w:val="198"/>
        </w:trPr>
        <w:tc>
          <w:tcPr>
            <w:tcW w:w="9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Leasehold improvements</w:t>
            </w:r>
          </w:p>
        </w:tc>
        <w:tc>
          <w:tcPr>
            <w:tcW w:w="176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Lower of estimated</w:t>
            </w:r>
          </w:p>
        </w:tc>
      </w:tr>
      <w:tr>
        <w:trPr>
          <w:trHeight w:val="216"/>
        </w:trPr>
        <w:tc>
          <w:tcPr>
            <w:tcW w:w="9480" w:type="dxa"/>
            <w:vAlign w:val="bottom"/>
            <w:shd w:val="clear" w:color="auto" w:fill="CCEEFF"/>
          </w:tcPr>
          <w:p>
            <w:pPr>
              <w:spacing w:after="0"/>
              <w:rPr>
                <w:sz w:val="18"/>
                <w:szCs w:val="18"/>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useful life or</w:t>
            </w:r>
          </w:p>
        </w:tc>
      </w:tr>
      <w:tr>
        <w:trPr>
          <w:trHeight w:val="234"/>
        </w:trPr>
        <w:tc>
          <w:tcPr>
            <w:tcW w:w="9480" w:type="dxa"/>
            <w:vAlign w:val="bottom"/>
            <w:shd w:val="clear" w:color="auto" w:fill="CCEEFF"/>
          </w:tcPr>
          <w:p>
            <w:pPr>
              <w:spacing w:after="0"/>
              <w:rPr>
                <w:sz w:val="20"/>
                <w:szCs w:val="20"/>
                <w:color w:val="auto"/>
              </w:rPr>
            </w:pP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remaining lease term</w:t>
            </w: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estimated useful lives of the Company’s property and equipment are periodically assessed to determine if changes are appropriate. The Company charges maintenance and repairs to expense as incurred. When the Company retires or disposes of assets, the carrying cost of these assets and related accumulated depreciation or amortization are eliminated from the consolidated balance sheet and any resulting gain or loss are included in the consolidated statements of operations in the period of retirement or disposal.</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Costs for capital assets not yet placed into service are capitalized as construction-in-progress and depreciated once placed into service. During construction, costs are accumulated in a construction-in-progress account, with no depreciation. Upon completion, costs are transferred to the appropriate asset account, and depreciation begins when the asset is placed into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Goodwill is defined as the excess of cost over the fair value of assets acquired and liabilities assumed in a business combination. Goodwill is tested for impairment annually, and more frequently if events and circumstances indicate that the asset might be impaired. The Company has determined that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and/or a decline in the Company’s market value as a result of a significant decline in the Company’s stock price.</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goodwill. Accordingly, the Company concluded that the entire carrying value of its goodwill was impaired, resulting in a second-quarter impairment charge of $54.7 million. Additional information regarding the Company’s interim testing on goodwill may be found in Note 7 – Goodwill and Intangible Assets, Net,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initially records intangible assets at their estimated fair values and reviews these assets periodically for impairment. Identifiable intangible assets, which consist principally of customer-related acquired assets, acquired and/or developed technology, non-compete agreements, and trade names, are reported net of accumulated amortization, and are being amortized over their estimated useful lives at amortization rates that are proportional to each asset’s estimated economic benefit. The Company’s intangible assets are amortized on a straight-line basis over the estimated useful lives of the assets. The Company reviews the carrying value of these intangible assets annually, or more frequently if indicators of impairment are present.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8"/>
        </w:trPr>
        <w:tc>
          <w:tcPr>
            <w:tcW w:w="2620" w:type="dxa"/>
            <w:vAlign w:val="bottom"/>
          </w:tcPr>
          <w:p>
            <w:pPr>
              <w:spacing w:after="0"/>
              <w:rPr>
                <w:sz w:val="20"/>
                <w:szCs w:val="20"/>
                <w:color w:val="auto"/>
              </w:rPr>
            </w:pPr>
          </w:p>
        </w:tc>
        <w:tc>
          <w:tcPr>
            <w:tcW w:w="8620" w:type="dxa"/>
            <w:vAlign w:val="bottom"/>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w w:val="99"/>
              </w:rPr>
              <w:t>AGRIFY CORPORATION</w:t>
            </w:r>
          </w:p>
        </w:tc>
      </w:tr>
      <w:tr>
        <w:trPr>
          <w:trHeight w:val="432"/>
        </w:trPr>
        <w:tc>
          <w:tcPr>
            <w:tcW w:w="2620" w:type="dxa"/>
            <w:vAlign w:val="bottom"/>
          </w:tcPr>
          <w:p>
            <w:pPr>
              <w:spacing w:after="0"/>
              <w:rPr>
                <w:sz w:val="24"/>
                <w:szCs w:val="24"/>
                <w:color w:val="auto"/>
              </w:rPr>
            </w:pPr>
          </w:p>
        </w:tc>
        <w:tc>
          <w:tcPr>
            <w:tcW w:w="8620" w:type="dxa"/>
            <w:vAlign w:val="bottom"/>
          </w:tcPr>
          <w:p>
            <w:pPr>
              <w:jc w:val="center"/>
              <w:ind w:right="2530"/>
              <w:spacing w:after="0"/>
              <w:rPr>
                <w:sz w:val="20"/>
                <w:szCs w:val="20"/>
                <w:color w:val="auto"/>
              </w:rPr>
            </w:pPr>
            <w:r>
              <w:rPr>
                <w:rFonts w:ascii="Times New Roman" w:cs="Times New Roman" w:eastAsia="Times New Roman" w:hAnsi="Times New Roman"/>
                <w:sz w:val="18"/>
                <w:szCs w:val="18"/>
                <w:b w:val="1"/>
                <w:bCs w:val="1"/>
                <w:color w:val="auto"/>
                <w:w w:val="99"/>
              </w:rPr>
              <w:t>NOTES TO CONDENSED CONSOLIDATED FINANCIAL STATEMENTS</w:t>
            </w:r>
          </w:p>
        </w:tc>
      </w:tr>
      <w:tr>
        <w:trPr>
          <w:trHeight w:val="432"/>
        </w:trPr>
        <w:tc>
          <w:tcPr>
            <w:tcW w:w="26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useful lives are as follows:</w:t>
            </w:r>
          </w:p>
        </w:tc>
        <w:tc>
          <w:tcPr>
            <w:tcW w:w="8620" w:type="dxa"/>
            <w:vAlign w:val="bottom"/>
          </w:tcPr>
          <w:p>
            <w:pPr>
              <w:spacing w:after="0"/>
              <w:rPr>
                <w:sz w:val="24"/>
                <w:szCs w:val="24"/>
                <w:color w:val="auto"/>
              </w:rPr>
            </w:pPr>
          </w:p>
        </w:tc>
      </w:tr>
      <w:tr>
        <w:trPr>
          <w:trHeight w:val="216"/>
        </w:trPr>
        <w:tc>
          <w:tcPr>
            <w:tcW w:w="2620" w:type="dxa"/>
            <w:vAlign w:val="bottom"/>
          </w:tcPr>
          <w:p>
            <w:pPr>
              <w:spacing w:after="0"/>
              <w:rPr>
                <w:sz w:val="18"/>
                <w:szCs w:val="18"/>
                <w:color w:val="auto"/>
              </w:rPr>
            </w:pPr>
          </w:p>
        </w:tc>
        <w:tc>
          <w:tcPr>
            <w:tcW w:w="8620" w:type="dxa"/>
            <w:vAlign w:val="bottom"/>
          </w:tcPr>
          <w:p>
            <w:pPr>
              <w:spacing w:after="0"/>
              <w:rPr>
                <w:sz w:val="18"/>
                <w:szCs w:val="18"/>
                <w:color w:val="auto"/>
              </w:rPr>
            </w:pP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8620" w:type="dxa"/>
            <w:vAlign w:val="bottom"/>
            <w:shd w:val="clear" w:color="auto" w:fill="CCEEFF"/>
          </w:tcPr>
          <w:p>
            <w:pPr>
              <w:jc w:val="center"/>
              <w:ind w:left="7190"/>
              <w:spacing w:after="0"/>
              <w:rPr>
                <w:sz w:val="20"/>
                <w:szCs w:val="20"/>
                <w:color w:val="auto"/>
              </w:rPr>
            </w:pPr>
            <w:r>
              <w:rPr>
                <w:rFonts w:ascii="Times New Roman" w:cs="Times New Roman" w:eastAsia="Times New Roman" w:hAnsi="Times New Roman"/>
                <w:sz w:val="18"/>
                <w:szCs w:val="18"/>
                <w:color w:val="auto"/>
                <w:w w:val="98"/>
              </w:rPr>
              <w:t>5 to 7 years</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Acquired developed technology</w:t>
            </w:r>
          </w:p>
        </w:tc>
        <w:tc>
          <w:tcPr>
            <w:tcW w:w="8620" w:type="dxa"/>
            <w:vAlign w:val="bottom"/>
          </w:tcPr>
          <w:p>
            <w:pPr>
              <w:jc w:val="center"/>
              <w:ind w:left="7190"/>
              <w:spacing w:after="0"/>
              <w:rPr>
                <w:sz w:val="20"/>
                <w:szCs w:val="20"/>
                <w:color w:val="auto"/>
              </w:rPr>
            </w:pPr>
            <w:r>
              <w:rPr>
                <w:rFonts w:ascii="Times New Roman" w:cs="Times New Roman" w:eastAsia="Times New Roman" w:hAnsi="Times New Roman"/>
                <w:sz w:val="18"/>
                <w:szCs w:val="18"/>
                <w:color w:val="auto"/>
                <w:w w:val="98"/>
              </w:rPr>
              <w:t>5 to 8 years</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Non-compete agreements</w:t>
            </w:r>
          </w:p>
        </w:tc>
        <w:tc>
          <w:tcPr>
            <w:tcW w:w="8620" w:type="dxa"/>
            <w:vAlign w:val="bottom"/>
            <w:shd w:val="clear" w:color="auto" w:fill="CCEEFF"/>
          </w:tcPr>
          <w:p>
            <w:pPr>
              <w:jc w:val="center"/>
              <w:ind w:left="7190"/>
              <w:spacing w:after="0"/>
              <w:rPr>
                <w:sz w:val="20"/>
                <w:szCs w:val="20"/>
                <w:color w:val="auto"/>
              </w:rPr>
            </w:pPr>
            <w:r>
              <w:rPr>
                <w:rFonts w:ascii="Times New Roman" w:cs="Times New Roman" w:eastAsia="Times New Roman" w:hAnsi="Times New Roman"/>
                <w:sz w:val="18"/>
                <w:szCs w:val="18"/>
                <w:color w:val="auto"/>
                <w:w w:val="97"/>
              </w:rPr>
              <w:t>5 years</w:t>
            </w:r>
          </w:p>
        </w:tc>
      </w:tr>
      <w:tr>
        <w:trPr>
          <w:trHeight w:val="216"/>
        </w:trPr>
        <w:tc>
          <w:tcPr>
            <w:tcW w:w="2620" w:type="dxa"/>
            <w:vAlign w:val="bottom"/>
          </w:tcPr>
          <w:p>
            <w:pPr>
              <w:spacing w:after="0"/>
              <w:rPr>
                <w:sz w:val="20"/>
                <w:szCs w:val="20"/>
                <w:color w:val="auto"/>
              </w:rPr>
            </w:pPr>
            <w:r>
              <w:rPr>
                <w:rFonts w:ascii="Times New Roman" w:cs="Times New Roman" w:eastAsia="Times New Roman" w:hAnsi="Times New Roman"/>
                <w:sz w:val="18"/>
                <w:szCs w:val="18"/>
                <w:color w:val="auto"/>
              </w:rPr>
              <w:t>Customer relationships</w:t>
            </w:r>
          </w:p>
        </w:tc>
        <w:tc>
          <w:tcPr>
            <w:tcW w:w="8620" w:type="dxa"/>
            <w:vAlign w:val="bottom"/>
          </w:tcPr>
          <w:p>
            <w:pPr>
              <w:jc w:val="center"/>
              <w:ind w:left="7190"/>
              <w:spacing w:after="0"/>
              <w:rPr>
                <w:sz w:val="20"/>
                <w:szCs w:val="20"/>
                <w:color w:val="auto"/>
              </w:rPr>
            </w:pPr>
            <w:r>
              <w:rPr>
                <w:rFonts w:ascii="Times New Roman" w:cs="Times New Roman" w:eastAsia="Times New Roman" w:hAnsi="Times New Roman"/>
                <w:sz w:val="18"/>
                <w:szCs w:val="18"/>
                <w:color w:val="auto"/>
                <w:w w:val="98"/>
              </w:rPr>
              <w:t>5 to 8 years</w:t>
            </w:r>
          </w:p>
        </w:tc>
      </w:tr>
      <w:tr>
        <w:trPr>
          <w:trHeight w:val="216"/>
        </w:trPr>
        <w:tc>
          <w:tcPr>
            <w:tcW w:w="2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Capitalized website costs</w:t>
            </w:r>
          </w:p>
        </w:tc>
        <w:tc>
          <w:tcPr>
            <w:tcW w:w="8620" w:type="dxa"/>
            <w:vAlign w:val="bottom"/>
            <w:shd w:val="clear" w:color="auto" w:fill="CCEEFF"/>
          </w:tcPr>
          <w:p>
            <w:pPr>
              <w:jc w:val="center"/>
              <w:ind w:left="7190"/>
              <w:spacing w:after="0"/>
              <w:rPr>
                <w:sz w:val="20"/>
                <w:szCs w:val="20"/>
                <w:color w:val="auto"/>
              </w:rPr>
            </w:pPr>
            <w:r>
              <w:rPr>
                <w:rFonts w:ascii="Times New Roman" w:cs="Times New Roman" w:eastAsia="Times New Roman" w:hAnsi="Times New Roman"/>
                <w:sz w:val="18"/>
                <w:szCs w:val="18"/>
                <w:color w:val="auto"/>
                <w:w w:val="98"/>
              </w:rPr>
              <w:t>3 to 5 years</w:t>
            </w: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performing the review of the recoverability of intangible assets, the Company considers several factors, including whether there have been significant changes in legal factors or the overall business climate that could affect the underlying value of an asset. The Company also considers whether there is an expectation that the asset will be sold or disposed of before the end of its remaining estimated useful life. If, as the result of examining any of these factors, the Company concludes that the carrying value of the intangible asset exceeds its estimated fair value, the Company recognizes an impairment charge and reduces the carrying value of the asset to its estimated fair value.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 identified an impairment-triggering event associated with both a sustained decline in the Company’s stock price and associated market capitalization, as well as a second-quarter slowdown in the cannabis industry as a whole. Due to these factors, the Company deemed that there was an impairment to the carrying value of its property and equipment and accordingly performed interim testing as of June 30, 2022.</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its interim testing, the Company noted that the carrying value of equity exceeded the calculated fair value by an amount greater than the aggregate value of our intangible assets. Accordingly, the Company concluded that the entire carrying value of its intangible assets should be impaired, resulting in a second-quarter impairment charge of $15.2 million. Additional information regarding the Company’s interim testing on intangible assets may be found in Note 7 – Goodwill and Intangible Assets, Net, included elsewhere in the notes to the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Convertible Notes Payable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evaluates its convertible instruments to determine if those contracts or embedded components of those contracts qualify as derivative financial instruments to be separately accounted for in accordance with ASC Topic 815, Derivatives and Hedging (“ASC 815”). The accounting treatment of derivative financial instruments requires that the Company identify and record certain ECOs, certain variable-share settlement features, and any related freestanding instruments at their fair values as of the inception date of the agreement and at fair value as of each subsequent balance sheet date. Any change in fair value is recorded as 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If the Company determines that an instrument is not a derivative liability, it then evaluates whether there is a BCF, by comparing the commitment date fair value to the effective current conversion price of the instrument. The Company records a BCF as a debt discount which is amortized to interest expense over the life of the respective note using the effective interest method. BCFs that are contingent upon the occurrence of a future event are recognized when the contingency is resolved.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Liabilities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does not use derivative instruments to hedge exposures to cash flow, market, or foreign currency risks. The Company evaluates all its financial instruments, including issued private placement stock purchase warrants, to determine if such instruments are derivatives or contain features that qualify as embedded derivatives, pursuant to ASC Topic 480, Distinguishing Liabilities from Equity (“ASC 480”) and ASC 815. The Company accounts for warrants as either equity-classified or liability-classified instruments based on an assessment of the warrant’s specific terms and applicable authoritative guidance in ASC 480 and ASC 815. Management’s assessment considers whether the warrants are freestanding financial instruments pursuant to ASC 480, whether they meet the definition of a liability pursuant to ASC 480, and whether the warrants meet all of the requirements for equity classification under ASC 815, including whether the warrants are indexed to the Company’s own Common Stock among other conditions for equity classification.</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 issued or modified warrants that meet all of the criteria for equity classification, they are recorded as a component of additional paid-in capital at the time of issuance. For issued or modified warrants that are precluded from equity classification, they are recorded as a liability at their initial fair value on the date of issuance and subject to remeasurement on each balance sheet date with changes in the estimated fair value of the warrants to be recognized as an unrealized gain or loss in the consolidated statements of operations.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18, 2022, the Company reached an agreement with its institutional lender to amend its existing Securities Purchase Agreement and entered into a Securities Exchange Agreement (the “August 2022 Exchange Agreement”). Pursuant to the August 2022 Exchange Agreement, the Company issued a new warrant to purchase 71,139 shares of Common Stock (the “Note Exchange Warrant”) and modified an existing warrant (the “SPA Warrant”) to purchase up to an aggregate of 34,406 shares of Common Stock. The Company exchanged the SPA Warrant for a new warrant for the same number of underlying shares but with a reduced exercise price (the “Modified Warrants” and, collectively with the Note Exchange Warrant, the “August 2022 Warrants”). Additional information regarding the August 2022 Exchange Agreement and August 2022 Warrants may be found in Note 4 – Fair Value Measures and Note 9 – Debt, included elsewhere in the notes to the consolidated financial statements.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Additionally, on April 18, 2023, the Company undertook a warrant exercise inducement program, which it later cancelled. As a result, the warrant exercise price was reduced from $13.00 per share to $3.45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Issuance Costs and Debt Discount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may record debt issuance costs and/or debt discounts in connection with the issuance of debt. The Company may cover these costs by paying cash or issuing warrants. These costs are amortized to interest expense over the expected life of the debt. If a conversion of the underlying debt occurs, a proportionate share of the unamortized amounts is immediately expensed.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Original Issue Discount</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Certain convertible debt issued by the Company, may provide the debt holder with an original issue discount. The Company would record the original issue discount to debt discount, reducing the face amount of the note, and is then amortized to interest expense over the life of the debt.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determines at the inception of an asset contract if such arrangement is or contains a lease. A contract is or contains a lease if the contract conveys the right to control the use of an identified asset for a period of time in exchange for consideration. The Company classifies leases at the lease commencement date as operating or finance leases and records a right-of-use asset and a lease liability on its consolidated balance sheet for all leases with an initial lease term of greater than 12 months. A lease with an initial term of 12 months or less is not recorded on the balance sheet, but related payments are recognized as an expense on a straight-line basis over the lease term.</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asset contracts may contain both lease and non-lease components. Non-lease components may include maintenance, utilities, and other operating costs. The Company combines the lease and non-lease components of fixed costs in its lease arrangements as a single lease component. Variable costs, such as utilities or maintenance costs, are not included in the measurement of right-of-use assets and lease liabilities, but rather are expensed when the event determining the amount of variable consideration to be paid occurs.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Lease liabilities and their corresponding right-of-use assets are recorded based on the present value of future lease payments over the expected lease term. The Company determines the present value of future lease payments by using its estimated secured incremental borrowing rate for that lease term as the interest rate implicit in the lease is not readily determinable. The Company estimates its secured incremental borrowing rate for each lease based on the rate of interest that the Company would have to pay to borrow an amount equal to the lease payments on a collateralized basis over a similar term.</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of the Company’s leases include options to extend or terminate the lease. The amounts determined for the Company’s right-of-use assets and lease liabilities generally do not assume that renewal options or early-termination provisions, if any, are exercised unless it is reasonably certain that the Company will exercise such options.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Revenue</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includes amounts collected or billed in excess of revenue that the Company can recognize. The Company recognizes deferred revenue and non-current deferred revenue as revenue as the related performance obligation is satisfied. The Company records deferred revenue that will be recognized during the succeeding twelve-month period as a current liability on the consolidated balance sheet.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accounts payable and accrued expenses. The estimated fair values of accounts receivable and accounts payable approximate their carrying values due to the short-term nature of these instruments.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measures all stock options and other stock-based awards granted to employees, directors and consultants based on the fair value on the date of the grant and recognizes compensation expense of those awards, net of estimated forfeitures, over the requisite service period, which is generally the vesting period of the respective award. Historically, the Company has issued stock options to employees, directors and consultants with only service-based vesting conditions and records the expense for these awards using the straight-line method.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classifies stock-based compensation expense in its consolidated statements of operations in the same manner in which the award recipient’s payroll costs are classified.</w:t>
      </w:r>
    </w:p>
    <w:p>
      <w:pPr>
        <w:spacing w:after="0" w:line="162"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estimates the fair value of each stock option grant on the date of the grant using the Black-Scholes option-pricing model. Before the IPO, the Company was a private company and therefore lacks company-specific historical and implied volatility information. Therefore, it estimates its expected stock volatility based on the historical volatility of similar publicly-traded companies and expects to continue to do so until such time as it has adequate historical data regarding the volatility of its own traded stock price. The expected term of the Company’s stock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and does not expect to pay any cash dividends in the foreseeable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accounts for business acquisitions using the purchase method of accounting, in accordance with which assets acquired and liabilities assumed are recorded at their respective fair values at the acquisition date. The fair value of the consideration paid, including contingent consideration, is assigned to the assets acquired and liabilities assumed based on their respective fair values. Goodwill represents the excess of the purchase price over the estimated fair values of the assets acquired and liabilities assumed.</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Company’s management exercises significant judgments in determining the fair value of assets acquired and liabilities assumed, as well as intangibles and their estimated useful lives. Fair value and useful life determinations are based on, among other factors, estimates of future expected cash flows, royalty cost savings and appropriate discount rates used in computing present values. These judgments may materially impact the estimates used in allocating acquisition date fair values to assets acquired and liabilities assumed, as well as the Company’s current and future operating results. Actual results may vary from these estimates which may result in adjustments to goodwill and acquisition date fair values of assets and liabilities during a measurement period or upon a final determination of asset and liability fair values, whichever occurs first. Adjustments to the fair value of assets and liabilities made after the end of the measurement period are recorded within the Company’s operating results.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contingent consideration arrangements, the Company recognizes a liability at fair value as of the acquisition date with subsequent fair value adjustments recorded in the consolidated statements of operations. Additional information regarding the Company’s contingent consideration arrangements may be found in Note 4 – Fair Value Measures, included elsewhere in the notes to the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generates revenue from the following sources: (1) equipment sales, (2) providing services and (3) construction contracts.</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the Company recognizes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the Company and its customer, the rights have been identified, payment terms are identified, the contract has commercial substance and collectability is probable. Specifically, the Company obtains written/electronic signatures on contracts and purchase orders,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 performance obligation is a promise by the Company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a company’s promise to transfer the good or service to the customer is separately identifiable from other promises in the contract.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the Company expects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The Company’s contracts typically contain multiple performance obligations, for which the Company accounts for individual performance obligations separately, if they are distinct. The standalone selling price reflects the price the Company would charge for a specific piece of equipment or service if it was sold separately in similar circumstances and to similar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enters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the Company determines the performance obligations, it determines the transaction price, which includes estimating the amount of variable consideration to be included in the transaction price, if any. The Company then allocates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The Company determines SSP based on the price at which the performance obligation is sold separately and the methods of estimating SSP under the guidance of ASC 606-10-32-33. If the SSP is not observable through past transactions, the Company estimates the SSP, taking into account available information such as market conditions, expected margins, and internally approved pricing guidelines related to the performance obligations. The Company licenses its SaaS type subscription license, whereby the customer only has a right to access the software over a specified time period. The full value of the contract is recognized ratably over the contractual term of the SaaS subscription, adjusted monthly if tiered pricing is relevant. The Company typically satisfies its performance obligations for equipment sales when equipment is made available for shipment to the customer; for services sales as services are rendered to the customer and for construction contracts both as services are rendered and when the contract is completed.</w:t>
      </w:r>
    </w:p>
    <w:p>
      <w:pPr>
        <w:spacing w:after="0" w:line="19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utilizes the cost-plus margin method to determine the SSP for equipment and build-out services. This method is based on the cost of the services from third parties, plus a reasonable markup that the Company believes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determines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estimates variable consideration in the form of royalties, revenue share, monthly fees, and service credits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the Company will assess whether the transaction price for those contracts include a significant financing component. The Company has elected the practical expedient that permits an entity to not adjust for the effects of a significant financing component if the Company expects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the Company imputes interest on such contracts at an agreed-upon interest rate and will present the financing components separately as financial income. For the six months ended June 30, 2023 and 2022, the Company did not have any such financial income.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the invoice date. The Company’s agreements with its customers do not provide for any refunds for services or products and therefore no specific reserve for such is maintained. In the infrequent instances where customers raise concern over delivered products or services, the Company has endeavored to remedy the concern and all costs related to such matters have been insignificant in all periods presented.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elected to treat shipping and handling activities after 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the Company collects concurrent with revenue-producing activities are excluded from revenue.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payment from customers based on specified terms that are generally less than 30 days from the satisfaction of performance obligations. There are no contract assets related to performance under the contract. The difference in the opening and closing balances of the Company’s deferred revenue primarily results from the timing difference between the Company’s performance and the customer’s payment. The Company fulfills obligations under a contract with a customer by transferring products and services in exchange for consideration from the customer. Accounts receivable are recorded when the customer has been billed or the right to consideration is unconditional. The Company recognizes deferred revenue when consideration has been received or an amount of consideration is due from the customer, and the Company has a future obligation to transfer certain proprietary products.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generally provides a one-year warranty on its products for materials and workmanship but may provide multiple year warranties as negotiated, and generally transfers to its customers the warranties it receives from its vendors, if any, which generally cover this one-year period. In accordance with ASC 450-20-25, the Company accrues for product warranties when the loss is probable and can be reasonably estimated. The Company maintains a reserve for warranty returns of $592 thousand and $553 thousand for June 30, 2023 and December 31, 2022, respectively. The Company’s reserve for warranty returns is included in accrued expenses and other current liabilities in its consolidated balance sheets. Additional information regarding the Company’s warranty reserve may be found in Note 3 – Supplemental Consolidated Balance Sheet Information, included elsewhere in the notes to the consolidated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expenses research and development costs as incurred. Research and development expenses include payroll, employee benefits and other expenses associated with product development. The Company incurs research and development costs associated with the development and enhancement of both hardware and software products associated with its cultivation and extraction equipment, as well as its SaaS-based software offering, Agrify Insights™ cultivation software (“Agrify Insights™”).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 capitalizes certain software engineering efforts related to the continued development of Agrify Insights™ under ASC Topic 350-40 The costs incurred in the preliminary stages of development are expensed as incurred as research costs. Once the application has reached the development stage, internal and external costs incurred to develop internal-use software are capitalized and amortized on a straight-line basis over the estimated useful life of the software. Maintenance and enhancement costs, including those costs in the post-implementation stages, are typically expensed as incurred, unless such costs relate to substantial upgrades and enhancements to the software that result in added functionality, in which case the costs are capitalized and amortized on a straight-line basis over the estimated useful life of the software. The types of costs capitalized during the application development phase include employee compensation, as well as consulting fees for third-party software developers working on these projects. The estimated useful life of capitalized internal-use software ranges from two to five years.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tax asset will not be realized.</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recognizes the benefit of a tax position when it is effectively settled. ASC 740-10-25-10,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229" w:lineRule="exact"/>
        <w:rPr>
          <w:sz w:val="20"/>
          <w:szCs w:val="20"/>
          <w:color w:val="auto"/>
        </w:rPr>
      </w:pPr>
    </w:p>
    <w:p>
      <w:pPr>
        <w:jc w:val="both"/>
        <w:ind w:firstLine="360"/>
        <w:spacing w:after="0" w:line="255" w:lineRule="auto"/>
        <w:rPr>
          <w:sz w:val="20"/>
          <w:szCs w:val="20"/>
          <w:color w:val="auto"/>
        </w:rPr>
      </w:pPr>
      <w:r>
        <w:rPr>
          <w:rFonts w:ascii="Times New Roman" w:cs="Times New Roman" w:eastAsia="Times New Roman" w:hAnsi="Times New Roman"/>
          <w:sz w:val="18"/>
          <w:szCs w:val="18"/>
          <w:color w:val="auto"/>
        </w:rPr>
        <w:t>The Company presents basic and diluted net loss per share attributable to Common Stockholders in conformity with the two-class method required for participating securities. The Company computes basic loss per share by dividing net loss available to Common Stockholders by the weighted-average number of common shares outstanding. Net loss available to Common Stockholders represents net loss attributable to Common Stockholders reduced by the allocation of earnings to participating securities. Losses are not allocated to participating securities as the holders of the participating securities do not have a contractual obligation to share in any losses. Diluted loss per share adjusts basic loss per share for the potentially dilutive impact of stock options and warrants. As the Company has reported losses for all periods presented, all potentially dilutive securities including stock options and warrants, are anti-dilutive, and accordingly, basic net loss per share equals diluted net loss per share.</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reverse stock splits effected on October 18, 2022 and July 5, 2023. Net loss per share was calculated based on the weighted-average number of Common Stock outstanding.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Debt—Debt with Conversion and Other Options (Subtopic 470-20), and Derivatives and Hedging —Contracts in an Entity’s Own Equity (Subtopic 815-40): Accounting for Convertible Instruments and Contracts in an Entity’s Own Equity. The amendments in ASU No. 2020-06 simplify the complexity associated with applying GAAP for certain financial instruments with characteristics of liabilities and equity. More specifically, the amendments focus on the guidance for convertible instruments and derivative scope exceptions for contracts in an entity’s own equity. ASU 2020-06 is effective for fiscal years beginning after December 15, 2021, including interim periods within those fiscal years. The adoption of this new accounting guidance had no impact on the Company’s consolidated financial position.</w:t>
      </w:r>
    </w:p>
    <w:p>
      <w:pPr>
        <w:spacing w:after="0" w:line="18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June 2016, the FASB issued ASU No. 2016-13, Financial Instruments—Credit Losses (Topic 326), which introduces a new methodology for accounting for credit losses on financial instruments, including available-for-sale debt securities and accounts receivable. The guidance establishes a new “expected loss model” that requires entities to estimate current expected credit losses on financial instruments by using all practical and relevant information. Any expected credit losses are to be reflected as allowances rather than reductions in the amortized cost of available-for-sale debt securities. ASU 2016-13 is effective for fiscal years beginning after December 15, 2022. The Company adopted ASU 2016-13 on January 1, 2023. The adoption of this standard did not have a material impact on these condensed consolidated financial statements.</w:t>
      </w:r>
    </w:p>
    <w:p>
      <w:pPr>
        <w:spacing w:after="0" w:line="18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October 2021, the FASB issued ASU No. 2021-08, Business Combinations (Topic 606):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Generally, this should result in an acquirer recognizing and measuring the acquired contract assets and contract liabilities consistent with how they were recognized and measured in the acquiree’s financial statements, if the acquiree prepared financial statements in accordance with GAAP. The amendment in this update is effective for fiscal years beginning after December 15, 2022, including interim periods within those fiscal years. Early adoption is permitted, including adoption in an interim period. The Company adopted ASU 2021-08 on January 1, 2023. The adoption of this standard did not have a material impact on these condensed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Other recent accounting pronouncements did not or are not believed by management to have a material impact on the Company’s present or future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Revenue and Deferred Revenue</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sells its equipment and services to customers under a combination of a contract and purchase order. Equipment revenue includes sales from proprietary products designed and engineered by the Company such as Agrify Vertical Farming Units (“VFUs”), container farms, integrated grow racks, and LED grow lights, and non-proprietary products designed, engineered, and manufactured by third parties such as air cleaning systems and pesticide-free surface protection.</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Construction contracts normally provide for payment upon completion of specified work or units of work as identified in the contract. Although there is considerable variation in the terms of these contracts, they are primarily structured as time-and-material contracts. The Company enters into time-and-materials contracts under which the Company is paid for labor and equipment at negotiated hourly billing rates and other expenses, including materials, as incurred at rates agreed to in the contract. The Company uses three main sub-contractors to execute the construction contracts.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revenue disaggregated by the timing of revenue recognition: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ind w:left="28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Transferred at a point in time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4,583</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9,553</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Transferred over time</w:t>
            </w:r>
          </w:p>
        </w:tc>
        <w:tc>
          <w:tcPr>
            <w:tcW w:w="240" w:type="dxa"/>
            <w:vAlign w:val="bottom"/>
          </w:tcPr>
          <w:p>
            <w:pPr>
              <w:spacing w:after="0"/>
              <w:rPr>
                <w:sz w:val="19"/>
                <w:szCs w:val="19"/>
                <w:color w:val="auto"/>
              </w:rPr>
            </w:pPr>
          </w:p>
        </w:tc>
        <w:tc>
          <w:tcPr>
            <w:tcW w:w="11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483</w:t>
            </w:r>
          </w:p>
        </w:tc>
        <w:tc>
          <w:tcPr>
            <w:tcW w:w="28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9,085</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1,317</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22,332</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5,066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19,329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10,870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45,350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because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Changes in the Company’s current deferred revenue balance for the six months ended June 30, 2023 and the year ended December 31, 2022 were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220" w:type="dxa"/>
            <w:vAlign w:val="bottom"/>
          </w:tcPr>
          <w:p>
            <w:pPr>
              <w:spacing w:after="0"/>
              <w:rPr>
                <w:sz w:val="18"/>
                <w:szCs w:val="18"/>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4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36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 – beginning of period</w:t>
            </w:r>
          </w:p>
        </w:tc>
        <w:tc>
          <w:tcPr>
            <w:tcW w:w="4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Additions</w:t>
            </w:r>
          </w:p>
        </w:tc>
        <w:tc>
          <w:tcPr>
            <w:tcW w:w="4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13,392</w:t>
            </w:r>
          </w:p>
        </w:tc>
        <w:tc>
          <w:tcPr>
            <w:tcW w:w="0" w:type="dxa"/>
            <w:vAlign w:val="bottom"/>
          </w:tcPr>
          <w:p>
            <w:pPr>
              <w:spacing w:after="0"/>
              <w:rPr>
                <w:sz w:val="1"/>
                <w:szCs w:val="1"/>
                <w:color w:val="auto"/>
              </w:rPr>
            </w:pPr>
          </w:p>
        </w:tc>
      </w:tr>
      <w:tr>
        <w:trPr>
          <w:trHeight w:val="162"/>
        </w:trPr>
        <w:tc>
          <w:tcPr>
            <w:tcW w:w="420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Recognized</w:t>
            </w:r>
          </w:p>
        </w:tc>
        <w:tc>
          <w:tcPr>
            <w:tcW w:w="4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20" w:type="dxa"/>
            <w:vAlign w:val="bottom"/>
            <w:shd w:val="clear" w:color="auto" w:fill="CCEEFF"/>
          </w:tcPr>
          <w:p>
            <w:pPr>
              <w:jc w:val="right"/>
              <w:ind w:right="81"/>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4200" w:type="dxa"/>
            <w:vAlign w:val="bottom"/>
            <w:tcBorders>
              <w:bottom w:val="single" w:sz="8" w:color="CCEEFF"/>
            </w:tcBorders>
            <w:vMerge w:val="continue"/>
            <w:shd w:val="clear" w:color="auto" w:fill="CCEEFF"/>
          </w:tcPr>
          <w:p>
            <w:pPr>
              <w:spacing w:after="0"/>
              <w:rPr>
                <w:sz w:val="6"/>
                <w:szCs w:val="6"/>
                <w:color w:val="auto"/>
              </w:rPr>
            </w:pPr>
          </w:p>
        </w:tc>
        <w:tc>
          <w:tcPr>
            <w:tcW w:w="436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auto"/>
            </w:tcBorders>
            <w:shd w:val="clear" w:color="auto" w:fill="CCEEFF"/>
          </w:tcPr>
          <w:p>
            <w:pPr>
              <w:spacing w:after="0"/>
              <w:rPr>
                <w:sz w:val="6"/>
                <w:szCs w:val="6"/>
                <w:color w:val="auto"/>
              </w:rPr>
            </w:pPr>
          </w:p>
        </w:tc>
        <w:tc>
          <w:tcPr>
            <w:tcW w:w="1020" w:type="dxa"/>
            <w:vAlign w:val="bottom"/>
            <w:tcBorders>
              <w:bottom w:val="single" w:sz="8" w:color="auto"/>
            </w:tcBorders>
            <w:vMerge w:val="continue"/>
            <w:shd w:val="clear" w:color="auto" w:fill="CCEEFF"/>
          </w:tcPr>
          <w:p>
            <w:pPr>
              <w:spacing w:after="0"/>
              <w:rPr>
                <w:sz w:val="6"/>
                <w:szCs w:val="6"/>
                <w:color w:val="auto"/>
              </w:rPr>
            </w:pPr>
          </w:p>
        </w:tc>
        <w:tc>
          <w:tcPr>
            <w:tcW w:w="2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auto"/>
            </w:tcBorders>
            <w:shd w:val="clear" w:color="auto" w:fill="CCEEFF"/>
          </w:tcPr>
          <w:p>
            <w:pPr>
              <w:spacing w:after="0"/>
              <w:rPr>
                <w:sz w:val="6"/>
                <w:szCs w:val="6"/>
                <w:color w:val="auto"/>
              </w:rPr>
            </w:pPr>
          </w:p>
        </w:tc>
        <w:tc>
          <w:tcPr>
            <w:tcW w:w="1000" w:type="dxa"/>
            <w:vAlign w:val="bottom"/>
            <w:tcBorders>
              <w:bottom w:val="single" w:sz="8" w:color="auto"/>
            </w:tcBorders>
            <w:shd w:val="clear" w:color="auto" w:fill="CCEEFF"/>
          </w:tcPr>
          <w:p>
            <w:pPr>
              <w:jc w:val="right"/>
              <w:spacing w:after="0" w:line="68" w:lineRule="exact"/>
              <w:rPr>
                <w:sz w:val="20"/>
                <w:szCs w:val="20"/>
                <w:color w:val="auto"/>
              </w:rPr>
            </w:pPr>
            <w:r>
              <w:rPr>
                <w:rFonts w:ascii="Times New Roman" w:cs="Times New Roman" w:eastAsia="Times New Roman" w:hAnsi="Times New Roman"/>
                <w:sz w:val="7"/>
                <w:szCs w:val="7"/>
                <w:color w:val="auto"/>
              </w:rPr>
              <w:t>(13,052</w:t>
            </w:r>
          </w:p>
        </w:tc>
        <w:tc>
          <w:tcPr>
            <w:tcW w:w="10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42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 end of period</w:t>
            </w:r>
          </w:p>
        </w:tc>
        <w:tc>
          <w:tcPr>
            <w:tcW w:w="4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2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4,112</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436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00" w:type="dxa"/>
            <w:vAlign w:val="bottom"/>
            <w:tcBorders>
              <w:bottom w:val="single" w:sz="8" w:color="auto"/>
            </w:tcBorders>
          </w:tcPr>
          <w:p>
            <w:pPr>
              <w:spacing w:after="0"/>
              <w:rPr>
                <w:sz w:val="24"/>
                <w:szCs w:val="24"/>
                <w:color w:val="auto"/>
              </w:rPr>
            </w:pPr>
          </w:p>
        </w:tc>
        <w:tc>
          <w:tcPr>
            <w:tcW w:w="436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Deferred revenue balances primarily consist of customer deposits on the Company’s cultivation and extraction solutions equipment. As of June 30, 2023 and December 31, 2022, all of the Company’s deferred revenue balances were reported as current liabilities in the accompanying consolidated balance sheets.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3 — Supplemental Consolidated Balance Sheet Information</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consisted of the following as of June 30, 2023 and December 31, 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gross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Less allowance for doubtful accounts</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(4,090)</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(4,605)</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1,070</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240"/>
          </w:cols>
          <w:pgMar w:left="320" w:top="873" w:right="339" w:bottom="1440" w:gutter="0" w:footer="0" w:header="0"/>
        </w:sectPr>
      </w:pPr>
    </w:p>
    <w:p>
      <w:pPr>
        <w:ind w:left="340"/>
        <w:spacing w:after="0"/>
        <w:rPr>
          <w:sz w:val="20"/>
          <w:szCs w:val="20"/>
          <w:color w:val="auto"/>
        </w:rPr>
      </w:pPr>
      <w:r>
        <w:rPr>
          <w:rFonts w:ascii="Times New Roman" w:cs="Times New Roman" w:eastAsia="Times New Roman" w:hAnsi="Times New Roman"/>
          <w:sz w:val="17"/>
          <w:szCs w:val="17"/>
          <w:color w:val="auto"/>
        </w:rPr>
        <w:t>The changes in the allowance for doubtful accounts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doubtful accounts -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(Recovery of) Provision for doubtful accounts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Write-offs of uncollectible accounts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adjustments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Allowance for doubtful accounts -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797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0" w:type="dxa"/>
            <w:vAlign w:val="bottom"/>
          </w:tcPr>
          <w:p>
            <w:pPr>
              <w:spacing w:after="0"/>
              <w:rPr>
                <w:sz w:val="18"/>
                <w:szCs w:val="18"/>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r>
      <w:tr>
        <w:trPr>
          <w:trHeight w:val="216"/>
        </w:trPr>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18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1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198"/>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4,605</w:t>
            </w:r>
          </w:p>
        </w:tc>
        <w:tc>
          <w:tcPr>
            <w:tcW w:w="22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1,415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4,928</w:t>
            </w:r>
          </w:p>
        </w:tc>
        <w:tc>
          <w:tcPr>
            <w:tcW w:w="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(1,510)</w:t>
            </w:r>
          </w:p>
        </w:tc>
      </w:tr>
      <w:tr>
        <w:trPr>
          <w:trHeight w:val="248"/>
        </w:trPr>
        <w:tc>
          <w:tcPr>
            <w:tcW w:w="10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7"/>
        </w:trPr>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4,090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4,605</w:t>
            </w:r>
          </w:p>
        </w:tc>
        <w:tc>
          <w:tcPr>
            <w:tcW w:w="40" w:type="dxa"/>
            <w:vAlign w:val="bottom"/>
          </w:tcPr>
          <w:p>
            <w:pPr>
              <w:spacing w:after="0"/>
              <w:rPr>
                <w:sz w:val="21"/>
                <w:szCs w:val="2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7960" w:space="720"/>
            <w:col w:w="2560"/>
          </w:cols>
          <w:pgMar w:left="320" w:top="873" w:right="339" w:bottom="1440" w:gutter="0" w:footer="0" w:header="0"/>
          <w:type w:val="continuous"/>
        </w:sect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Bad debt expense was $362 thousand and $1.6 million for the three months ended June 30, 2023 and 2022, respectively, and $542 thousand and $1.6 million for the six months ended June 30,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Expenses and Other 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Prepaid expenses and other current assets consisted of the following as of June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4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02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receivables, other</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other</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insurance</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1,377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0" w:type="dxa"/>
            <w:vAlign w:val="bottom"/>
          </w:tcPr>
          <w:p>
            <w:pPr>
              <w:spacing w:after="0"/>
              <w:rPr>
                <w:sz w:val="1"/>
                <w:szCs w:val="1"/>
                <w:color w:val="auto"/>
              </w:rPr>
            </w:pPr>
          </w:p>
        </w:tc>
      </w:tr>
      <w:tr>
        <w:trPr>
          <w:trHeight w:val="216"/>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Deferred issuance costs, net</w:t>
            </w:r>
          </w:p>
        </w:tc>
        <w:tc>
          <w:tcPr>
            <w:tcW w:w="4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w:t>
            </w:r>
          </w:p>
        </w:tc>
        <w:tc>
          <w:tcPr>
            <w:tcW w:w="0" w:type="dxa"/>
            <w:vAlign w:val="bottom"/>
          </w:tcPr>
          <w:p>
            <w:pPr>
              <w:spacing w:after="0"/>
              <w:rPr>
                <w:sz w:val="1"/>
                <w:szCs w:val="1"/>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software</w:t>
            </w:r>
          </w:p>
        </w:tc>
        <w:tc>
          <w:tcPr>
            <w:tcW w:w="4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0" w:type="dxa"/>
            <w:vAlign w:val="bottom"/>
          </w:tcPr>
          <w:p>
            <w:pPr>
              <w:spacing w:after="0"/>
              <w:rPr>
                <w:sz w:val="1"/>
                <w:szCs w:val="1"/>
                <w:color w:val="auto"/>
              </w:rPr>
            </w:pPr>
          </w:p>
        </w:tc>
      </w:tr>
      <w:tr>
        <w:trPr>
          <w:trHeight w:val="230"/>
        </w:trPr>
        <w:tc>
          <w:tcPr>
            <w:tcW w:w="4540" w:type="dxa"/>
            <w:vAlign w:val="bottom"/>
          </w:tcPr>
          <w:p>
            <w:pPr>
              <w:spacing w:after="0"/>
              <w:rPr>
                <w:sz w:val="20"/>
                <w:szCs w:val="20"/>
                <w:color w:val="auto"/>
              </w:rPr>
            </w:pPr>
            <w:r>
              <w:rPr>
                <w:rFonts w:ascii="Times New Roman" w:cs="Times New Roman" w:eastAsia="Times New Roman" w:hAnsi="Times New Roman"/>
                <w:sz w:val="18"/>
                <w:szCs w:val="18"/>
                <w:color w:val="auto"/>
              </w:rPr>
              <w:t>Prepaid materials</w:t>
            </w:r>
          </w:p>
        </w:tc>
        <w:tc>
          <w:tcPr>
            <w:tcW w:w="4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7"/>
        </w:trPr>
        <w:tc>
          <w:tcPr>
            <w:tcW w:w="4540" w:type="dxa"/>
            <w:vAlign w:val="bottom"/>
            <w:shd w:val="clear" w:color="auto" w:fill="CCEEFF"/>
          </w:tcPr>
          <w:p>
            <w:pPr>
              <w:spacing w:after="0"/>
              <w:rPr>
                <w:sz w:val="2"/>
                <w:szCs w:val="2"/>
                <w:color w:val="auto"/>
              </w:rPr>
            </w:pPr>
          </w:p>
        </w:tc>
        <w:tc>
          <w:tcPr>
            <w:tcW w:w="4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prepaid expenses and other current assets</w:t>
            </w:r>
          </w:p>
        </w:tc>
        <w:tc>
          <w:tcPr>
            <w:tcW w:w="4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2,153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1,510</w:t>
            </w:r>
          </w:p>
        </w:tc>
        <w:tc>
          <w:tcPr>
            <w:tcW w:w="0" w:type="dxa"/>
            <w:vAlign w:val="bottom"/>
          </w:tcPr>
          <w:p>
            <w:pPr>
              <w:spacing w:after="0"/>
              <w:rPr>
                <w:sz w:val="1"/>
                <w:szCs w:val="1"/>
                <w:color w:val="auto"/>
              </w:rPr>
            </w:pPr>
          </w:p>
        </w:tc>
      </w:tr>
      <w:tr>
        <w:trPr>
          <w:trHeight w:val="21"/>
        </w:trPr>
        <w:tc>
          <w:tcPr>
            <w:tcW w:w="4540" w:type="dxa"/>
            <w:vAlign w:val="bottom"/>
            <w:tcBorders>
              <w:top w:val="single" w:sz="8" w:color="CCEEFF"/>
            </w:tcBorders>
          </w:tcPr>
          <w:p>
            <w:pPr>
              <w:spacing w:after="0" w:line="20" w:lineRule="exact"/>
              <w:rPr>
                <w:sz w:val="1"/>
                <w:szCs w:val="1"/>
                <w:color w:val="auto"/>
              </w:rPr>
            </w:pPr>
          </w:p>
        </w:tc>
        <w:tc>
          <w:tcPr>
            <w:tcW w:w="402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54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Property and equipment, net consisted of the following as of June 30, 2023 and December 31, 2022:</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Machinery and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1,049</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Software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606</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627</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Leased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5,067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602</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Furniture and fixtures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498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504</w:t>
            </w: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laboratory equipment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Vehicles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136</w:t>
            </w: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show assets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w:t>
            </w:r>
          </w:p>
        </w:tc>
      </w:tr>
      <w:tr>
        <w:trPr>
          <w:trHeight w:val="203"/>
        </w:trPr>
        <w:tc>
          <w:tcPr>
            <w:tcW w:w="8680" w:type="dxa"/>
            <w:vAlign w:val="bottom"/>
            <w:tcBorders>
              <w:top w:val="single" w:sz="8" w:color="CCEEFF"/>
            </w:tcBorders>
            <w:gridSpan w:val="2"/>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property and equipment, gross</w:t>
            </w: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9,450</w:t>
            </w:r>
          </w:p>
        </w:tc>
        <w:tc>
          <w:tcPr>
            <w:tcW w:w="22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4,973</w:t>
            </w:r>
          </w:p>
        </w:tc>
        <w:tc>
          <w:tcPr>
            <w:tcW w:w="100" w:type="dxa"/>
            <w:vAlign w:val="bottom"/>
            <w:tcBorders>
              <w:top w:val="single" w:sz="8" w:color="CCEEFF"/>
            </w:tcBorders>
          </w:tcPr>
          <w:p>
            <w:pPr>
              <w:spacing w:after="0"/>
              <w:rPr>
                <w:sz w:val="17"/>
                <w:szCs w:val="17"/>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(3,280)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(2,372)</w:t>
            </w: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Construction in progress</w:t>
            </w:r>
          </w:p>
        </w:tc>
        <w:tc>
          <w:tcPr>
            <w:tcW w:w="1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2,953</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7,443</w:t>
            </w: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9,123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10,044</w:t>
            </w: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Depreciation expense for the three months ended June 30, 2023 and 2022 was $493 thousand and $438 thousand, respectively, and $938 thousand and $817 thousand for the six months ended June 30, 2023 and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Non-Current Assets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Other non-current assets consisted of the following as of June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26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Security deposits</w:t>
            </w:r>
          </w:p>
        </w:tc>
        <w:tc>
          <w:tcPr>
            <w:tcW w:w="4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156</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Long-term deferred commissions expense</w:t>
            </w:r>
          </w:p>
        </w:tc>
        <w:tc>
          <w:tcPr>
            <w:tcW w:w="4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7"/>
        </w:trPr>
        <w:tc>
          <w:tcPr>
            <w:tcW w:w="4280" w:type="dxa"/>
            <w:vAlign w:val="bottom"/>
            <w:shd w:val="clear" w:color="auto" w:fill="CCEEFF"/>
          </w:tcPr>
          <w:p>
            <w:pPr>
              <w:spacing w:after="0"/>
              <w:rPr>
                <w:sz w:val="2"/>
                <w:szCs w:val="2"/>
                <w:color w:val="auto"/>
              </w:rPr>
            </w:pPr>
          </w:p>
        </w:tc>
        <w:tc>
          <w:tcPr>
            <w:tcW w:w="4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other non-current assets</w:t>
            </w:r>
          </w:p>
        </w:tc>
        <w:tc>
          <w:tcPr>
            <w:tcW w:w="5260" w:type="dxa"/>
            <w:vAlign w:val="bottom"/>
            <w:gridSpan w:val="3"/>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156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0" w:type="dxa"/>
            <w:vAlign w:val="bottom"/>
          </w:tcPr>
          <w:p>
            <w:pPr>
              <w:spacing w:after="0"/>
              <w:rPr>
                <w:sz w:val="1"/>
                <w:szCs w:val="1"/>
                <w:color w:val="auto"/>
              </w:rPr>
            </w:pP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Expenses and Other Current Liabilities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 as of June 30, 2023 and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acquisition liabilities (1)</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2,180</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Sales tax payable (2)</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5,927</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5,950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construction costs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2,669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related fees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628</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professional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449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313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warranty expenses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592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consulting fees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Accrued inventory purchases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interest expense</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680" w:type="dxa"/>
            <w:vAlign w:val="bottom"/>
            <w:gridSpan w:val="2"/>
            <w:vMerge w:val="continue"/>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12,109</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16,380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acquisition liabilities includes both the contingent consideration and the value of held back Common Stock associated with the 2022 acquisition of Lab Society and the 2021 acquisitions of Precision, Cascade and PurePressure.</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tax payable primarily represents identified sales and use tax liabilities arising from our acquisition of Precision and Cascade. These amounts are included as part of our initial purchase price allocations and are the subject matter of an indemnification claim under the Precision and Cascade acquisition agreement.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Accrued Warranty Costs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activity related to the Company’s accrued liability for estimated future warranty costs: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4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4600" w:type="dxa"/>
            <w:vAlign w:val="bottom"/>
            <w:gridSpan w:val="3"/>
          </w:tcPr>
          <w:p>
            <w:pPr>
              <w:jc w:val="right"/>
              <w:ind w:right="33"/>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accrual – beginning of period</w:t>
            </w:r>
          </w:p>
        </w:tc>
        <w:tc>
          <w:tcPr>
            <w:tcW w:w="36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553</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Liabilities accrued for warranties issued during the period</w:t>
            </w:r>
          </w:p>
        </w:tc>
        <w:tc>
          <w:tcPr>
            <w:tcW w:w="3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w:t>
            </w:r>
          </w:p>
        </w:tc>
        <w:tc>
          <w:tcPr>
            <w:tcW w:w="0" w:type="dxa"/>
            <w:vAlign w:val="bottom"/>
          </w:tcPr>
          <w:p>
            <w:pPr>
              <w:spacing w:after="0"/>
              <w:rPr>
                <w:sz w:val="1"/>
                <w:szCs w:val="1"/>
                <w:color w:val="auto"/>
              </w:rPr>
            </w:pPr>
          </w:p>
        </w:tc>
      </w:tr>
      <w:tr>
        <w:trPr>
          <w:trHeight w:val="27"/>
        </w:trPr>
        <w:tc>
          <w:tcPr>
            <w:tcW w:w="4940" w:type="dxa"/>
            <w:vAlign w:val="bottom"/>
            <w:shd w:val="clear" w:color="auto" w:fill="CCEEFF"/>
          </w:tcPr>
          <w:p>
            <w:pPr>
              <w:spacing w:after="0"/>
              <w:rPr>
                <w:sz w:val="2"/>
                <w:szCs w:val="2"/>
                <w:color w:val="auto"/>
              </w:rPr>
            </w:pPr>
          </w:p>
        </w:tc>
        <w:tc>
          <w:tcPr>
            <w:tcW w:w="3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accrual – end of period</w:t>
            </w:r>
          </w:p>
        </w:tc>
        <w:tc>
          <w:tcPr>
            <w:tcW w:w="4600" w:type="dxa"/>
            <w:vAlign w:val="bottom"/>
            <w:gridSpan w:val="3"/>
            <w:shd w:val="clear" w:color="auto" w:fill="CCEEFF"/>
          </w:tcPr>
          <w:p>
            <w:pPr>
              <w:jc w:val="right"/>
              <w:ind w:right="693"/>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w w:val="88"/>
              </w:rPr>
              <w:t>592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553</w:t>
            </w:r>
          </w:p>
        </w:tc>
        <w:tc>
          <w:tcPr>
            <w:tcW w:w="0" w:type="dxa"/>
            <w:vAlign w:val="bottom"/>
          </w:tcPr>
          <w:p>
            <w:pPr>
              <w:spacing w:after="0"/>
              <w:rPr>
                <w:sz w:val="1"/>
                <w:szCs w:val="1"/>
                <w:color w:val="auto"/>
              </w:rPr>
            </w:pPr>
          </w:p>
        </w:tc>
      </w:tr>
      <w:tr>
        <w:trPr>
          <w:trHeight w:val="21"/>
        </w:trPr>
        <w:tc>
          <w:tcPr>
            <w:tcW w:w="494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bottom w:val="single" w:sz="8" w:color="CCEEFF"/>
            </w:tcBorders>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94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Values of Assets and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accordance with ASC Topic 820 “Fair Value Measurement”, the Company measures fair value at the price that would be received to sell an asset or paid to transfer a liability in an orderly transaction between market participants at the measurement date. In determining fair value, the assumptions that market participants would use in pricing an asset or liability (the inputs) are based on a tiered fair value hierarchy consisting of three levels,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Level 1: Observable inputs such as quoted prices for identical assets or liabilities in active markets.</w:t>
      </w:r>
    </w:p>
    <w:p>
      <w:pPr>
        <w:spacing w:after="0" w:line="225" w:lineRule="exact"/>
        <w:rPr>
          <w:sz w:val="20"/>
          <w:szCs w:val="20"/>
          <w:color w:val="auto"/>
        </w:rPr>
      </w:pPr>
    </w:p>
    <w:p>
      <w:pPr>
        <w:ind w:left="980" w:right="260" w:hanging="647"/>
        <w:spacing w:after="0" w:line="282" w:lineRule="auto"/>
        <w:rPr>
          <w:sz w:val="20"/>
          <w:szCs w:val="20"/>
          <w:color w:val="auto"/>
        </w:rPr>
      </w:pPr>
      <w:r>
        <w:rPr>
          <w:rFonts w:ascii="Times New Roman" w:cs="Times New Roman" w:eastAsia="Times New Roman" w:hAnsi="Times New Roman"/>
          <w:sz w:val="18"/>
          <w:szCs w:val="18"/>
          <w:color w:val="auto"/>
        </w:rPr>
        <w:t>Level 2: Other inputs that are observable directly or indirectly, such as quoted prices for similar instruments in active markets or for similar markets that are not active.</w:t>
      </w:r>
    </w:p>
    <w:p>
      <w:pPr>
        <w:spacing w:after="0" w:line="162" w:lineRule="exact"/>
        <w:rPr>
          <w:sz w:val="20"/>
          <w:szCs w:val="20"/>
          <w:color w:val="auto"/>
        </w:rPr>
      </w:pPr>
    </w:p>
    <w:p>
      <w:pPr>
        <w:ind w:left="980" w:hanging="647"/>
        <w:spacing w:after="0" w:line="282" w:lineRule="auto"/>
        <w:rPr>
          <w:sz w:val="20"/>
          <w:szCs w:val="20"/>
          <w:color w:val="auto"/>
        </w:rPr>
      </w:pPr>
      <w:r>
        <w:rPr>
          <w:rFonts w:ascii="Times New Roman" w:cs="Times New Roman" w:eastAsia="Times New Roman" w:hAnsi="Times New Roman"/>
          <w:sz w:val="18"/>
          <w:szCs w:val="18"/>
          <w:color w:val="auto"/>
        </w:rPr>
        <w:t>Level 3: Unobservable inputs for which there is little or no market data which require the Company to develop its own assumptions about how market participants would price the asset or liability.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Valuation techniques for assets and liabilities include methodologies such as the market approach, the income approach or the cost approach, and may use unobservable inputs such as projections, estimates and management’s interpretation of current market data. These unobservable inputs are only utilized to the extent that observable inputs are not available or cost-effective to obtain.</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June 30, 2023 and December 31, 2022, the Company’s assets and liabilities measured at fair value on a recurring basis were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2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8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3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tcBorders>
              <w:bottom w:val="single" w:sz="8" w:color="auto"/>
            </w:tcBorders>
          </w:tcPr>
          <w:p>
            <w:pPr>
              <w:spacing w:after="0"/>
              <w:rPr>
                <w:sz w:val="13"/>
                <w:szCs w:val="13"/>
                <w:color w:val="auto"/>
              </w:rPr>
            </w:pPr>
          </w:p>
        </w:tc>
        <w:tc>
          <w:tcPr>
            <w:tcW w:w="3460" w:type="dxa"/>
            <w:vAlign w:val="bottom"/>
            <w:tcBorders>
              <w:bottom w:val="single" w:sz="8" w:color="auto"/>
            </w:tcBorders>
            <w:gridSpan w:val="9"/>
          </w:tcPr>
          <w:p>
            <w:pPr>
              <w:jc w:val="right"/>
              <w:ind w:right="23"/>
              <w:spacing w:after="0" w:line="149" w:lineRule="exact"/>
              <w:rPr>
                <w:sz w:val="20"/>
                <w:szCs w:val="20"/>
                <w:color w:val="auto"/>
              </w:rPr>
            </w:pPr>
            <w:r>
              <w:rPr>
                <w:rFonts w:ascii="Times New Roman" w:cs="Times New Roman" w:eastAsia="Times New Roman" w:hAnsi="Times New Roman"/>
                <w:sz w:val="14"/>
                <w:szCs w:val="14"/>
                <w:b w:val="1"/>
                <w:bCs w:val="1"/>
                <w:color w:val="auto"/>
              </w:rPr>
              <w:t>Fair Value Measurements Using Input Types</w:t>
            </w:r>
          </w:p>
        </w:tc>
        <w:tc>
          <w:tcPr>
            <w:tcW w:w="7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3400" w:type="dxa"/>
            <w:vAlign w:val="bottom"/>
            <w:tcBorders>
              <w:bottom w:val="single" w:sz="8" w:color="auto"/>
            </w:tcBorders>
            <w:gridSpan w:val="9"/>
          </w:tcPr>
          <w:p>
            <w:pPr>
              <w:jc w:val="center"/>
              <w:ind w:left="468"/>
              <w:spacing w:after="0" w:line="149" w:lineRule="exact"/>
              <w:rPr>
                <w:sz w:val="20"/>
                <w:szCs w:val="20"/>
                <w:color w:val="auto"/>
              </w:rPr>
            </w:pPr>
            <w:r>
              <w:rPr>
                <w:rFonts w:ascii="Times New Roman" w:cs="Times New Roman" w:eastAsia="Times New Roman" w:hAnsi="Times New Roman"/>
                <w:sz w:val="14"/>
                <w:szCs w:val="14"/>
                <w:b w:val="1"/>
                <w:bCs w:val="1"/>
                <w:color w:val="auto"/>
              </w:rPr>
              <w:t>Fair Value Measurements Using Input Types</w:t>
            </w:r>
          </w:p>
        </w:tc>
        <w:tc>
          <w:tcPr>
            <w:tcW w:w="7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38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4"/>
                <w:szCs w:val="14"/>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80" w:type="dxa"/>
            <w:vAlign w:val="bottom"/>
          </w:tcPr>
          <w:p>
            <w:pPr>
              <w:spacing w:after="0"/>
              <w:rPr>
                <w:sz w:val="14"/>
                <w:szCs w:val="14"/>
                <w:color w:val="auto"/>
              </w:rPr>
            </w:pPr>
          </w:p>
        </w:tc>
        <w:tc>
          <w:tcPr>
            <w:tcW w:w="70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6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40" w:type="dxa"/>
            <w:vAlign w:val="bottom"/>
          </w:tcPr>
          <w:p>
            <w:pPr>
              <w:spacing w:after="0"/>
              <w:rPr>
                <w:sz w:val="14"/>
                <w:szCs w:val="14"/>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20" w:type="dxa"/>
            <w:vAlign w:val="bottom"/>
          </w:tcPr>
          <w:p>
            <w:pPr>
              <w:spacing w:after="0"/>
              <w:rPr>
                <w:sz w:val="14"/>
                <w:szCs w:val="14"/>
                <w:color w:val="auto"/>
              </w:rPr>
            </w:pPr>
          </w:p>
        </w:tc>
        <w:tc>
          <w:tcPr>
            <w:tcW w:w="7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260" w:type="dxa"/>
            <w:vAlign w:val="bottom"/>
            <w:tcBorders>
              <w:top w:val="single" w:sz="8" w:color="auto"/>
            </w:tcBorders>
          </w:tcPr>
          <w:p>
            <w:pPr>
              <w:spacing w:after="0" w:line="149" w:lineRule="exact"/>
              <w:rPr>
                <w:sz w:val="20"/>
                <w:szCs w:val="20"/>
                <w:color w:val="auto"/>
              </w:rPr>
            </w:pPr>
            <w:r>
              <w:rPr>
                <w:rFonts w:ascii="Times New Roman" w:cs="Times New Roman" w:eastAsia="Times New Roman" w:hAnsi="Times New Roman"/>
                <w:sz w:val="14"/>
                <w:szCs w:val="14"/>
                <w:color w:val="auto"/>
              </w:rPr>
              <w:t>Assets:</w:t>
            </w: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Mutual funds (included in cash and</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vMerge w:val="restart"/>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33</w:t>
            </w:r>
          </w:p>
        </w:tc>
        <w:tc>
          <w:tcPr>
            <w:tcW w:w="1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cash equivalents)</w:t>
            </w:r>
          </w:p>
        </w:tc>
        <w:tc>
          <w:tcPr>
            <w:tcW w:w="16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80" w:type="dxa"/>
            <w:vAlign w:val="bottom"/>
            <w:vMerge w:val="continue"/>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vMerge w:val="continue"/>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20" w:type="dxa"/>
            <w:vAlign w:val="bottom"/>
            <w:vMerge w:val="continue"/>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380" w:type="dxa"/>
            <w:vAlign w:val="bottom"/>
            <w:gridSpan w:val="2"/>
          </w:tcPr>
          <w:p>
            <w:pPr>
              <w:ind w:left="180"/>
              <w:spacing w:after="0" w:line="149" w:lineRule="exact"/>
              <w:rPr>
                <w:sz w:val="20"/>
                <w:szCs w:val="20"/>
                <w:color w:val="auto"/>
              </w:rPr>
            </w:pPr>
            <w:r>
              <w:rPr>
                <w:rFonts w:ascii="Times New Roman" w:cs="Times New Roman" w:eastAsia="Times New Roman" w:hAnsi="Times New Roman"/>
                <w:sz w:val="14"/>
                <w:szCs w:val="14"/>
                <w:color w:val="auto"/>
              </w:rPr>
              <w:t>Money market funds</w:t>
            </w:r>
          </w:p>
        </w:tc>
        <w:tc>
          <w:tcPr>
            <w:tcW w:w="160" w:type="dxa"/>
            <w:vAlign w:val="bottom"/>
          </w:tcPr>
          <w:p>
            <w:pPr>
              <w:spacing w:after="0"/>
              <w:rPr>
                <w:sz w:val="12"/>
                <w:szCs w:val="12"/>
                <w:color w:val="auto"/>
              </w:rPr>
            </w:pPr>
          </w:p>
        </w:tc>
        <w:tc>
          <w:tcPr>
            <w:tcW w:w="100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spacing w:after="0"/>
              <w:rPr>
                <w:sz w:val="12"/>
                <w:szCs w:val="12"/>
                <w:color w:val="auto"/>
              </w:rPr>
            </w:pPr>
          </w:p>
        </w:tc>
        <w:tc>
          <w:tcPr>
            <w:tcW w:w="1000" w:type="dxa"/>
            <w:vAlign w:val="bottom"/>
            <w:gridSpan w:val="2"/>
          </w:tcPr>
          <w:p>
            <w:pPr>
              <w:ind w:left="6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9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spacing w:after="0"/>
              <w:rPr>
                <w:sz w:val="12"/>
                <w:szCs w:val="12"/>
                <w:color w:val="auto"/>
              </w:rPr>
            </w:pPr>
          </w:p>
        </w:tc>
        <w:tc>
          <w:tcPr>
            <w:tcW w:w="96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960" w:type="dxa"/>
            <w:vAlign w:val="bottom"/>
            <w:gridSpan w:val="2"/>
          </w:tcPr>
          <w:p>
            <w:pPr>
              <w:ind w:left="6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9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23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Corporate bonds</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427</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4"/>
                <w:szCs w:val="14"/>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4"/>
                <w:szCs w:val="14"/>
                <w:color w:val="auto"/>
              </w:rPr>
            </w:pPr>
          </w:p>
        </w:tc>
        <w:tc>
          <w:tcPr>
            <w:tcW w:w="7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38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assets</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4</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ind w:left="6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4</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460</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6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460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380" w:type="dxa"/>
            <w:vAlign w:val="bottom"/>
            <w:tcBorders>
              <w:top w:val="single" w:sz="8" w:color="CCEEFF"/>
            </w:tcBorders>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Warrant liabilities - January 2022</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warrants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Warrant liabilities - March 2022</w:t>
            </w:r>
          </w:p>
        </w:tc>
        <w:tc>
          <w:tcPr>
            <w:tcW w:w="1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w:t>
            </w:r>
          </w:p>
        </w:tc>
        <w:tc>
          <w:tcPr>
            <w:tcW w:w="1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34</w:t>
            </w:r>
          </w:p>
        </w:tc>
        <w:tc>
          <w:tcPr>
            <w:tcW w:w="22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warrants</w:t>
            </w:r>
          </w:p>
        </w:tc>
        <w:tc>
          <w:tcPr>
            <w:tcW w:w="1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60" w:type="dxa"/>
            <w:vAlign w:val="bottom"/>
            <w:gridSpan w:val="2"/>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00" w:type="dxa"/>
            <w:vAlign w:val="bottom"/>
            <w:tcBorders>
              <w:right w:val="single" w:sz="8" w:color="CCEEFF"/>
            </w:tcBorders>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tcPr>
          <w:p>
            <w:pPr>
              <w:ind w:left="180"/>
              <w:spacing w:after="0" w:line="126" w:lineRule="exact"/>
              <w:rPr>
                <w:sz w:val="20"/>
                <w:szCs w:val="20"/>
                <w:color w:val="auto"/>
              </w:rPr>
            </w:pPr>
            <w:r>
              <w:rPr>
                <w:rFonts w:ascii="Times New Roman" w:cs="Times New Roman" w:eastAsia="Times New Roman" w:hAnsi="Times New Roman"/>
                <w:sz w:val="14"/>
                <w:szCs w:val="14"/>
                <w:color w:val="auto"/>
              </w:rPr>
              <w:t>Warrant liabilities - August 2022</w:t>
            </w:r>
          </w:p>
        </w:tc>
        <w:tc>
          <w:tcPr>
            <w:tcW w:w="160" w:type="dxa"/>
            <w:vAlign w:val="bottom"/>
          </w:tcPr>
          <w:p>
            <w:pPr>
              <w:spacing w:after="0"/>
              <w:rPr>
                <w:sz w:val="10"/>
                <w:szCs w:val="10"/>
                <w:color w:val="auto"/>
              </w:rPr>
            </w:pPr>
          </w:p>
        </w:tc>
        <w:tc>
          <w:tcPr>
            <w:tcW w:w="10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10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77</w:t>
            </w:r>
          </w:p>
        </w:tc>
        <w:tc>
          <w:tcPr>
            <w:tcW w:w="180" w:type="dxa"/>
            <w:vAlign w:val="bottom"/>
          </w:tcPr>
          <w:p>
            <w:pPr>
              <w:spacing w:after="0"/>
              <w:rPr>
                <w:sz w:val="10"/>
                <w:szCs w:val="10"/>
                <w:color w:val="auto"/>
              </w:rPr>
            </w:pPr>
          </w:p>
        </w:tc>
        <w:tc>
          <w:tcPr>
            <w:tcW w:w="9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77</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9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0"/>
                <w:szCs w:val="10"/>
                <w:color w:val="auto"/>
              </w:rPr>
            </w:pPr>
          </w:p>
        </w:tc>
        <w:tc>
          <w:tcPr>
            <w:tcW w:w="9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93</w:t>
            </w:r>
          </w:p>
        </w:tc>
        <w:tc>
          <w:tcPr>
            <w:tcW w:w="22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3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warrants</w:t>
            </w: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380" w:type="dxa"/>
            <w:vAlign w:val="bottom"/>
            <w:gridSpan w:val="2"/>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Warrant liabilities - December 2022</w:t>
            </w:r>
          </w:p>
        </w:tc>
        <w:tc>
          <w:tcPr>
            <w:tcW w:w="1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ind w:left="6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4,246</w:t>
            </w:r>
          </w:p>
        </w:tc>
        <w:tc>
          <w:tcPr>
            <w:tcW w:w="18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4,246</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0"/>
                <w:szCs w:val="10"/>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5,854</w:t>
            </w:r>
          </w:p>
        </w:tc>
        <w:tc>
          <w:tcPr>
            <w:tcW w:w="220" w:type="dxa"/>
            <w:vAlign w:val="bottom"/>
            <w:shd w:val="clear" w:color="auto" w:fill="CCEEFF"/>
          </w:tcPr>
          <w:p>
            <w:pPr>
              <w:spacing w:after="0"/>
              <w:rPr>
                <w:sz w:val="10"/>
                <w:szCs w:val="10"/>
                <w:color w:val="auto"/>
              </w:rPr>
            </w:pPr>
          </w:p>
        </w:tc>
        <w:tc>
          <w:tcPr>
            <w:tcW w:w="7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380" w:type="dxa"/>
            <w:vAlign w:val="bottom"/>
            <w:gridSpan w:val="2"/>
            <w:shd w:val="clear" w:color="auto" w:fill="CCEEFF"/>
          </w:tcPr>
          <w:p>
            <w:pPr>
              <w:ind w:left="340"/>
              <w:spacing w:after="0" w:line="158" w:lineRule="exact"/>
              <w:rPr>
                <w:sz w:val="20"/>
                <w:szCs w:val="20"/>
                <w:color w:val="auto"/>
              </w:rPr>
            </w:pPr>
            <w:r>
              <w:rPr>
                <w:rFonts w:ascii="Times New Roman" w:cs="Times New Roman" w:eastAsia="Times New Roman" w:hAnsi="Times New Roman"/>
                <w:sz w:val="14"/>
                <w:szCs w:val="14"/>
                <w:color w:val="auto"/>
              </w:rPr>
              <w:t>warrants</w:t>
            </w:r>
          </w:p>
        </w:tc>
        <w:tc>
          <w:tcPr>
            <w:tcW w:w="16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00" w:type="dxa"/>
            <w:vAlign w:val="bottom"/>
            <w:tcBorders>
              <w:right w:val="single" w:sz="8" w:color="CCEEFF"/>
            </w:tcBorders>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2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0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380" w:type="dxa"/>
            <w:vAlign w:val="bottom"/>
            <w:gridSpan w:val="2"/>
          </w:tcPr>
          <w:p>
            <w:pPr>
              <w:ind w:left="340"/>
              <w:spacing w:after="0" w:line="155" w:lineRule="exact"/>
              <w:rPr>
                <w:sz w:val="20"/>
                <w:szCs w:val="20"/>
                <w:color w:val="auto"/>
              </w:rPr>
            </w:pPr>
            <w:r>
              <w:rPr>
                <w:rFonts w:ascii="Times New Roman" w:cs="Times New Roman" w:eastAsia="Times New Roman" w:hAnsi="Times New Roman"/>
                <w:sz w:val="14"/>
                <w:szCs w:val="14"/>
                <w:color w:val="auto"/>
              </w:rPr>
              <w:t>Total liabilities</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24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ind w:left="62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4,361</w:t>
            </w:r>
          </w:p>
        </w:tc>
        <w:tc>
          <w:tcPr>
            <w:tcW w:w="180" w:type="dxa"/>
            <w:vAlign w:val="bottom"/>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4,361</w:t>
            </w:r>
          </w:p>
        </w:tc>
        <w:tc>
          <w:tcPr>
            <w:tcW w:w="14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ind w:right="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ind w:left="600"/>
              <w:spacing w:after="0" w:line="155"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gridSpan w:val="2"/>
          </w:tcPr>
          <w:p>
            <w:pPr>
              <w:jc w:val="right"/>
              <w:ind w:right="220"/>
              <w:spacing w:after="0" w:line="155" w:lineRule="exact"/>
              <w:rPr>
                <w:sz w:val="20"/>
                <w:szCs w:val="20"/>
                <w:color w:val="auto"/>
              </w:rPr>
            </w:pPr>
            <w:r>
              <w:rPr>
                <w:rFonts w:ascii="Times New Roman" w:cs="Times New Roman" w:eastAsia="Times New Roman" w:hAnsi="Times New Roman"/>
                <w:sz w:val="14"/>
                <w:szCs w:val="14"/>
                <w:color w:val="auto"/>
              </w:rPr>
              <w:t>5,985</w:t>
            </w:r>
          </w:p>
        </w:tc>
        <w:tc>
          <w:tcPr>
            <w:tcW w:w="220" w:type="dxa"/>
            <w:vAlign w:val="bottom"/>
          </w:tcPr>
          <w:p>
            <w:pPr>
              <w:jc w:val="right"/>
              <w:ind w:right="6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5,985</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certain financial instruments which consist of cash and cash equivalents, marketable securities, warrant liabilities, and contingent consideration. Fair value information for each of these instruments as well as other balances of the Company are as follows:</w:t>
      </w:r>
    </w:p>
    <w:p>
      <w:pPr>
        <w:spacing w:after="0" w:line="162" w:lineRule="exact"/>
        <w:rPr>
          <w:sz w:val="20"/>
          <w:szCs w:val="20"/>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accounts receivable, accounts payable, accrued expenses and deferred revenue liabilities approximate their fair values, based on the short-term nature of these instruments.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securities classified as current held-to-maturity securities are recorded at amortized cost, which at June 30, 2023, approximated fair value.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deferred consideration was recorded in connection with acquisitions during the six months ended June 30, 2023 and fiscal 2022 using an estimated fair value discount at the time of the transactions. As of June 30, 2023 and December 31, 2022, the carrying value of the deferred consideration approximated fair value.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warrant liabilities are marked-to-market each reporting period with the changes in fair value of warrant liabilities recorded in other income (expense), net in the accompanying consolidated statements of operations until the warrants are exercised. The fair value of the warrant liabilities are estimated using a Black-Scholes option-pricing model.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June 30, 2023, the Company held investments in municipal bonds and corporate bonds. The municipal and corporate bonds are considered held-to-maturity securities and are recorded at amortized cost in the accompanying consolidated balance sheet. The fair values of these investments were estimated using recently executed transactions and market price quotations. The Company considers current assets as those investments which will mature within the next 12 months including, interest receivable on long-term bonds.</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composition of the Company’s marketable securities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6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562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Current marketable securities:</w:t>
            </w:r>
          </w:p>
        </w:tc>
        <w:tc>
          <w:tcPr>
            <w:tcW w:w="46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w:t>
            </w:r>
          </w:p>
        </w:tc>
        <w:tc>
          <w:tcPr>
            <w:tcW w:w="5620" w:type="dxa"/>
            <w:vAlign w:val="bottom"/>
            <w:gridSpan w:val="3"/>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bonds</w:t>
            </w: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Mutual funds</w:t>
            </w:r>
          </w:p>
        </w:tc>
        <w:tc>
          <w:tcPr>
            <w:tcW w:w="4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
        </w:trPr>
        <w:tc>
          <w:tcPr>
            <w:tcW w:w="3960" w:type="dxa"/>
            <w:vAlign w:val="bottom"/>
            <w:shd w:val="clear" w:color="auto" w:fill="CCEEFF"/>
          </w:tcPr>
          <w:p>
            <w:pPr>
              <w:spacing w:after="0"/>
              <w:rPr>
                <w:sz w:val="2"/>
                <w:szCs w:val="2"/>
                <w:color w:val="auto"/>
              </w:rPr>
            </w:pPr>
          </w:p>
        </w:tc>
        <w:tc>
          <w:tcPr>
            <w:tcW w:w="4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60" w:type="dxa"/>
            <w:vAlign w:val="bottom"/>
          </w:tcPr>
          <w:p>
            <w:pPr>
              <w:spacing w:after="0"/>
              <w:rPr>
                <w:sz w:val="21"/>
                <w:szCs w:val="21"/>
                <w:color w:val="auto"/>
              </w:rPr>
            </w:pPr>
          </w:p>
        </w:tc>
        <w:tc>
          <w:tcPr>
            <w:tcW w:w="562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4600" w:type="dxa"/>
            <w:vAlign w:val="bottom"/>
            <w:vMerge w:val="restart"/>
          </w:tcPr>
          <w:p>
            <w:pPr>
              <w:jc w:val="right"/>
              <w:ind w:right="275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396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has classified its net liability for contingent earn-out considerations to the sellers relating to one acquisition completed during the first quarter of 2022 and two acquisitions completed during fiscal 2021. The fair value for the contingent consideration associated with these acquisitions is within Level 3 of the fair value hierarchy because the associated fair value is determined using significant unobservable inputs, which included the key assumptions to model future revenue, costs of goods sold and operating expense projections. The company recorded no change in contingent consideration for the six months ended June 30, 2023. The contingent earn-out payments to the sellers for each acquisition are based on the achievement of certain revenue thresholds.</w:t>
      </w:r>
    </w:p>
    <w:p>
      <w:pPr>
        <w:sectPr>
          <w:pgSz w:w="11900" w:h="16838" w:orient="portrait"/>
          <w:cols w:equalWidth="0" w:num="1">
            <w:col w:w="11240"/>
          </w:cols>
          <w:pgMar w:left="320" w:top="87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consideration – beginning of period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contingent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Accretion of contingent consideration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Payments made on contingent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Change in estimated fair value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Contingent consideration – end of period</w:t>
      </w:r>
    </w:p>
    <w:p>
      <w:pPr>
        <w:spacing w:after="0" w:line="3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See below for additional information related to each acquisition’s contingent consideration.</w:t>
      </w: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PurePressure</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8" w:lineRule="exact"/>
        <w:rPr>
          <w:sz w:val="20"/>
          <w:szCs w:val="20"/>
          <w:color w:val="auto"/>
        </w:rPr>
      </w:pPr>
    </w:p>
    <w:p>
      <w:pPr>
        <w:ind w:left="700" w:hanging="695"/>
        <w:spacing w:after="0"/>
        <w:tabs>
          <w:tab w:leader="none" w:pos="7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6,137</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1,420</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(5,550)</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(2,156)</w:t>
      </w:r>
    </w:p>
    <w:p>
      <w:pPr>
        <w:spacing w:after="0" w:line="58" w:lineRule="exact"/>
        <w:rPr>
          <w:sz w:val="20"/>
          <w:szCs w:val="20"/>
          <w:color w:val="auto"/>
        </w:rPr>
      </w:pPr>
    </w:p>
    <w:p>
      <w:pPr>
        <w:ind w:left="940" w:hanging="935"/>
        <w:spacing w:after="0"/>
        <w:tabs>
          <w:tab w:leader="none" w:pos="9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17145</wp:posOffset>
            </wp:positionV>
            <wp:extent cx="70294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1127"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in its review of actual revenue performance as compared to its originally projected revenue estimates, noted that PurePressure’s revenue trend is materially below the originally estimated revenue trends incorporated into the Company’s original fair value estimates at the time of the acquisition. As a result, the Company has reduced its fair value estimate of achievement for PurePressure’s first earn-out period. During the third quarter ended September 30, 2022, the Company reduced the estimated fair value of the contingent consideration liability associated with PurePressure’s first earn-out period by approximately $602 thousand and their second earn-out by approximately $170 thousand. As required by ASC Topic 805 Business Combination (“ASC 805”), the change in contingent consideration was recorded as a reduction in operating expenses during the third and fourth quarters of 2022, respectively.</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Lab Society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in its review of actual revenue performance as compared to its originally projected revenue estimates, noted that Lab Society’s revenue trend is materially below the originally estimated revenue trends incorporated into the Company’s original fair value estimates at the time of the acquisition. As a result, the Company has reduced its fair value estimate of achievement for Lab Society’s first earn-out period. During the second quarter ended June 30, 2022, the Company reduced the estimated fair value of the contingent consideration liability associated with Lab Society’s first earn-out period by approximately $1.0 million and their second earn-out by approximately $484 thousand. As required by ASC 805, the change in contingent consideration was recorded as a reduction in operating expenses during the second and fourth quarters of 2022, respectively.</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 – Precision and Cascade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earn-out period for the potential contingent consideration to be earned by the former members of Precision and Cascade concluded on December 31, 2021. The Company, during the second quarter of 2022, increased the amount of the contingent consideration earned by the former members of Precision and Cascade by approximately $121 thousand, to reflect the final contingent consideration amount due. This amount was recorded as an increase in operating expenses during the second quarter of 2022. During the period ended December 31, 2022, the Company made the final payment on the contingent consideration of approximately $5.6 million to the members of Precision and Cascade.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 Liabilities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estimated fair value of the warrant liabilities on June 30, 2023 is determined using Level 3 inputs. Inherent in a Black-Scholes option-pricing model are assumptions used in calculating the estimated fair values that represent the Company’s best estimate. The volatility rate is determined utilizing the Company’s own share price and the share price of competitors over time.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However, inherent uncertainties are involved. If factors or assumptions change, the estimated fair values could be materially different.</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January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June 30, 2023 and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1,496.00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1,496.00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4.58</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126.00%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98.30%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4.05%</w:t>
            </w:r>
          </w:p>
        </w:tc>
      </w:tr>
    </w:tbl>
    <w:p>
      <w:pPr>
        <w:spacing w:after="0" w:line="198"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three and six months ended June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and Six</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10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March 31, 2023</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60" w:type="dxa"/>
            <w:vAlign w:val="bottom"/>
          </w:tcPr>
          <w:p>
            <w:pPr>
              <w:spacing w:after="0"/>
              <w:rPr>
                <w:sz w:val="14"/>
                <w:szCs w:val="14"/>
                <w:color w:val="auto"/>
              </w:rPr>
            </w:pPr>
          </w:p>
        </w:tc>
        <w:tc>
          <w:tcPr>
            <w:tcW w:w="10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0000" w:type="dxa"/>
            <w:vAlign w:val="bottom"/>
            <w:tcBorders>
              <w:bottom w:val="single" w:sz="8" w:color="CCEEFF"/>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jc w:val="right"/>
              <w:spacing w:after="0" w:line="68" w:lineRule="exact"/>
              <w:rPr>
                <w:sz w:val="20"/>
                <w:szCs w:val="20"/>
                <w:color w:val="auto"/>
              </w:rPr>
            </w:pPr>
            <w:r>
              <w:rPr>
                <w:rFonts w:ascii="Times New Roman" w:cs="Times New Roman" w:eastAsia="Times New Roman" w:hAnsi="Times New Roman"/>
                <w:sz w:val="7"/>
                <w:szCs w:val="7"/>
                <w:color w:val="auto"/>
              </w:rPr>
              <w:t>(1</w:t>
            </w:r>
          </w:p>
        </w:tc>
        <w:tc>
          <w:tcPr>
            <w:tcW w:w="1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–June 30,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March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June 30, 2023 and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20" w:type="dxa"/>
            <w:vAlign w:val="bottom"/>
          </w:tcPr>
          <w:p>
            <w:pPr>
              <w:spacing w:after="0"/>
              <w:rPr>
                <w:sz w:val="18"/>
                <w:szCs w:val="18"/>
                <w:color w:val="auto"/>
              </w:rPr>
            </w:pPr>
          </w:p>
        </w:tc>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820" w:type="dxa"/>
            <w:vAlign w:val="bottom"/>
            <w:tcBorders>
              <w:bottom w:val="single" w:sz="8" w:color="CCEEFF"/>
            </w:tcBorders>
          </w:tcPr>
          <w:p>
            <w:pPr>
              <w:spacing w:after="0"/>
              <w:rPr>
                <w:sz w:val="21"/>
                <w:szCs w:val="21"/>
                <w:color w:val="auto"/>
              </w:rPr>
            </w:pPr>
          </w:p>
        </w:tc>
        <w:tc>
          <w:tcPr>
            <w:tcW w:w="47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47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4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430.00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430.00</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4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4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97.96%</w:t>
            </w:r>
          </w:p>
        </w:tc>
      </w:tr>
      <w:tr>
        <w:trPr>
          <w:trHeight w:val="216"/>
        </w:trPr>
        <w:tc>
          <w:tcPr>
            <w:tcW w:w="3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4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r>
        <w:trPr>
          <w:trHeight w:val="655"/>
        </w:trPr>
        <w:tc>
          <w:tcPr>
            <w:tcW w:w="382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three and six months ended June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and Six</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6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March 31, 2023</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60" w:type="dxa"/>
            <w:vAlign w:val="bottom"/>
          </w:tcPr>
          <w:p>
            <w:pPr>
              <w:spacing w:after="0"/>
              <w:rPr>
                <w:sz w:val="14"/>
                <w:szCs w:val="14"/>
                <w:color w:val="auto"/>
              </w:rPr>
            </w:pPr>
          </w:p>
        </w:tc>
        <w:tc>
          <w:tcPr>
            <w:tcW w:w="10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4"/>
        </w:trPr>
        <w:tc>
          <w:tcPr>
            <w:tcW w:w="10000" w:type="dxa"/>
            <w:vAlign w:val="bottom"/>
            <w:tcBorders>
              <w:bottom w:val="single" w:sz="8" w:color="CCEEFF"/>
            </w:tcBorders>
            <w:gridSpan w:val="2"/>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980" w:type="dxa"/>
            <w:vAlign w:val="bottom"/>
            <w:tcBorders>
              <w:bottom w:val="single" w:sz="8" w:color="auto"/>
            </w:tcBorders>
          </w:tcPr>
          <w:p>
            <w:pPr>
              <w:jc w:val="right"/>
              <w:spacing w:after="0" w:line="68" w:lineRule="exact"/>
              <w:rPr>
                <w:sz w:val="20"/>
                <w:szCs w:val="20"/>
                <w:color w:val="auto"/>
              </w:rPr>
            </w:pPr>
            <w:r>
              <w:rPr>
                <w:rFonts w:ascii="Times New Roman" w:cs="Times New Roman" w:eastAsia="Times New Roman" w:hAnsi="Times New Roman"/>
                <w:sz w:val="7"/>
                <w:szCs w:val="7"/>
                <w:color w:val="auto"/>
              </w:rPr>
              <w:t>(7</w:t>
            </w:r>
          </w:p>
        </w:tc>
        <w:tc>
          <w:tcPr>
            <w:tcW w:w="100" w:type="dxa"/>
            <w:vAlign w:val="bottom"/>
            <w:tcBorders>
              <w:bottom w:val="single" w:sz="8" w:color="CCEEFF"/>
            </w:tcBorders>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June 30,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
        </w:trPr>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August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June 30, 2023 and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8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 price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246.00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246.00</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term (in years)</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5.13</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Volatility</w:t>
            </w: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97.96%</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bl>
    <w:p>
      <w:pPr>
        <w:spacing w:after="0" w:line="198"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three and six months ended June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and Six</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0" w:type="dxa"/>
            <w:vAlign w:val="bottom"/>
          </w:tcPr>
          <w:p>
            <w:pPr>
              <w:spacing w:after="0"/>
              <w:rPr>
                <w:sz w:val="1"/>
                <w:szCs w:val="1"/>
                <w:color w:val="auto"/>
              </w:rPr>
            </w:pPr>
          </w:p>
        </w:tc>
      </w:tr>
      <w:tr>
        <w:trPr>
          <w:trHeight w:val="245"/>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80" w:type="dxa"/>
            <w:vAlign w:val="bottom"/>
          </w:tcPr>
          <w:p>
            <w:pPr>
              <w:jc w:val="center"/>
              <w:ind w:right="97"/>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9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0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60" w:type="dxa"/>
            <w:vAlign w:val="bottom"/>
          </w:tcPr>
          <w:p>
            <w:pPr>
              <w:spacing w:after="0"/>
              <w:rPr>
                <w:sz w:val="14"/>
                <w:szCs w:val="14"/>
                <w:color w:val="auto"/>
              </w:rPr>
            </w:pPr>
          </w:p>
        </w:tc>
        <w:tc>
          <w:tcPr>
            <w:tcW w:w="10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5"/>
        </w:trPr>
        <w:tc>
          <w:tcPr>
            <w:tcW w:w="1000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(4</w:t>
            </w:r>
          </w:p>
        </w:tc>
        <w:tc>
          <w:tcPr>
            <w:tcW w:w="0" w:type="dxa"/>
            <w:vAlign w:val="bottom"/>
          </w:tcPr>
          <w:p>
            <w:pPr>
              <w:spacing w:after="0"/>
              <w:rPr>
                <w:sz w:val="1"/>
                <w:szCs w:val="1"/>
                <w:color w:val="auto"/>
              </w:rPr>
            </w:pPr>
          </w:p>
        </w:tc>
      </w:tr>
      <w:tr>
        <w:trPr>
          <w:trHeight w:val="216"/>
        </w:trPr>
        <w:tc>
          <w:tcPr>
            <w:tcW w:w="10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March 31, 2023</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0"/>
        </w:trPr>
        <w:tc>
          <w:tcPr>
            <w:tcW w:w="10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June 30, 2023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9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December 2022 Warrants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Company’s assumptions used in the valuation as of June 30, 2023 and for the year ended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8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3840" w:type="dxa"/>
            <w:vAlign w:val="bottom"/>
            <w:tcBorders>
              <w:bottom w:val="single" w:sz="8" w:color="CCEEFF"/>
            </w:tcBorders>
          </w:tcPr>
          <w:p>
            <w:pPr>
              <w:spacing w:after="0"/>
              <w:rPr>
                <w:sz w:val="21"/>
                <w:szCs w:val="21"/>
                <w:color w:val="auto"/>
              </w:rPr>
            </w:pPr>
          </w:p>
        </w:tc>
        <w:tc>
          <w:tcPr>
            <w:tcW w:w="47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Stock price</w:t>
            </w:r>
          </w:p>
        </w:tc>
        <w:tc>
          <w:tcPr>
            <w:tcW w:w="47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60" w:type="dxa"/>
            <w:vAlign w:val="bottom"/>
            <w:shd w:val="clear" w:color="auto" w:fill="CCEEFF"/>
          </w:tcPr>
          <w:p>
            <w:pPr>
              <w:spacing w:after="0"/>
              <w:rPr>
                <w:sz w:val="18"/>
                <w:szCs w:val="18"/>
                <w:color w:val="auto"/>
              </w:rPr>
            </w:pPr>
          </w:p>
        </w:tc>
      </w:tr>
      <w:tr>
        <w:trPr>
          <w:trHeight w:val="216"/>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Exercise price</w:t>
            </w:r>
          </w:p>
        </w:tc>
        <w:tc>
          <w:tcPr>
            <w:tcW w:w="4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3.40</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13.00</w:t>
            </w:r>
          </w:p>
        </w:tc>
      </w:tr>
      <w:tr>
        <w:trPr>
          <w:trHeight w:val="216"/>
        </w:trPr>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Expected term (in years)</w:t>
            </w:r>
          </w:p>
        </w:tc>
        <w:tc>
          <w:tcPr>
            <w:tcW w:w="4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4.98</w:t>
            </w:r>
          </w:p>
        </w:tc>
      </w:tr>
      <w:tr>
        <w:trPr>
          <w:trHeight w:val="216"/>
        </w:trPr>
        <w:tc>
          <w:tcPr>
            <w:tcW w:w="38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Volatility</w:t>
            </w:r>
          </w:p>
        </w:tc>
        <w:tc>
          <w:tcPr>
            <w:tcW w:w="4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124.00%</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98.00%</w:t>
            </w:r>
          </w:p>
        </w:tc>
      </w:tr>
      <w:tr>
        <w:trPr>
          <w:trHeight w:val="216"/>
        </w:trPr>
        <w:tc>
          <w:tcPr>
            <w:tcW w:w="38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Discount rate - treasury yield</w:t>
            </w:r>
          </w:p>
        </w:tc>
        <w:tc>
          <w:tcPr>
            <w:tcW w:w="4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3.99%</w:t>
            </w:r>
          </w:p>
        </w:tc>
      </w:tr>
      <w:tr>
        <w:trPr>
          <w:trHeight w:val="655"/>
        </w:trPr>
        <w:tc>
          <w:tcPr>
            <w:tcW w:w="3840" w:type="dxa"/>
            <w:vAlign w:val="bottom"/>
            <w:tcBorders>
              <w:bottom w:val="single" w:sz="8" w:color="auto"/>
            </w:tcBorders>
          </w:tcPr>
          <w:p>
            <w:pPr>
              <w:spacing w:after="0"/>
              <w:rPr>
                <w:sz w:val="24"/>
                <w:szCs w:val="24"/>
                <w:color w:val="auto"/>
              </w:rPr>
            </w:pPr>
          </w:p>
        </w:tc>
        <w:tc>
          <w:tcPr>
            <w:tcW w:w="4760" w:type="dxa"/>
            <w:vAlign w:val="bottom"/>
            <w:tcBorders>
              <w:bottom w:val="single" w:sz="8" w:color="auto"/>
            </w:tcBorders>
          </w:tcPr>
          <w:p>
            <w:pPr>
              <w:jc w:val="right"/>
              <w:ind w:right="2790"/>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right="14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changes in the fair value of the Level 3 warrant liabilities for the three and six months ended June 30,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Three and Six</w:t>
            </w:r>
          </w:p>
        </w:tc>
      </w:t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Months Ended</w:t>
            </w:r>
          </w:p>
        </w:tc>
      </w:tr>
      <w:tr>
        <w:trPr>
          <w:trHeight w:val="216"/>
        </w:trPr>
        <w:tc>
          <w:tcPr>
            <w:tcW w:w="9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8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100" w:type="dxa"/>
            <w:vAlign w:val="bottom"/>
          </w:tcPr>
          <w:p>
            <w:pPr>
              <w:spacing w:after="0"/>
              <w:rPr>
                <w:sz w:val="21"/>
                <w:szCs w:val="21"/>
                <w:color w:val="auto"/>
              </w:rPr>
            </w:pPr>
          </w:p>
        </w:tc>
      </w:tr>
      <w:tr>
        <w:trPr>
          <w:trHeight w:val="216"/>
        </w:trPr>
        <w:tc>
          <w:tcPr>
            <w:tcW w:w="98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5,854</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60" w:type="dxa"/>
            <w:vAlign w:val="bottom"/>
          </w:tcPr>
          <w:p>
            <w:pPr>
              <w:spacing w:after="0"/>
              <w:rPr>
                <w:sz w:val="20"/>
                <w:szCs w:val="20"/>
                <w:color w:val="auto"/>
              </w:rPr>
            </w:pP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(3,493)</w:t>
            </w:r>
          </w:p>
        </w:tc>
      </w:tr>
      <w:tr>
        <w:trPr>
          <w:trHeight w:val="216"/>
        </w:trPr>
        <w:tc>
          <w:tcPr>
            <w:tcW w:w="1000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March 31, 2023</w:t>
            </w: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2,361</w:t>
            </w:r>
          </w:p>
        </w:tc>
        <w:tc>
          <w:tcPr>
            <w:tcW w:w="100" w:type="dxa"/>
            <w:vAlign w:val="bottom"/>
            <w:tcBorders>
              <w:top w:val="single" w:sz="8" w:color="CCEEFF"/>
            </w:tcBorders>
            <w:shd w:val="clear" w:color="auto" w:fill="CCEEFF"/>
          </w:tcPr>
          <w:p>
            <w:pPr>
              <w:spacing w:after="0"/>
              <w:rPr>
                <w:sz w:val="18"/>
                <w:szCs w:val="18"/>
                <w:color w:val="auto"/>
              </w:rPr>
            </w:pPr>
          </w:p>
        </w:tc>
      </w:tr>
      <w:tr>
        <w:trPr>
          <w:trHeight w:val="237"/>
        </w:trPr>
        <w:tc>
          <w:tcPr>
            <w:tcW w:w="100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Change in estimated fair value</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100" w:type="dxa"/>
            <w:vAlign w:val="bottom"/>
            <w:tcBorders>
              <w:bottom w:val="single" w:sz="8" w:color="CCEEFF"/>
            </w:tcBorders>
          </w:tcPr>
          <w:p>
            <w:pPr>
              <w:spacing w:after="0"/>
              <w:rPr>
                <w:sz w:val="20"/>
                <w:szCs w:val="20"/>
                <w:color w:val="auto"/>
              </w:rPr>
            </w:pPr>
          </w:p>
        </w:tc>
      </w:tr>
      <w:tr>
        <w:trPr>
          <w:trHeight w:val="250"/>
        </w:trPr>
        <w:tc>
          <w:tcPr>
            <w:tcW w:w="100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 liabilities – June 30, 2023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4,246</w:t>
            </w:r>
          </w:p>
        </w:tc>
      </w:tr>
      <w:tr>
        <w:trPr>
          <w:trHeight w:val="20"/>
        </w:trPr>
        <w:tc>
          <w:tcPr>
            <w:tcW w:w="98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Loans Receivable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 portion of the capital raised from the Company’s IPO was allocated to launch the Company’s TTK Solution program. The TTK Solution is the industry’s first-of-its-kind program in which the Company engages with qualified cannabis operators in the early phases of their business plans and provides critical support, typically over a 10-year period, which includes: access to capital for construction costs, the design and build-out of their cultivation and extraction facilities, state-of-the-art cultivation and extraction equipment, subscription to the Company’s Agrify Insights™, process design, training, implementation, proven grow recipes, product formulations, data analytics, and consumer branding.</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September 15, 2022, the Company provided a notice of default under the term loan agreement between the Company and Bud &amp; Mary’s (the “Bud</w:t>
      </w:r>
    </w:p>
    <w:p>
      <w:pPr>
        <w:spacing w:after="0" w:line="27" w:lineRule="exact"/>
        <w:rPr>
          <w:sz w:val="20"/>
          <w:szCs w:val="20"/>
          <w:color w:val="auto"/>
        </w:rPr>
      </w:pPr>
    </w:p>
    <w:p>
      <w:pPr>
        <w:jc w:val="both"/>
        <w:ind w:firstLine="8"/>
        <w:spacing w:after="0" w:line="252" w:lineRule="auto"/>
        <w:tabs>
          <w:tab w:leader="none" w:pos="21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Mary’s TTK Agreement”). On October 5, 2022, Bud &amp; Mary’s Cultivation, Inc. (the “Bud &amp; Mary’s”) filed a complaint in the Superior Court of Massachusetts in Suffolk County naming the Company as defendant. Bud &amp; Mary’s is seeking, among other relief, monetary damages in connection with alleged unfair or deceptive trade practices, breach of contract and conversion arising from the Bud &amp; Mary’s TTK Agreement. In response, the Company established a reserve of $14.7 million specifically related to Bud &amp; Mary’s. The Company deemed it necessary to fully reserve the $14.7 million outstanding balance in the third quarter of 2022 due to the current litigation and the uncertainty of the customer’s ability to repay the outstanding balance. The Company believes that Bud &amp; Mary’s claims have no merit and intends to defend itself vigorously. The Company is taking all necessary steps to pursue repayment from Bud &amp; Mary’s and is taking all actions necessary to protect its shareholders’ interests.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year ended December 31, 2022, the Company established a reserve of approximately $12.5 million specifically related to Greenstone. Greenstone is a related party because one of the Company’s former Agrify Brands employees and its VP of Engineering had a minority ownership. The Company established the reserve based upon its review of Greenstone’s financial stability, which would impact collectability, which is primarily the result of unfavorable market conditions within the Colorado market. The Company will continue to monitor the operations of Greenstone in an effort to collect all outstanding receivables but due to the uncertain nature of Greenstone’s business at this time the Company has made the decision to place a reserve against the receivables. During the quarter ended June 30, 2023 the Greenstone loan was fully written off against the reserve as a result of the sale of Greenstone to Denver Greens. It was agreed that Denver Greens would not have to pay back Greenstone’s Loan.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The breakdown of loans receivable by customer as of June 30, 2023 and December 31, 2022 were as follows:</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139</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14,691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136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12,457</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Customer 125</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9,012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9,048</w:t>
            </w: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24096</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5,890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 Non-TTK Solution (1)</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3,178</w:t>
            </w:r>
          </w:p>
        </w:tc>
        <w:tc>
          <w:tcPr>
            <w:tcW w:w="0" w:type="dxa"/>
            <w:vAlign w:val="bottom"/>
          </w:tcPr>
          <w:p>
            <w:pPr>
              <w:spacing w:after="0"/>
              <w:rPr>
                <w:sz w:val="1"/>
                <w:szCs w:val="1"/>
                <w:color w:val="auto"/>
              </w:rPr>
            </w:pPr>
          </w:p>
        </w:tc>
      </w:tr>
      <w:tr>
        <w:trPr>
          <w:trHeight w:val="229"/>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Allowance for doubtful accounts (2)(3)</w:t>
            </w:r>
          </w:p>
        </w:tc>
        <w:tc>
          <w:tcPr>
            <w:tcW w:w="16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(19,215)</w:t>
            </w:r>
          </w:p>
        </w:tc>
        <w:tc>
          <w:tcPr>
            <w:tcW w:w="24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(33,050)</w:t>
            </w:r>
          </w:p>
        </w:tc>
        <w:tc>
          <w:tcPr>
            <w:tcW w:w="0" w:type="dxa"/>
            <w:vAlign w:val="bottom"/>
          </w:tcPr>
          <w:p>
            <w:pPr>
              <w:spacing w:after="0"/>
              <w:rPr>
                <w:sz w:val="1"/>
                <w:szCs w:val="1"/>
                <w:color w:val="auto"/>
              </w:rPr>
            </w:pPr>
          </w:p>
        </w:tc>
      </w:tr>
      <w:tr>
        <w:trPr>
          <w:trHeight w:val="27"/>
        </w:trPr>
        <w:tc>
          <w:tcPr>
            <w:tcW w:w="86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loan receivable</w:t>
            </w: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vMerge w:val="continue"/>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11,257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12,214</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340" w:hanging="332"/>
        <w:spacing w:after="0" w:line="282"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loan receivable is included within Note 3 – Supplemental Consolidated Balance Sheet Information, included elsewhere in the notes to the consolidated financial statements.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was written off at December 31, 2022 due to the cancellation of this TTK Solution project.</w:t>
      </w:r>
    </w:p>
    <w:p>
      <w:pPr>
        <w:spacing w:after="0" w:line="225"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established an allowance for doubtful accounts of approximately $14.7 million related to Bud &amp; Mary’s ongoing litigation. Approximately $12.5 million relates to Greenstone, which is a related party because one of the Company’s former Agrify Brands employees and its VP of Engineering had a minority ownership, consisting of capital advances, accrued interest, and VFUs sales. Approximately $4.5 million relates to Hannah, and $1.4 million relates to WhiteCloud.</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this time, the Company is not aware of, nor has it identified any risk or potential performance failure associated with any of its TTK Solution arrangements, other than the noted exceptions of Bud &amp; Mary’s TTK Solution and Greenstone TTK Solution, which is a related party, as described above.</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analyzed whether any of the above customers are a VIE in accordance with ASC 810 and if so, whether the Company is the primary beneficiary requiring consolidation. Based on the Company’s analysis, the Company has determined that Greenstone, which is a related party because one of the Company’s former Agrify Brands employees and its VP of Engineering had a minority ownership, is a VIE. As of June 30, 2023, two of the Company’s employees own approximately 36.6% of the equity of Greenstone, however, since the Company is not the primary beneficiary and does not hold significant influence over Greenstone business decisions, the Company is not required to consolidate Greenstone.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Inventory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with cost principally determined by the weighted-average cost method on a first-in, first-out basis. Such costs include the acquisition cost for raw materials and operating supplies. The Company’s standard payment terms with suppliers may require making payments in advance of delivery of the Company’s products. The Company’s prepaid inventory is a short-term, non-interest-bearing asset that is applied to the purchase of products once they are delivered.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Inventory consisted of the following as of June 30, 2023 and December 31, 2022:</w:t>
            </w: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5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25,059</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inventory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13,325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15,506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Finished goods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7,651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13,689</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Inventory for resale</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gross</w:t>
            </w: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Inventory reserves</w:t>
            </w:r>
          </w:p>
        </w:tc>
        <w:tc>
          <w:tcPr>
            <w:tcW w:w="160" w:type="dxa"/>
            <w:vAlign w:val="bottom"/>
          </w:tcPr>
          <w:p>
            <w:pPr>
              <w:spacing w:after="0"/>
              <w:rPr>
                <w:sz w:val="14"/>
                <w:szCs w:val="14"/>
                <w:color w:val="auto"/>
              </w:rPr>
            </w:pPr>
          </w:p>
        </w:tc>
        <w:tc>
          <w:tcPr>
            <w:tcW w:w="1180" w:type="dxa"/>
            <w:vAlign w:val="bottom"/>
            <w:gridSpan w:val="2"/>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98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6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(32,422</w:t>
            </w:r>
          </w:p>
        </w:tc>
        <w:tc>
          <w:tcPr>
            <w:tcW w:w="240" w:type="dxa"/>
            <w:vAlign w:val="bottom"/>
          </w:tcPr>
          <w:p>
            <w:pPr>
              <w:spacing w:after="0"/>
              <w:rPr>
                <w:sz w:val="5"/>
                <w:szCs w:val="5"/>
                <w:color w:val="auto"/>
              </w:rPr>
            </w:pPr>
          </w:p>
        </w:tc>
        <w:tc>
          <w:tcPr>
            <w:tcW w:w="980" w:type="dxa"/>
            <w:vAlign w:val="bottom"/>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(32,759</w:t>
            </w:r>
          </w:p>
        </w:tc>
        <w:tc>
          <w:tcPr>
            <w:tcW w:w="0" w:type="dxa"/>
            <w:vAlign w:val="bottom"/>
          </w:tcPr>
          <w:p>
            <w:pPr>
              <w:spacing w:after="0"/>
              <w:rPr>
                <w:sz w:val="1"/>
                <w:szCs w:val="1"/>
                <w:color w:val="auto"/>
              </w:rPr>
            </w:pPr>
          </w:p>
        </w:tc>
      </w:tr>
      <w:tr>
        <w:trPr>
          <w:trHeight w:val="27"/>
        </w:trPr>
        <w:tc>
          <w:tcPr>
            <w:tcW w:w="85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inventory, net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18,736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21,396</w:t>
            </w:r>
          </w:p>
        </w:tc>
        <w:tc>
          <w:tcPr>
            <w:tcW w:w="0" w:type="dxa"/>
            <w:vAlign w:val="bottom"/>
          </w:tcPr>
          <w:p>
            <w:pPr>
              <w:spacing w:after="0"/>
              <w:rPr>
                <w:sz w:val="1"/>
                <w:szCs w:val="1"/>
                <w:color w:val="auto"/>
              </w:rPr>
            </w:pPr>
          </w:p>
        </w:tc>
      </w:tr>
      <w:tr>
        <w:trPr>
          <w:trHeight w:val="21"/>
        </w:trPr>
        <w:tc>
          <w:tcPr>
            <w:tcW w:w="85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Inventory Reserves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establishes an inventory reserve for obsolete, slow moving, and defective inventory. The Company calculates inventory reserves for obsolete, slow moving, or defective items as the difference between the cost of inventory and its estimated net realizable value. The reserves are based upon management’s expected method of disposition.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Changes in the Company’s inventory reserve are as follows:</w:t>
            </w:r>
          </w:p>
        </w:tc>
        <w:tc>
          <w:tcPr>
            <w:tcW w:w="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100" w:type="dxa"/>
            <w:vAlign w:val="bottom"/>
          </w:tcPr>
          <w:p>
            <w:pPr>
              <w:spacing w:after="0"/>
              <w:rPr>
                <w:sz w:val="24"/>
                <w:szCs w:val="24"/>
                <w:color w:val="auto"/>
              </w:rPr>
            </w:pPr>
          </w:p>
        </w:tc>
        <w:tc>
          <w:tcPr>
            <w:tcW w:w="11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Year Ended</w:t>
            </w:r>
          </w:p>
        </w:tc>
        <w:tc>
          <w:tcPr>
            <w:tcW w:w="0" w:type="dxa"/>
            <w:vAlign w:val="bottom"/>
          </w:tcPr>
          <w:p>
            <w:pPr>
              <w:spacing w:after="0"/>
              <w:rPr>
                <w:sz w:val="1"/>
                <w:szCs w:val="1"/>
                <w:color w:val="auto"/>
              </w:rPr>
            </w:pPr>
          </w:p>
        </w:tc>
      </w:tr>
      <w:tr>
        <w:trPr>
          <w:trHeight w:val="216"/>
        </w:trPr>
        <w:tc>
          <w:tcPr>
            <w:tcW w:w="8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1"/>
                <w:szCs w:val="21"/>
                <w:color w:val="auto"/>
              </w:rPr>
            </w:pPr>
          </w:p>
        </w:tc>
        <w:tc>
          <w:tcPr>
            <w:tcW w:w="12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beginning of period</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32,759</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(Decrease) increase in inventory reserves</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31,817</w:t>
            </w:r>
          </w:p>
        </w:tc>
        <w:tc>
          <w:tcPr>
            <w:tcW w:w="0" w:type="dxa"/>
            <w:vAlign w:val="bottom"/>
          </w:tcPr>
          <w:p>
            <w:pPr>
              <w:spacing w:after="0"/>
              <w:rPr>
                <w:sz w:val="1"/>
                <w:szCs w:val="1"/>
                <w:color w:val="auto"/>
              </w:rPr>
            </w:pPr>
          </w:p>
        </w:tc>
      </w:tr>
      <w:tr>
        <w:trPr>
          <w:trHeight w:val="27"/>
        </w:trPr>
        <w:tc>
          <w:tcPr>
            <w:tcW w:w="83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reserves – end of period</w:t>
            </w:r>
          </w:p>
        </w:tc>
        <w:tc>
          <w:tcPr>
            <w:tcW w:w="24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60" w:type="dxa"/>
            <w:vAlign w:val="bottom"/>
            <w:gridSpan w:val="2"/>
            <w:vMerge w:val="continue"/>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32,422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32,759</w:t>
            </w:r>
          </w:p>
        </w:tc>
        <w:tc>
          <w:tcPr>
            <w:tcW w:w="0" w:type="dxa"/>
            <w:vAlign w:val="bottom"/>
          </w:tcPr>
          <w:p>
            <w:pPr>
              <w:spacing w:after="0"/>
              <w:rPr>
                <w:sz w:val="1"/>
                <w:szCs w:val="1"/>
                <w:color w:val="auto"/>
              </w:rPr>
            </w:pPr>
          </w:p>
        </w:tc>
      </w:tr>
      <w:tr>
        <w:trPr>
          <w:trHeight w:val="21"/>
        </w:trPr>
        <w:tc>
          <w:tcPr>
            <w:tcW w:w="8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Goodwill and Intangible Assets, Net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Intangible assets are initially recorded at fair value and tested periodically for impairment. Goodwill represents the excess of the purchase price over the fair value of identifiable tangible and intangible assets acquired and liabilities assumed in a business combination and is tested at least annually for impairment. The Company performs its goodwill impairment testing annually during the fourth quarter, or sooner if indicators or if circumstances were to occur that would more likely than not reduce the fair value of the Company’s reporting unit below its carrying amount. The Company would recognize an impairment charge for the amount by which the carrying amount exceeds the reporting unit’s fair value, not to exceed the total amount of goodwill.</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has concluded that there was an impairment-triggering event during the quarter ended June 30, 2022 that required the Company to perform a detailed analysis of the current carrying value of its goodwill and intangible assets. For goodwill and intangible asset impairment testing purposes, the Company has one reporting unit.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quarter ended June 30, 2022, the Company’s market capitalization fell below total net assets. In addition, financial performance continued to weaken during the quarter, which was contrary to prior experience. Management reassessed business performance expectations following persistent adverse developments in equity markets, deterioration in the environment in which the Company operates, lower-than-expected sales, and an increase in operating expenses. These indicators, in the aggregate, required impairment testing for goodwill and intangible assets.</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the results of this testing, the Company determined that the carrying values of the aggregate value of its goodwill and intangible assets were not recoverable. The Company recorded impairment charges during the second quarter of 2022, representing a full impairment of the carrying value of its goodwill and intangible assets. The Company recorded an impairment charge of approximately $69.9 million, representing the carrying values of goodwill and intangible assets, which totaled $54.7 million and $15.2 million, respectively.</w:t>
      </w:r>
    </w:p>
    <w:p>
      <w:pPr>
        <w:sectPr>
          <w:pgSz w:w="11900" w:h="16838" w:orient="portrait"/>
          <w:cols w:equalWidth="0" w:num="1">
            <w:col w:w="11240"/>
          </w:cols>
          <w:pgMar w:left="320" w:top="873" w:right="339" w:bottom="1440" w:gutter="0" w:footer="0" w:header="0"/>
        </w:sectPr>
      </w:pP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Changes in goodwill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 beginning of period</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 acquired during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Goodwill purchase accounting adjustment</w:t>
      </w:r>
    </w:p>
    <w:p>
      <w:pPr>
        <w:spacing w:after="0" w:line="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Goodwill impairment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885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Goodwill -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Year ended</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2022</w:t>
      </w:r>
    </w:p>
    <w:p>
      <w:pPr>
        <w:spacing w:after="0" w:line="18" w:lineRule="exact"/>
        <w:rPr>
          <w:sz w:val="20"/>
          <w:szCs w:val="20"/>
          <w:color w:val="auto"/>
        </w:rPr>
      </w:pPr>
    </w:p>
    <w:p>
      <w:pPr>
        <w:ind w:left="620" w:hanging="615"/>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50,090</w:t>
      </w:r>
    </w:p>
    <w:p>
      <w:pPr>
        <w:spacing w:after="0" w:line="27" w:lineRule="exact"/>
        <w:rPr>
          <w:rFonts w:ascii="Times New Roman" w:cs="Times New Roman" w:eastAsia="Times New Roman" w:hAnsi="Times New Roman"/>
          <w:sz w:val="18"/>
          <w:szCs w:val="18"/>
          <w:color w:val="auto"/>
        </w:rPr>
      </w:pPr>
    </w:p>
    <w:p>
      <w:pPr>
        <w:ind w:left="7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4,368</w:t>
      </w:r>
    </w:p>
    <w:p>
      <w:pPr>
        <w:spacing w:after="0" w:line="9" w:lineRule="exact"/>
        <w:rPr>
          <w:rFonts w:ascii="Times New Roman" w:cs="Times New Roman" w:eastAsia="Times New Roman" w:hAnsi="Times New Roman"/>
          <w:sz w:val="18"/>
          <w:szCs w:val="18"/>
          <w:color w:val="auto"/>
        </w:rPr>
      </w:pPr>
    </w:p>
    <w:p>
      <w:pPr>
        <w:ind w:left="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(54,747)</w:t>
      </w:r>
    </w:p>
    <w:p>
      <w:pPr>
        <w:spacing w:after="0" w:line="58" w:lineRule="exact"/>
        <w:rPr>
          <w:sz w:val="20"/>
          <w:szCs w:val="20"/>
          <w:color w:val="auto"/>
        </w:rPr>
      </w:pPr>
    </w:p>
    <w:p>
      <w:pPr>
        <w:ind w:left="940" w:hanging="935"/>
        <w:spacing w:after="0"/>
        <w:tabs>
          <w:tab w:leader="none" w:pos="9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43180</wp:posOffset>
            </wp:positionV>
            <wp:extent cx="70294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227" w:lineRule="exact"/>
        <w:rPr>
          <w:sz w:val="20"/>
          <w:szCs w:val="20"/>
          <w:color w:val="auto"/>
        </w:rPr>
      </w:pPr>
    </w:p>
    <w:p>
      <w:pPr>
        <w:sectPr>
          <w:pgSz w:w="11900" w:h="16838" w:orient="portrait"/>
          <w:cols w:equalWidth="0" w:num="2">
            <w:col w:w="9300" w:space="720"/>
            <w:col w:w="1220"/>
          </w:cols>
          <w:pgMar w:left="320" w:top="873" w:right="339" w:bottom="1440" w:gutter="0" w:footer="0" w:header="0"/>
          <w:type w:val="continuous"/>
        </w:sect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Intangible assets, net as of December 31,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gridSpan w:val="9"/>
          </w:tcPr>
          <w:p>
            <w:pPr>
              <w:jc w:val="right"/>
              <w:ind w:right="656"/>
              <w:spacing w:after="0"/>
              <w:rPr>
                <w:sz w:val="20"/>
                <w:szCs w:val="20"/>
                <w:color w:val="auto"/>
              </w:rPr>
            </w:pPr>
            <w:r>
              <w:rPr>
                <w:rFonts w:ascii="Times New Roman" w:cs="Times New Roman" w:eastAsia="Times New Roman" w:hAnsi="Times New Roman"/>
                <w:sz w:val="18"/>
                <w:szCs w:val="18"/>
                <w:b w:val="1"/>
                <w:bCs w:val="1"/>
                <w:color w:val="auto"/>
              </w:rPr>
              <w:t>Accumulated Amortization and</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580" w:type="dxa"/>
            <w:vAlign w:val="bottom"/>
            <w:gridSpan w:val="7"/>
          </w:tcPr>
          <w:p>
            <w:pPr>
              <w:ind w:left="660"/>
              <w:spacing w:after="0"/>
              <w:rPr>
                <w:sz w:val="20"/>
                <w:szCs w:val="20"/>
                <w:color w:val="auto"/>
              </w:rPr>
            </w:pPr>
            <w:r>
              <w:rPr>
                <w:rFonts w:ascii="Times New Roman" w:cs="Times New Roman" w:eastAsia="Times New Roman" w:hAnsi="Times New Roman"/>
                <w:sz w:val="18"/>
                <w:szCs w:val="18"/>
                <w:b w:val="1"/>
                <w:bCs w:val="1"/>
                <w:color w:val="auto"/>
              </w:rPr>
              <w:t>Intangible Assets, Gross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8"/>
              </w:rPr>
              <w:t>Impairment</w:t>
            </w:r>
          </w:p>
        </w:tc>
        <w:tc>
          <w:tcPr>
            <w:tcW w:w="2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60" w:type="dxa"/>
            <w:vAlign w:val="bottom"/>
            <w:gridSpan w:val="7"/>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0" w:type="dxa"/>
            <w:vAlign w:val="bottom"/>
          </w:tcPr>
          <w:p>
            <w:pPr>
              <w:spacing w:after="0"/>
              <w:rPr>
                <w:sz w:val="1"/>
                <w:szCs w:val="1"/>
                <w:color w:val="auto"/>
              </w:rPr>
            </w:pPr>
          </w:p>
        </w:tc>
      </w:tr>
      <w:tr>
        <w:trPr>
          <w:trHeight w:val="194"/>
        </w:trPr>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gridSpan w:val="3"/>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Additions and</w:t>
            </w:r>
          </w:p>
        </w:tc>
        <w:tc>
          <w:tcPr>
            <w:tcW w:w="1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3"/>
          </w:tcPr>
          <w:p>
            <w:pPr>
              <w:jc w:val="right"/>
              <w:ind w:right="161"/>
              <w:spacing w:after="0" w:line="194" w:lineRule="exact"/>
              <w:rPr>
                <w:sz w:val="20"/>
                <w:szCs w:val="20"/>
                <w:color w:val="auto"/>
              </w:rPr>
            </w:pPr>
            <w:r>
              <w:rPr>
                <w:rFonts w:ascii="Times New Roman" w:cs="Times New Roman" w:eastAsia="Times New Roman" w:hAnsi="Times New Roman"/>
                <w:sz w:val="18"/>
                <w:szCs w:val="18"/>
                <w:b w:val="1"/>
                <w:bCs w:val="1"/>
                <w:color w:val="auto"/>
              </w:rPr>
              <w:t>Expense and</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22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Retirements,</w:t>
            </w:r>
          </w:p>
        </w:tc>
        <w:tc>
          <w:tcPr>
            <w:tcW w:w="120" w:type="dxa"/>
            <w:vAlign w:val="bottom"/>
          </w:tcPr>
          <w:p>
            <w:pPr>
              <w:spacing w:after="0"/>
              <w:rPr>
                <w:sz w:val="20"/>
                <w:szCs w:val="20"/>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0" w:type="dxa"/>
            <w:vAlign w:val="bottom"/>
          </w:tcPr>
          <w:p>
            <w:pPr>
              <w:spacing w:after="0"/>
              <w:rPr>
                <w:sz w:val="20"/>
                <w:szCs w:val="20"/>
                <w:color w:val="auto"/>
              </w:rPr>
            </w:pPr>
          </w:p>
        </w:tc>
        <w:tc>
          <w:tcPr>
            <w:tcW w:w="1140" w:type="dxa"/>
            <w:vAlign w:val="bottom"/>
            <w:gridSpan w:val="3"/>
          </w:tcPr>
          <w:p>
            <w:pPr>
              <w:jc w:val="right"/>
              <w:ind w:right="201"/>
              <w:spacing w:after="0"/>
              <w:rPr>
                <w:sz w:val="20"/>
                <w:szCs w:val="20"/>
                <w:color w:val="auto"/>
              </w:rPr>
            </w:pPr>
            <w:r>
              <w:rPr>
                <w:rFonts w:ascii="Times New Roman" w:cs="Times New Roman" w:eastAsia="Times New Roman" w:hAnsi="Times New Roman"/>
                <w:sz w:val="18"/>
                <w:szCs w:val="18"/>
                <w:b w:val="1"/>
                <w:bCs w:val="1"/>
                <w:color w:val="auto"/>
              </w:rPr>
              <w:t>January 1,</w:t>
            </w:r>
          </w:p>
        </w:tc>
        <w:tc>
          <w:tcPr>
            <w:tcW w:w="12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Retirements,</w:t>
            </w:r>
          </w:p>
        </w:tc>
        <w:tc>
          <w:tcPr>
            <w:tcW w:w="1320" w:type="dxa"/>
            <w:vAlign w:val="bottom"/>
            <w:gridSpan w:val="4"/>
          </w:tcPr>
          <w:p>
            <w:pPr>
              <w:jc w:val="right"/>
              <w:ind w:right="156"/>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240" w:type="dxa"/>
            <w:vAlign w:val="bottom"/>
            <w:gridSpan w:val="4"/>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January 1,</w:t>
            </w:r>
          </w:p>
        </w:tc>
        <w:tc>
          <w:tcPr>
            <w:tcW w:w="12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63"/>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20" w:type="dxa"/>
            <w:vAlign w:val="bottom"/>
            <w:gridSpan w:val="2"/>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net</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b w:val="1"/>
                <w:bCs w:val="1"/>
                <w:color w:val="auto"/>
              </w:rPr>
              <w:t>net</w:t>
            </w:r>
          </w:p>
        </w:tc>
        <w:tc>
          <w:tcPr>
            <w:tcW w:w="240" w:type="dxa"/>
            <w:vAlign w:val="bottom"/>
          </w:tcPr>
          <w:p>
            <w:pPr>
              <w:spacing w:after="0"/>
              <w:rPr>
                <w:sz w:val="22"/>
                <w:szCs w:val="22"/>
                <w:color w:val="auto"/>
              </w:rPr>
            </w:pPr>
          </w:p>
        </w:tc>
        <w:tc>
          <w:tcPr>
            <w:tcW w:w="880" w:type="dxa"/>
            <w:vAlign w:val="bottom"/>
          </w:tcPr>
          <w:p>
            <w:pPr>
              <w:jc w:val="right"/>
              <w:ind w:right="296"/>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2022</w:t>
            </w: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8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11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names</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w:t>
            </w: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w:t>
            </w: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4"/>
                <w:szCs w:val="4"/>
                <w:color w:val="auto"/>
                <w:w w:val="97"/>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1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Customer</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relationships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6,176</w:t>
            </w:r>
          </w:p>
        </w:tc>
        <w:tc>
          <w:tcPr>
            <w:tcW w:w="40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6,889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(302)</w:t>
            </w:r>
          </w:p>
        </w:tc>
        <w:tc>
          <w:tcPr>
            <w:tcW w:w="120" w:type="dxa"/>
            <w:vAlign w:val="bottom"/>
          </w:tcPr>
          <w:p>
            <w:pPr>
              <w:spacing w:after="0"/>
              <w:rPr>
                <w:sz w:val="20"/>
                <w:szCs w:val="20"/>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(6,587)</w:t>
            </w:r>
          </w:p>
        </w:tc>
        <w:tc>
          <w:tcPr>
            <w:tcW w:w="240" w:type="dxa"/>
            <w:vAlign w:val="bottom"/>
          </w:tcPr>
          <w:p>
            <w:pPr>
              <w:spacing w:after="0"/>
              <w:rPr>
                <w:sz w:val="20"/>
                <w:szCs w:val="20"/>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(6,889)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5,874</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Acquired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developed</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technology</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4,911</w:t>
            </w:r>
          </w:p>
        </w:tc>
        <w:tc>
          <w:tcPr>
            <w:tcW w:w="4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1,432</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6,343</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(191)</w:t>
            </w: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(6,152)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(6,343)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4,720</w:t>
            </w:r>
          </w:p>
        </w:tc>
        <w:tc>
          <w:tcPr>
            <w:tcW w:w="22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00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Non-compete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1,202</w:t>
            </w:r>
          </w:p>
        </w:tc>
        <w:tc>
          <w:tcPr>
            <w:tcW w:w="40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112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(1,142)</w:t>
            </w:r>
          </w:p>
        </w:tc>
        <w:tc>
          <w:tcPr>
            <w:tcW w:w="240" w:type="dxa"/>
            <w:vAlign w:val="bottom"/>
          </w:tcPr>
          <w:p>
            <w:pPr>
              <w:spacing w:after="0"/>
              <w:rPr>
                <w:sz w:val="18"/>
                <w:szCs w:val="18"/>
                <w:color w:val="auto"/>
              </w:rPr>
            </w:pPr>
          </w:p>
        </w:tc>
        <w:tc>
          <w:tcPr>
            <w:tcW w:w="9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1,142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1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Capitalized</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245</w:t>
            </w:r>
          </w:p>
        </w:tc>
        <w:tc>
          <w:tcPr>
            <w:tcW w:w="400" w:type="dxa"/>
            <w:vAlign w:val="bottom"/>
            <w:shd w:val="clear" w:color="auto" w:fill="CCEEFF"/>
          </w:tcPr>
          <w:p>
            <w:pPr>
              <w:spacing w:after="0"/>
              <w:rPr>
                <w:sz w:val="17"/>
                <w:szCs w:val="17"/>
                <w:color w:val="auto"/>
              </w:rPr>
            </w:pPr>
          </w:p>
        </w:tc>
        <w:tc>
          <w:tcPr>
            <w:tcW w:w="8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1120" w:type="dxa"/>
            <w:vAlign w:val="bottom"/>
            <w:gridSpan w:val="2"/>
            <w:vMerge w:val="restart"/>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7"/>
                <w:szCs w:val="17"/>
                <w:color w:val="auto"/>
              </w:rPr>
            </w:pPr>
          </w:p>
        </w:tc>
        <w:tc>
          <w:tcPr>
            <w:tcW w:w="980" w:type="dxa"/>
            <w:vAlign w:val="bottom"/>
            <w:gridSpan w:val="2"/>
            <w:vMerge w:val="restart"/>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gridSpan w:val="3"/>
            <w:vMerge w:val="restart"/>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53"/>
        </w:trPr>
        <w:tc>
          <w:tcPr>
            <w:tcW w:w="1180" w:type="dxa"/>
            <w:vAlign w:val="bottom"/>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website costs</w:t>
            </w: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2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0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60" w:type="dxa"/>
            <w:vAlign w:val="bottom"/>
            <w:gridSpan w:val="2"/>
            <w:vMerge w:val="continue"/>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gridSpan w:val="2"/>
            <w:vMerge w:val="continue"/>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220" w:type="dxa"/>
            <w:vAlign w:val="bottom"/>
            <w:tcBorders>
              <w:right w:val="single" w:sz="8" w:color="CCEEFF"/>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3"/>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1180" w:type="dxa"/>
            <w:vAlign w:val="bottom"/>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gridSpan w:val="2"/>
            <w:vMerge w:val="continue"/>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2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900" w:type="dxa"/>
            <w:vAlign w:val="bottom"/>
            <w:gridSpan w:val="2"/>
            <w:vMerge w:val="continue"/>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96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(100</w:t>
            </w:r>
          </w:p>
        </w:tc>
        <w:tc>
          <w:tcPr>
            <w:tcW w:w="120" w:type="dxa"/>
            <w:vAlign w:val="bottom"/>
            <w:shd w:val="clear" w:color="auto" w:fill="CCEEFF"/>
          </w:tcPr>
          <w:p>
            <w:pPr>
              <w:spacing w:after="0"/>
              <w:rPr>
                <w:sz w:val="5"/>
                <w:szCs w:val="5"/>
                <w:color w:val="auto"/>
              </w:rPr>
            </w:pPr>
          </w:p>
        </w:tc>
        <w:tc>
          <w:tcPr>
            <w:tcW w:w="1120" w:type="dxa"/>
            <w:vAlign w:val="bottom"/>
            <w:gridSpan w:val="2"/>
            <w:shd w:val="clear" w:color="auto" w:fill="CCEEFF"/>
          </w:tcPr>
          <w:p>
            <w:pPr>
              <w:jc w:val="right"/>
              <w:ind w:right="141"/>
              <w:spacing w:after="0" w:line="68" w:lineRule="exact"/>
              <w:rPr>
                <w:sz w:val="20"/>
                <w:szCs w:val="20"/>
                <w:color w:val="auto"/>
              </w:rPr>
            </w:pPr>
            <w:r>
              <w:rPr>
                <w:rFonts w:ascii="Times New Roman" w:cs="Times New Roman" w:eastAsia="Times New Roman" w:hAnsi="Times New Roman"/>
                <w:sz w:val="7"/>
                <w:szCs w:val="7"/>
                <w:color w:val="auto"/>
              </w:rPr>
              <w:t>(145</w:t>
            </w:r>
          </w:p>
        </w:tc>
        <w:tc>
          <w:tcPr>
            <w:tcW w:w="240" w:type="dxa"/>
            <w:vAlign w:val="bottom"/>
            <w:shd w:val="clear" w:color="auto" w:fill="CCEEFF"/>
          </w:tcPr>
          <w:p>
            <w:pPr>
              <w:spacing w:after="0"/>
              <w:rPr>
                <w:sz w:val="5"/>
                <w:szCs w:val="5"/>
                <w:color w:val="auto"/>
              </w:rPr>
            </w:pPr>
          </w:p>
        </w:tc>
        <w:tc>
          <w:tcPr>
            <w:tcW w:w="980" w:type="dxa"/>
            <w:vAlign w:val="bottom"/>
            <w:gridSpan w:val="2"/>
            <w:shd w:val="clear" w:color="auto" w:fill="CCEEFF"/>
          </w:tcPr>
          <w:p>
            <w:pPr>
              <w:jc w:val="right"/>
              <w:ind w:right="81"/>
              <w:spacing w:after="0" w:line="68" w:lineRule="exact"/>
              <w:rPr>
                <w:sz w:val="20"/>
                <w:szCs w:val="20"/>
                <w:color w:val="auto"/>
              </w:rPr>
            </w:pPr>
            <w:r>
              <w:rPr>
                <w:rFonts w:ascii="Times New Roman" w:cs="Times New Roman" w:eastAsia="Times New Roman" w:hAnsi="Times New Roman"/>
                <w:sz w:val="7"/>
                <w:szCs w:val="7"/>
                <w:color w:val="auto"/>
              </w:rPr>
              <w:t>(245</w:t>
            </w:r>
          </w:p>
        </w:tc>
        <w:tc>
          <w:tcPr>
            <w:tcW w:w="1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20" w:type="dxa"/>
            <w:vAlign w:val="bottom"/>
            <w:gridSpan w:val="2"/>
            <w:vMerge w:val="continue"/>
            <w:shd w:val="clear" w:color="auto" w:fill="CCEEFF"/>
          </w:tcPr>
          <w:p>
            <w:pPr>
              <w:spacing w:after="0"/>
              <w:rPr>
                <w:sz w:val="5"/>
                <w:szCs w:val="5"/>
                <w:color w:val="auto"/>
              </w:rPr>
            </w:pPr>
          </w:p>
        </w:tc>
        <w:tc>
          <w:tcPr>
            <w:tcW w:w="220" w:type="dxa"/>
            <w:vAlign w:val="bottom"/>
            <w:tcBorders>
              <w:right w:val="single" w:sz="8" w:color="CCEEFF"/>
            </w:tcBorders>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000" w:type="dxa"/>
            <w:vAlign w:val="bottom"/>
            <w:gridSpan w:val="3"/>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vMerge w:val="restart"/>
          </w:tcPr>
          <w:p>
            <w:pPr>
              <w:jc w:val="right"/>
              <w:ind w:right="21"/>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tcBorders>
            <w:vMerge w:val="restart"/>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right w:val="single" w:sz="8" w:color="auto"/>
            </w:tcBorders>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14,952</w:t>
            </w: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2,462</w:t>
            </w:r>
          </w:p>
        </w:tc>
        <w:tc>
          <w:tcPr>
            <w:tcW w:w="4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17,414</w:t>
            </w:r>
          </w:p>
        </w:tc>
        <w:tc>
          <w:tcPr>
            <w:tcW w:w="300" w:type="dxa"/>
            <w:vAlign w:val="bottom"/>
            <w:gridSpan w:val="2"/>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22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(16,534</w:t>
            </w:r>
          </w:p>
        </w:tc>
        <w:tc>
          <w:tcPr>
            <w:tcW w:w="220" w:type="dxa"/>
            <w:vAlign w:val="bottom"/>
            <w:vMerge w:val="continue"/>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(17,414</w:t>
            </w:r>
          </w:p>
        </w:tc>
        <w:tc>
          <w:tcPr>
            <w:tcW w:w="100" w:type="dxa"/>
            <w:vAlign w:val="bottom"/>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14,072</w:t>
            </w:r>
          </w:p>
        </w:tc>
        <w:tc>
          <w:tcPr>
            <w:tcW w:w="220" w:type="dxa"/>
            <w:vAlign w:val="bottom"/>
          </w:tcPr>
          <w:p>
            <w:pPr>
              <w:spacing w:after="0"/>
              <w:rPr>
                <w:sz w:val="20"/>
                <w:szCs w:val="20"/>
                <w:color w:val="auto"/>
              </w:rPr>
            </w:pPr>
          </w:p>
        </w:tc>
        <w:tc>
          <w:tcPr>
            <w:tcW w:w="220" w:type="dxa"/>
            <w:vAlign w:val="bottom"/>
          </w:tcPr>
          <w:p>
            <w:pPr>
              <w:jc w:val="right"/>
              <w:ind w:right="113"/>
              <w:spacing w:after="0"/>
              <w:rPr>
                <w:sz w:val="20"/>
                <w:szCs w:val="20"/>
                <w:color w:val="auto"/>
              </w:rPr>
            </w:pPr>
            <w:r>
              <w:rPr>
                <w:rFonts w:ascii="Times New Roman" w:cs="Times New Roman" w:eastAsia="Times New Roman" w:hAnsi="Times New Roman"/>
                <w:sz w:val="4"/>
                <w:szCs w:val="4"/>
                <w:color w:val="auto"/>
                <w:w w:val="97"/>
              </w:rPr>
              <w:t>$</w:t>
            </w:r>
          </w:p>
        </w:tc>
        <w:tc>
          <w:tcPr>
            <w:tcW w:w="100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11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Debt</w:t>
            </w: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11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84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The Company’s debt consisted of:</w:t>
            </w: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60" w:type="dxa"/>
            <w:vAlign w:val="bottom"/>
            <w:tcBorders>
              <w:bottom w:val="single" w:sz="8" w:color="auto"/>
            </w:tcBorders>
          </w:tcPr>
          <w:p>
            <w:pPr>
              <w:spacing w:after="0"/>
              <w:rPr>
                <w:sz w:val="21"/>
                <w:szCs w:val="21"/>
                <w:color w:val="auto"/>
              </w:rPr>
            </w:pPr>
          </w:p>
        </w:tc>
        <w:tc>
          <w:tcPr>
            <w:tcW w:w="2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440" w:type="dxa"/>
            <w:vAlign w:val="bottom"/>
            <w:gridSpan w:val="5"/>
            <w:shd w:val="clear" w:color="auto" w:fill="CCEEFF"/>
          </w:tcPr>
          <w:p>
            <w:pPr>
              <w:spacing w:after="0"/>
              <w:rPr>
                <w:sz w:val="20"/>
                <w:szCs w:val="20"/>
                <w:color w:val="auto"/>
              </w:rPr>
            </w:pPr>
            <w:r>
              <w:rPr>
                <w:rFonts w:ascii="Times New Roman" w:cs="Times New Roman" w:eastAsia="Times New Roman" w:hAnsi="Times New Roman"/>
                <w:sz w:val="18"/>
                <w:szCs w:val="18"/>
                <w:color w:val="auto"/>
              </w:rPr>
              <w:t>Note payable – Exchange Note</w:t>
            </w: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w:t>
            </w:r>
          </w:p>
        </w:tc>
        <w:tc>
          <w:tcPr>
            <w:tcW w:w="2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Times New Roman" w:cs="Times New Roman" w:eastAsia="Times New Roman" w:hAnsi="Times New Roman"/>
                <w:sz w:val="18"/>
                <w:szCs w:val="18"/>
                <w:color w:val="auto"/>
              </w:rPr>
              <w:t>PPP Loan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541</w:t>
            </w:r>
          </w:p>
        </w:tc>
        <w:tc>
          <w:tcPr>
            <w:tcW w:w="22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Navitas loan</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7"/>
        </w:trPr>
        <w:tc>
          <w:tcPr>
            <w:tcW w:w="2440" w:type="dxa"/>
            <w:vAlign w:val="bottom"/>
            <w:gridSpan w:val="5"/>
          </w:tcPr>
          <w:p>
            <w:pPr>
              <w:spacing w:after="0" w:line="270" w:lineRule="exact"/>
              <w:rPr>
                <w:sz w:val="20"/>
                <w:szCs w:val="20"/>
                <w:color w:val="auto"/>
              </w:rPr>
            </w:pPr>
            <w:r>
              <w:rPr>
                <w:rFonts w:ascii="Times New Roman" w:cs="Times New Roman" w:eastAsia="Times New Roman" w:hAnsi="Times New Roman"/>
                <w:sz w:val="18"/>
                <w:szCs w:val="18"/>
                <w:color w:val="auto"/>
              </w:rPr>
              <w:t xml:space="preserve">Other notes payable </w:t>
            </w:r>
            <w:r>
              <w:rPr>
                <w:rFonts w:ascii="Times New Roman" w:cs="Times New Roman" w:eastAsia="Times New Roman" w:hAnsi="Times New Roman"/>
                <w:sz w:val="29"/>
                <w:szCs w:val="29"/>
                <w:color w:val="auto"/>
                <w:vertAlign w:val="superscript"/>
              </w:rPr>
              <w:t>(1)</w:t>
            </w: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836</w:t>
            </w:r>
          </w:p>
        </w:tc>
        <w:tc>
          <w:tcPr>
            <w:tcW w:w="220" w:type="dxa"/>
            <w:vAlign w:val="bottom"/>
          </w:tcPr>
          <w:p>
            <w:pPr>
              <w:spacing w:after="0"/>
              <w:rPr>
                <w:sz w:val="24"/>
                <w:szCs w:val="24"/>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1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debt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19,886</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32,654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Less: unamortized debt discount</w:t>
            </w:r>
          </w:p>
        </w:tc>
        <w:tc>
          <w:tcPr>
            <w:tcW w:w="4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690</w:t>
            </w:r>
          </w:p>
        </w:tc>
        <w:tc>
          <w:tcPr>
            <w:tcW w:w="220" w:type="dxa"/>
            <w:vAlign w:val="bottom"/>
          </w:tcPr>
          <w:p>
            <w:pPr>
              <w:spacing w:after="0"/>
              <w:rPr>
                <w:sz w:val="20"/>
                <w:szCs w:val="20"/>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(3,415)</w:t>
            </w:r>
          </w:p>
        </w:tc>
        <w:tc>
          <w:tcPr>
            <w:tcW w:w="0" w:type="dxa"/>
            <w:vAlign w:val="bottom"/>
          </w:tcPr>
          <w:p>
            <w:pPr>
              <w:spacing w:after="0"/>
              <w:rPr>
                <w:sz w:val="1"/>
                <w:szCs w:val="1"/>
                <w:color w:val="auto"/>
              </w:rPr>
            </w:pPr>
          </w:p>
        </w:tc>
      </w:tr>
      <w:tr>
        <w:trPr>
          <w:trHeight w:val="216"/>
        </w:trPr>
        <w:tc>
          <w:tcPr>
            <w:tcW w:w="2440" w:type="dxa"/>
            <w:vAlign w:val="bottom"/>
            <w:tcBorders>
              <w:top w:val="single" w:sz="8" w:color="CCEEFF"/>
            </w:tcBorders>
            <w:gridSpan w:val="5"/>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w w:val="99"/>
              </w:rPr>
              <w:t>Total debt, net of debt discount</w:t>
            </w:r>
          </w:p>
        </w:tc>
        <w:tc>
          <w:tcPr>
            <w:tcW w:w="4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20,576</w:t>
            </w:r>
          </w:p>
        </w:tc>
        <w:tc>
          <w:tcPr>
            <w:tcW w:w="220" w:type="dxa"/>
            <w:vAlign w:val="bottom"/>
            <w:tcBorders>
              <w:top w:val="single" w:sz="8" w:color="CCEEFF"/>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Less: current portion, net of current unamortized debt discount</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(1,424)</w:t>
            </w:r>
          </w:p>
        </w:tc>
        <w:tc>
          <w:tcPr>
            <w:tcW w:w="220" w:type="dxa"/>
            <w:vAlign w:val="bottom"/>
          </w:tcPr>
          <w:p>
            <w:pPr>
              <w:spacing w:after="0"/>
              <w:rPr>
                <w:sz w:val="19"/>
                <w:szCs w:val="19"/>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(28,832)</w:t>
            </w:r>
          </w:p>
        </w:tc>
        <w:tc>
          <w:tcPr>
            <w:tcW w:w="0" w:type="dxa"/>
            <w:vAlign w:val="bottom"/>
          </w:tcPr>
          <w:p>
            <w:pPr>
              <w:spacing w:after="0"/>
              <w:rPr>
                <w:sz w:val="1"/>
                <w:szCs w:val="1"/>
                <w:color w:val="auto"/>
              </w:rPr>
            </w:pPr>
          </w:p>
        </w:tc>
      </w:tr>
      <w:tr>
        <w:trPr>
          <w:trHeight w:val="27"/>
        </w:trPr>
        <w:tc>
          <w:tcPr>
            <w:tcW w:w="2440" w:type="dxa"/>
            <w:vAlign w:val="bottom"/>
            <w:gridSpan w:val="5"/>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Long-term debt, net of current</w:t>
            </w:r>
          </w:p>
        </w:tc>
        <w:tc>
          <w:tcPr>
            <w:tcW w:w="4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80" w:type="dxa"/>
            <w:vAlign w:val="bottom"/>
            <w:tcBorders>
              <w:right w:val="single" w:sz="8" w:color="CCEEFF"/>
            </w:tcBorders>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00" w:type="dxa"/>
            <w:vAlign w:val="bottom"/>
            <w:gridSpan w:val="2"/>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40" w:type="dxa"/>
            <w:vAlign w:val="bottom"/>
            <w:gridSpan w:val="5"/>
            <w:vMerge w:val="continue"/>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1140" w:type="dxa"/>
            <w:vAlign w:val="bottom"/>
            <w:tcBorders>
              <w:righ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19,152</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w:t>
            </w:r>
          </w:p>
        </w:tc>
        <w:tc>
          <w:tcPr>
            <w:tcW w:w="0" w:type="dxa"/>
            <w:vAlign w:val="bottom"/>
          </w:tcPr>
          <w:p>
            <w:pPr>
              <w:spacing w:after="0"/>
              <w:rPr>
                <w:sz w:val="1"/>
                <w:szCs w:val="1"/>
                <w:color w:val="auto"/>
              </w:rPr>
            </w:pPr>
          </w:p>
        </w:tc>
      </w:tr>
      <w:tr>
        <w:trPr>
          <w:trHeight w:val="20"/>
        </w:trPr>
        <w:tc>
          <w:tcPr>
            <w:tcW w:w="1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Other notes payable relates to a one-year insurance premium that was financed over nine-months.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14, 2022, the Company entered into a Securities Purchase Agreement (the “Securities Purchase Agreement”) with the Investor, pursuant to which the Company agreed to issue and sell to the Investor, in a private placement transaction, in exchange for the payment by the Investor of $65.0 million, less applicable expenses, as set forth in the Securities Purchase Agreement, a senior secured promissory note in an aggregate principal amount of $65.0 million (the “SPA Note”), and a SPA Warrant to purchase up to an aggregate of 34,406 shares of Common Stock.</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Securities Exchange Agreement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August 18, 2022, the Company reached an agreement with the Investor to amend its existing senior SPA Note and entered into the August 2022 Exchange Agreement. Pursuant to the August 2022 Exchange Agreement, the Company partially paid $35.2 million along with approximately $300 thousand in repayments for other fees under the SPA Note and exchanged the remaining balance of the SPA Note for an Exchange Note with an aggregate original principal amount of $35.0 million and a new Note Exchange Warrant to purchase 71,139 shares of Common Stock and modified an existing SPA Warrants to purchase up to an aggregate of 34,406 shares of Common Stock. The Company exchanged the SPA Warrant for new August 2022 Warrants.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Note is a senior secured obligation of the Company and ranks senior to all indebtedness of the Company.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Investor will be entitled to a cash sweep of 20% of the proceeds received by the Company in connection with any equity financing, which will reduce the outstanding principal amount under the Exchange Note.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the Company may prepay all of the Exchange Note by redemption at a price equal to 102.5% of the then-outstanding principal amount under the Note plus accrued but unpaid interest. The Investor will also have the option of requiring the Company to redeem the Exchange Note on the one-year or two-year anniversaries of issuance at a price equal to the then-outstanding principal amount under the Exchange Note plus accrued but unpaid interest, or if the Company undergoes a fundamental change at a price equal to 102.5% of the then-outstanding principal amount under the Exchange Note plus accrued but unpaid interest.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Exchange Note imposes certain customary affirmative and negative covenants upon the Company, as well as covenants that restrict the Company and its subsidiaries from incurring any additional indebtedness or suffering any liens, subject to specified exceptions, restrict the ability of the Company and its subsidiaries from making certain investments, subject to specified exceptions, restrict the declaration of any dividends or other distributions, subject to specified exceptions, require the Company not to exceed maximum levels of allowable cash spend while the Exchange Note is outstanding, and require the Company to maintain minimum amounts of cash on hand. If an event of default under the Exchange Note occurs, the Investor can elect to redeem the Exchange Note for cash equal to 115% of the then-outstanding principal amount of the Note (or such lesser principal amount accelerated by the Investor), plus accrued and unpaid interest, including default interest, which accrues at a rate per year equal to 15% from the date of a default or event of default.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Exchange Note is fully repaid, the Investor has,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Modified Warrant has an exercise price of $430.00 per share, subject to adjustment for stock splits, reverse stock splits, stock dividends and similar transactions, will be exercisable on and after the six-month anniversary of issuance, have a term of five and one-half years from the date of issuance and will be exercisable on a cash basis, unless there is not an effective registration statement covering the resale of the shares issuable upon exercise of the Modified Warrant (the “Modified Warrant Shares”) or if shareholder approval for the full exercise of the Modified Warrant is not received, in which case the Modified Warrant will also be exercisable on a cashless exercise basis at the Investor’s election.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Note Exchange Warrant has an exercise price of $246.00 per share, subject to adjustment for stock splits, reverse stock splits, stock dividends, and similar transactions, were exercisable upon issuance, and have a term of five and one-half years from the date of issuance and will be exercisable on a cash basis, unless there is not an effective registration statement covering the resale of the shares issuable upon exercise of the Warrant (the “Note Exchange Warrant Shares” and, together with the Modified Warrant Shares, the “Exchange Warrant Shares”) or if shareholder approval for the full exercise of the Note Exchange Warrant is not received, in which case the Note Exchange Warrant will also be exercisable on a cashless exercise basis at the Investor’s election. Until the Company completed a qualified equity financing of at least $15.0 million, which requirement was satisfied with sales under the ATM Program, the Note Exchange Warrant’s exercise price would have been reduced to the extent the Company issued securities, subject to certain exceptions, for a lower purchase price. The Note Exchange Warrant also prohibited the Company, until following the completion of such qualified equity financing, from issuing warrants with more favorable or preferential terms and/or provisions.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August 2022 Warrants will each provide that in no event will the number of shares of Common Stock issued upon exercise of such warrant result in the Investor’s beneficial ownership exceeding 4.99% of the Company’s shares of Common Stock outstanding at the time of exercise (which percentage may be decreased or increased by the Investor, but to no greater than 9.99%, and provided that any increase above 4.99% will not be effective until the sixty-first day after notice of such request by the Investor to increase its beneficial ownership limit has been delivered to the Company).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Notes Payable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8, 2023, the Company entered into a Securities Exchange Agreement (the “Exchange Agreement” or “Second Amendment”) with the High Trail Special Situations LLC. Pursuant to the Exchange Agreement, at closing the Company will prepay approximately $10.3 million in principal amount under the August 2022 Note and exchange $10.0 in principal amount of the remaining balance of the August 2022 Note for a new senior secured convertible note (the “Convertible Note”) with an original principal amount of $10.0 million. After the closing of the Exchange Agreement, the August 2022 Note will remain outstanding with a remaining balance of $11.7 million (the “Modified August 2022 Note” and, collectively with the Convertible Note, the “Notes”).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exchange was deemed to be an extinguishment under ASC 470, as the modified debt added a substantive conversion option that was not inherent in the August 2022 Note. As a result, the Company recognized a loss on the extinguishment of debt of $4,619,846.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as a result of the Exchange Agreement, the Company issued a Convertible Note to High Trail Special Situations LLC (the “Lender”) with a principal balance of $10 million. The Convertible Note bears a 9.0% annualized interest rate, with interest to be paid monthly, in cash, beginning April 1, 2023. The principal amount of the Convertible Note will be payable on the Maturity Date, provided that the Lender will be entitled to a cash sweep of 30% of the proceeds of any at-the-market equity offering and 20% of the proceeds received by the Company in connection with any other equity financing, which will reduce the outstanding principal amount under the August 2022 Note or the Convertible Note.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any time, the Company may prepay all of the Convertible Note by redemption at a price equal to 102.5% of the then-outstanding principal amount under the Convertible Note plus accrued but unpaid interest. The Lender will also have the option of requiring the Company to redeem the Convertible Note (i) 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8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Convertible Note will impose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Lender can elect to redeem the Convertible Note for cash equal to (A) 115% of the then-outstanding principal amount of the Convertible Note (or such lesser principal amount accelerated by the Investor),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Lender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17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is fully repaid, the Lender will have,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Lender elects to convert the Convertible Note, the conversion price per share will be $0.3820, subject to customary adjustments for certain corporate events. The conversion of the Convertible Note will be subject to certain customary conditions. The Convertible Note may not be converted into shares of Common Stock if such conversion would result in the Lender and its affiliates owning an aggregate of in excess of 4.99% of the then-outstanding shares of Common Stock, provided that upon 61 days’ notice, such ownership limitation may be adjusted by the Lender, but in any case, to no greater than 9.99%.</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815-15-25 and the determined embedded features are not required to be bifurcated and separately measured at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related to the Convertible Notes described above was $609,001 for the six months ended June 30, 2023. Accrued interest totaled $136,913 as of June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Notes Conversion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Pursuant to the Exchange Agreement the Company entered into with High Trail Special Situations LLC on March 8, 2023, the Lender elected on April 26, 2023, to convert $1.6 million of the remaining outstanding principal amount on the Convertible Note for 153,617 shares of Common Stock of the Company.</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May 1, 2023, the Company entered into a letter agreement with the above referenced accredited Lender (the “Letter Agreement”), pursuant to which the Company and the Lender agreed to exchange or redeem $2.0 million of the remaining outstanding principal amount under the Exchange Note for a total of 445,196 shares of Common Stock of the Company, subject to a Beneficial Ownership Limitation of 4.99% of the Company’s Common Stock. Due to the Beneficial Ownership Limitation of 4.99%, a total of 69,568 shares of Common Stock of the Company were issued to the Lender, with the remaining 375,629 shares held in abeyance until the balance (or portion thereof) may be issued in compliance with such limitations. As a result, the Company recognized a loss on the of $11,609.</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short-term and long-term portions of the Exchange Note as of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Notes</w:t>
            </w:r>
          </w:p>
        </w:tc>
        <w:tc>
          <w:tcPr>
            <w:tcW w:w="0" w:type="dxa"/>
            <w:vAlign w:val="bottom"/>
          </w:tcPr>
          <w:p>
            <w:pPr>
              <w:spacing w:after="0"/>
              <w:rPr>
                <w:sz w:val="1"/>
                <w:szCs w:val="1"/>
                <w:color w:val="auto"/>
              </w:rPr>
            </w:pP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Short-Term</w:t>
            </w:r>
          </w:p>
        </w:tc>
        <w:tc>
          <w:tcPr>
            <w:tcW w:w="100" w:type="dxa"/>
            <w:vAlign w:val="bottom"/>
          </w:tcPr>
          <w:p>
            <w:pPr>
              <w:spacing w:after="0"/>
              <w:rPr>
                <w:sz w:val="21"/>
                <w:szCs w:val="21"/>
                <w:color w:val="auto"/>
              </w:rPr>
            </w:pP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Long-Term</w:t>
            </w:r>
          </w:p>
        </w:tc>
        <w:tc>
          <w:tcPr>
            <w:tcW w:w="100" w:type="dxa"/>
            <w:vAlign w:val="bottom"/>
          </w:tcPr>
          <w:p>
            <w:pPr>
              <w:spacing w:after="0"/>
              <w:rPr>
                <w:sz w:val="21"/>
                <w:szCs w:val="21"/>
                <w:color w:val="auto"/>
              </w:rPr>
            </w:pPr>
          </w:p>
        </w:tc>
        <w:tc>
          <w:tcPr>
            <w:tcW w:w="1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payable, net</w:t>
            </w:r>
          </w:p>
        </w:tc>
        <w:tc>
          <w:tcPr>
            <w:tcW w:w="0" w:type="dxa"/>
            <w:vAlign w:val="bottom"/>
          </w:tcPr>
          <w:p>
            <w:pPr>
              <w:spacing w:after="0"/>
              <w:rPr>
                <w:sz w:val="1"/>
                <w:szCs w:val="1"/>
                <w:color w:val="auto"/>
              </w:rPr>
            </w:pP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18,509</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Unamortized discount</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3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carrying amount</w:t>
            </w: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320" w:type="dxa"/>
            <w:vAlign w:val="bottom"/>
            <w:gridSpan w:val="2"/>
            <w:vMerge w:val="continue"/>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24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18,889</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19,199</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bottom w:val="single" w:sz="8" w:color="CCEEFF"/>
            </w:tcBorders>
            <w:gridSpan w:val="2"/>
            <w:vMerge w:val="restart"/>
          </w:tcPr>
          <w:p>
            <w:pPr>
              <w:ind w:left="340"/>
              <w:spacing w:after="0"/>
              <w:rPr>
                <w:sz w:val="20"/>
                <w:szCs w:val="20"/>
                <w:color w:val="auto"/>
              </w:rPr>
            </w:pPr>
            <w:r>
              <w:rPr>
                <w:rFonts w:ascii="Times New Roman" w:cs="Times New Roman" w:eastAsia="Times New Roman" w:hAnsi="Times New Roman"/>
                <w:sz w:val="18"/>
                <w:szCs w:val="18"/>
                <w:color w:val="auto"/>
              </w:rPr>
              <w:t>As of June 30, 2023, future minimum payments were as follows: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73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7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2023</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18,629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3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Total future payments</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19,886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Paycheck Protection Program Loan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Paycheck Protection Program Loans under the Coronavirus Aid, Relief, and Economic Security Act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May 2020, the Company entered into a PPP Loan with Bank of America pursuant to the PPP under the CARES Act administered by the SBA.</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received total proceeds of approximately $779 thousand from the unsecured PPP Loan, which was originally scheduled to mature on May 7, 2022. The Company applied for forgiveness on the $779 thousand of PPP loan, but forgiveness was denied by the SBA. On June 23, 2022, the Company received a letter from Bank of America agreeing to extend the maturity date to May 7, 2025 and the loan bears interest at a rate of 1.00% per year. The PPP loan is payable in 34 equal combined monthly principal and interest payments of approximately $24 thousand that commenced on August 7, 2022.</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breakdown of PPP Loan balances by current and non-current as of June 30, 2023 and December 31, 2022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940" w:type="dxa"/>
            <w:vAlign w:val="bottom"/>
            <w:gridSpan w:val="2"/>
          </w:tcPr>
          <w:p>
            <w:pPr>
              <w:ind w:left="880"/>
              <w:spacing w:after="0"/>
              <w:rPr>
                <w:sz w:val="20"/>
                <w:szCs w:val="20"/>
                <w:color w:val="auto"/>
              </w:rPr>
            </w:pPr>
            <w:r>
              <w:rPr>
                <w:rFonts w:ascii="Times New Roman" w:cs="Times New Roman" w:eastAsia="Times New Roman" w:hAnsi="Times New Roman"/>
                <w:sz w:val="18"/>
                <w:szCs w:val="18"/>
                <w:b w:val="1"/>
                <w:bCs w:val="1"/>
                <w:color w:val="auto"/>
              </w:rPr>
              <w:t>Balance Sheet</w:t>
            </w:r>
          </w:p>
        </w:tc>
        <w:tc>
          <w:tcPr>
            <w:tcW w:w="160" w:type="dxa"/>
            <w:vAlign w:val="bottom"/>
          </w:tcPr>
          <w:p>
            <w:pPr>
              <w:spacing w:after="0"/>
              <w:rPr>
                <w:sz w:val="18"/>
                <w:szCs w:val="18"/>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Location</w:t>
            </w:r>
          </w:p>
        </w:tc>
        <w:tc>
          <w:tcPr>
            <w:tcW w:w="160" w:type="dxa"/>
            <w:vAlign w:val="bottom"/>
          </w:tcPr>
          <w:p>
            <w:pPr>
              <w:spacing w:after="0"/>
              <w:rPr>
                <w:sz w:val="21"/>
                <w:szCs w:val="21"/>
                <w:color w:val="auto"/>
              </w:rPr>
            </w:pP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6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PPP Loan, current</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Long-term debt, current</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w w:val="88"/>
              </w:rPr>
              <w:t>281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PPP Loan, non-current</w:t>
            </w:r>
          </w:p>
        </w:tc>
        <w:tc>
          <w:tcPr>
            <w:tcW w:w="294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Long-term debt</w:t>
            </w:r>
          </w:p>
        </w:tc>
        <w:tc>
          <w:tcPr>
            <w:tcW w:w="160" w:type="dxa"/>
            <w:vAlign w:val="bottom"/>
          </w:tcPr>
          <w:p>
            <w:pPr>
              <w:spacing w:after="0"/>
              <w:rPr>
                <w:sz w:val="19"/>
                <w:szCs w:val="19"/>
                <w:color w:val="auto"/>
              </w:rPr>
            </w:pPr>
          </w:p>
        </w:tc>
        <w:tc>
          <w:tcPr>
            <w:tcW w:w="116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260</w:t>
            </w:r>
          </w:p>
        </w:tc>
        <w:tc>
          <w:tcPr>
            <w:tcW w:w="24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401</w:t>
            </w:r>
          </w:p>
        </w:tc>
        <w:tc>
          <w:tcPr>
            <w:tcW w:w="0" w:type="dxa"/>
            <w:vAlign w:val="bottom"/>
          </w:tcPr>
          <w:p>
            <w:pPr>
              <w:spacing w:after="0"/>
              <w:rPr>
                <w:sz w:val="1"/>
                <w:szCs w:val="1"/>
                <w:color w:val="auto"/>
              </w:rPr>
            </w:pPr>
          </w:p>
        </w:tc>
      </w:tr>
      <w:tr>
        <w:trPr>
          <w:trHeight w:val="27"/>
        </w:trPr>
        <w:tc>
          <w:tcPr>
            <w:tcW w:w="576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PPP Loan outstanding</w:t>
            </w:r>
          </w:p>
        </w:tc>
        <w:tc>
          <w:tcPr>
            <w:tcW w:w="2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760" w:type="dxa"/>
            <w:vAlign w:val="bottom"/>
            <w:gridSpan w:val="2"/>
            <w:vMerge w:val="continue"/>
            <w:shd w:val="clear" w:color="auto" w:fill="CCEEFF"/>
          </w:tcPr>
          <w:p>
            <w:pPr>
              <w:spacing w:after="0"/>
              <w:rPr>
                <w:sz w:val="21"/>
                <w:szCs w:val="21"/>
                <w:color w:val="auto"/>
              </w:rPr>
            </w:pPr>
          </w:p>
        </w:tc>
        <w:tc>
          <w:tcPr>
            <w:tcW w:w="28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541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656</w:t>
            </w:r>
          </w:p>
        </w:tc>
        <w:tc>
          <w:tcPr>
            <w:tcW w:w="0" w:type="dxa"/>
            <w:vAlign w:val="bottom"/>
          </w:tcPr>
          <w:p>
            <w:pPr>
              <w:spacing w:after="0"/>
              <w:rPr>
                <w:sz w:val="1"/>
                <w:szCs w:val="1"/>
                <w:color w:val="auto"/>
              </w:rPr>
            </w:pPr>
          </w:p>
        </w:tc>
      </w:tr>
      <w:tr>
        <w:trPr>
          <w:trHeight w:val="21"/>
        </w:trPr>
        <w:tc>
          <w:tcPr>
            <w:tcW w:w="5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Leases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determination if any arrangement contained a lease at its inception was done based on whether or not the Company has the right to control the asset during the contract period. The lease term was determined assuming the exercise of options that were reasonably certain to occur. Leases with a lease term of 12 months or less at inception were not reflected in the Company’s balance sheet and those lease costs are expensed on a straight-line basis over the respective term. Leases with a term greater than 12 months were reflected as non-current right-of-use assets and current and non-current lease liabilities in the Company’s consolidated balance sheets.</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the implicit interest rate in its leases was generally not known, the Company’s used its incremental borrowing rate as the discount rate for purposes of determining the present value of its lease liabilities. At June 30, 2023, the Company’s weighted-average discount rate utilized for its leases was 7.33%.</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When a contract contained lease and non-lease elements, both were accounted for as a single lease component.</w:t>
      </w:r>
    </w:p>
    <w:p>
      <w:pPr>
        <w:spacing w:after="0" w:line="22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Company had several non-cancelable finance leases for machinery and equipment. The Company’s finance leases have remaining lease terms of one year to five years.</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non-cancelable operating leases for corporate offices, warehouses, showrooms, research and development facilities and vehicles. The Company’s leases have remaining lease terms of one year to five years, some of which include options to extend. Some leases include payment for common area maintenance associated with the property.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had several non-cancellable operating leases for corporate offices, warehouses, showrooms, research and development facilities and vehicles. The Company’s leases have remaining lease terms of one year to five years, some of which include options to extend. Some leases include payment for communal area maintenance associated with the property.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Additional information on the Company’s operating and financing lease activity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4"/>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0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ind w:right="514"/>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32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Finance lease cost:</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46</w:t>
            </w:r>
          </w:p>
        </w:tc>
        <w:tc>
          <w:tcPr>
            <w:tcW w:w="8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00" w:type="dxa"/>
            <w:vAlign w:val="bottom"/>
          </w:tcPr>
          <w:p>
            <w:pPr>
              <w:spacing w:after="0"/>
              <w:rPr>
                <w:sz w:val="19"/>
                <w:szCs w:val="19"/>
                <w:color w:val="auto"/>
              </w:rPr>
            </w:pP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w:t>
            </w:r>
          </w:p>
        </w:tc>
        <w:tc>
          <w:tcPr>
            <w:tcW w:w="800" w:type="dxa"/>
            <w:vAlign w:val="bottom"/>
          </w:tcPr>
          <w:p>
            <w:pPr>
              <w:spacing w:after="0"/>
              <w:rPr>
                <w:sz w:val="19"/>
                <w:szCs w:val="19"/>
                <w:color w:val="auto"/>
              </w:rPr>
            </w:pPr>
          </w:p>
        </w:tc>
        <w:tc>
          <w:tcPr>
            <w:tcW w:w="5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24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598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80" w:type="dxa"/>
            <w:vAlign w:val="bottom"/>
            <w:gridSpan w:val="2"/>
            <w:vMerge w:val="continue"/>
            <w:shd w:val="clear" w:color="auto" w:fill="CCEEFF"/>
          </w:tcPr>
          <w:p>
            <w:pPr>
              <w:spacing w:after="0"/>
              <w:rPr>
                <w:sz w:val="21"/>
                <w:szCs w:val="21"/>
                <w:color w:val="auto"/>
              </w:rPr>
            </w:pPr>
          </w:p>
        </w:tc>
        <w:tc>
          <w:tcPr>
            <w:tcW w:w="800" w:type="dxa"/>
            <w:vAlign w:val="bottom"/>
            <w:shd w:val="clear" w:color="auto" w:fill="CCEEFF"/>
          </w:tcPr>
          <w:p>
            <w:pPr>
              <w:jc w:val="right"/>
              <w:ind w:right="633"/>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299</w:t>
            </w:r>
          </w:p>
        </w:tc>
        <w:tc>
          <w:tcPr>
            <w:tcW w:w="800" w:type="dxa"/>
            <w:vAlign w:val="bottom"/>
            <w:shd w:val="clear" w:color="auto" w:fill="CCEEFF"/>
          </w:tcPr>
          <w:p>
            <w:pPr>
              <w:jc w:val="right"/>
              <w:ind w:right="63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606</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1"/>
        </w:trPr>
        <w:tc>
          <w:tcPr>
            <w:tcW w:w="5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00" w:type="dxa"/>
            <w:vAlign w:val="bottom"/>
          </w:tcPr>
          <w:p>
            <w:pPr>
              <w:spacing w:after="0"/>
              <w:rPr>
                <w:sz w:val="18"/>
                <w:szCs w:val="18"/>
                <w:color w:val="auto"/>
              </w:rPr>
            </w:pPr>
          </w:p>
        </w:tc>
        <w:tc>
          <w:tcPr>
            <w:tcW w:w="138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12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860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CCEEFF"/>
            </w:tcBorders>
          </w:tcPr>
          <w:p>
            <w:pPr>
              <w:spacing w:after="0"/>
              <w:rPr>
                <w:sz w:val="21"/>
                <w:szCs w:val="21"/>
                <w:color w:val="auto"/>
              </w:rPr>
            </w:pP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 – operating leases</w:t>
            </w: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3.29 years</w:t>
            </w: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w w:val="97"/>
              </w:rPr>
              <w:t>3.59 years</w:t>
            </w:r>
          </w:p>
        </w:tc>
        <w:tc>
          <w:tcPr>
            <w:tcW w:w="160" w:type="dxa"/>
            <w:vAlign w:val="bottom"/>
            <w:shd w:val="clear" w:color="auto" w:fill="CCEEFF"/>
          </w:tcPr>
          <w:p>
            <w:pPr>
              <w:spacing w:after="0"/>
              <w:rPr>
                <w:sz w:val="18"/>
                <w:szCs w:val="18"/>
                <w:color w:val="auto"/>
              </w:rPr>
            </w:pP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remaining lease term – finance leases</w:t>
            </w:r>
          </w:p>
        </w:tc>
        <w:tc>
          <w:tcPr>
            <w:tcW w:w="13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1.94 years</w:t>
            </w:r>
          </w:p>
        </w:tc>
        <w:tc>
          <w:tcPr>
            <w:tcW w:w="12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2.30 years</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 – operating leases</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7.40%</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6.76%</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discount rate – finance leases</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7.81%</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7.83%</w:t>
            </w:r>
          </w:p>
        </w:tc>
      </w:tr>
    </w:tbl>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3940" w:type="dxa"/>
            <w:vAlign w:val="bottom"/>
          </w:tcPr>
          <w:p>
            <w:pPr>
              <w:ind w:left="1080"/>
              <w:spacing w:after="0"/>
              <w:rPr>
                <w:sz w:val="20"/>
                <w:szCs w:val="20"/>
                <w:color w:val="auto"/>
              </w:rPr>
            </w:pPr>
            <w:r>
              <w:rPr>
                <w:rFonts w:ascii="Times New Roman" w:cs="Times New Roman" w:eastAsia="Times New Roman" w:hAnsi="Times New Roman"/>
                <w:sz w:val="18"/>
                <w:szCs w:val="18"/>
                <w:b w:val="1"/>
                <w:bCs w:val="1"/>
                <w:color w:val="auto"/>
              </w:rPr>
              <w:t>Balance Sheet Location</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45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Pr>
          <w:p>
            <w:pPr>
              <w:spacing w:after="0"/>
              <w:rPr>
                <w:sz w:val="18"/>
                <w:szCs w:val="18"/>
                <w:color w:val="auto"/>
              </w:rPr>
            </w:pPr>
          </w:p>
        </w:tc>
        <w:tc>
          <w:tcPr>
            <w:tcW w:w="3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assets, net</w:t>
            </w: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Right-of-use, net</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2,359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2,210</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assets</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602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tcPr>
          <w:p>
            <w:pPr>
              <w:spacing w:after="0"/>
              <w:rPr>
                <w:sz w:val="18"/>
                <w:szCs w:val="18"/>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3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831</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18"/>
                <w:szCs w:val="18"/>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1,703</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1,587</w:t>
            </w:r>
          </w:p>
        </w:tc>
        <w:tc>
          <w:tcPr>
            <w:tcW w:w="100" w:type="dxa"/>
            <w:vAlign w:val="bottom"/>
            <w:shd w:val="clear" w:color="auto" w:fill="CCEEFF"/>
          </w:tcPr>
          <w:p>
            <w:pPr>
              <w:spacing w:after="0"/>
              <w:rPr>
                <w:sz w:val="19"/>
                <w:szCs w:val="19"/>
                <w:color w:val="auto"/>
              </w:rPr>
            </w:pP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9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2,533</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100" w:type="dxa"/>
            <w:vAlign w:val="bottom"/>
          </w:tcPr>
          <w:p>
            <w:pPr>
              <w:spacing w:after="0"/>
              <w:rPr>
                <w:sz w:val="24"/>
                <w:szCs w:val="24"/>
                <w:color w:val="auto"/>
              </w:rPr>
            </w:pPr>
          </w:p>
        </w:tc>
      </w:tr>
      <w:tr>
        <w:trPr>
          <w:trHeight w:val="216"/>
        </w:trPr>
        <w:tc>
          <w:tcPr>
            <w:tcW w:w="4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9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Finance lease liabilities, current</w:t>
            </w:r>
          </w:p>
        </w:tc>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8"/>
                <w:szCs w:val="18"/>
                <w:color w:val="auto"/>
              </w:rPr>
            </w:pPr>
          </w:p>
        </w:tc>
      </w:tr>
      <w:tr>
        <w:trPr>
          <w:trHeight w:val="230"/>
        </w:trPr>
        <w:tc>
          <w:tcPr>
            <w:tcW w:w="46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liabilities, non-current</w:t>
            </w:r>
          </w:p>
        </w:tc>
        <w:tc>
          <w:tcPr>
            <w:tcW w:w="3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86</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shd w:val="clear" w:color="auto" w:fill="CCEEFF"/>
          </w:tcPr>
          <w:p>
            <w:pPr>
              <w:spacing w:after="0"/>
              <w:rPr>
                <w:sz w:val="19"/>
                <w:szCs w:val="19"/>
                <w:color w:val="auto"/>
              </w:rPr>
            </w:pPr>
          </w:p>
        </w:tc>
      </w:tr>
      <w:tr>
        <w:trPr>
          <w:trHeight w:val="27"/>
        </w:trPr>
        <w:tc>
          <w:tcPr>
            <w:tcW w:w="4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50"/>
        </w:trPr>
        <w:tc>
          <w:tcPr>
            <w:tcW w:w="4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3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Pr>
          <w:p>
            <w:pPr>
              <w:spacing w:after="0"/>
              <w:rPr>
                <w:sz w:val="21"/>
                <w:szCs w:val="21"/>
                <w:color w:val="auto"/>
              </w:rPr>
            </w:pPr>
          </w:p>
        </w:tc>
      </w:tr>
      <w:tr>
        <w:trPr>
          <w:trHeight w:val="20"/>
        </w:trPr>
        <w:tc>
          <w:tcPr>
            <w:tcW w:w="4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Maturities of operating and finance lease liabilities as of June 30, 2023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4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 (In thousands),</w:t>
            </w:r>
          </w:p>
        </w:tc>
        <w:tc>
          <w:tcPr>
            <w:tcW w:w="4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Operating lease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Finance lease</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4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Remaining 2023</w:t>
            </w:r>
          </w:p>
        </w:tc>
        <w:tc>
          <w:tcPr>
            <w:tcW w:w="40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861</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4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748</w:t>
            </w: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4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560</w:t>
            </w:r>
          </w:p>
        </w:tc>
        <w:tc>
          <w:tcPr>
            <w:tcW w:w="4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4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Total minimum lease payments</w:t>
            </w:r>
          </w:p>
        </w:tc>
        <w:tc>
          <w:tcPr>
            <w:tcW w:w="40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4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2,865</w:t>
            </w:r>
          </w:p>
        </w:tc>
        <w:tc>
          <w:tcPr>
            <w:tcW w:w="220" w:type="dxa"/>
            <w:vAlign w:val="bottom"/>
            <w:tcBorders>
              <w:top w:val="single" w:sz="8" w:color="CCEEFF"/>
            </w:tcBorders>
          </w:tcPr>
          <w:p>
            <w:pPr>
              <w:spacing w:after="0"/>
              <w:rPr>
                <w:sz w:val="17"/>
                <w:szCs w:val="17"/>
                <w:color w:val="auto"/>
              </w:rPr>
            </w:pPr>
          </w:p>
        </w:tc>
        <w:tc>
          <w:tcPr>
            <w:tcW w:w="4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246</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44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40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4400" w:type="dxa"/>
            <w:vAlign w:val="bottom"/>
            <w:vMerge w:val="continue"/>
            <w:shd w:val="clear" w:color="auto" w:fill="CCEEFF"/>
          </w:tcPr>
          <w:p>
            <w:pPr>
              <w:spacing w:after="0"/>
              <w:rPr>
                <w:sz w:val="5"/>
                <w:szCs w:val="5"/>
                <w:color w:val="auto"/>
              </w:rPr>
            </w:pPr>
          </w:p>
        </w:tc>
        <w:tc>
          <w:tcPr>
            <w:tcW w:w="40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440" w:type="dxa"/>
            <w:vAlign w:val="bottom"/>
            <w:shd w:val="clear" w:color="auto" w:fill="CCEEFF"/>
          </w:tcPr>
          <w:p>
            <w:pPr>
              <w:spacing w:after="0"/>
              <w:rPr>
                <w:sz w:val="5"/>
                <w:szCs w:val="5"/>
                <w:color w:val="auto"/>
              </w:rPr>
            </w:pPr>
          </w:p>
        </w:tc>
        <w:tc>
          <w:tcPr>
            <w:tcW w:w="980" w:type="dxa"/>
            <w:vAlign w:val="bottom"/>
            <w:gridSpan w:val="2"/>
            <w:shd w:val="clear" w:color="auto" w:fill="CCEEFF"/>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(331</w:t>
            </w:r>
          </w:p>
        </w:tc>
        <w:tc>
          <w:tcPr>
            <w:tcW w:w="460" w:type="dxa"/>
            <w:vAlign w:val="bottom"/>
            <w:shd w:val="clear" w:color="auto" w:fill="CCEEFF"/>
          </w:tcPr>
          <w:p>
            <w:pPr>
              <w:spacing w:after="0"/>
              <w:rPr>
                <w:sz w:val="5"/>
                <w:szCs w:val="5"/>
                <w:color w:val="auto"/>
              </w:rPr>
            </w:pPr>
          </w:p>
        </w:tc>
        <w:tc>
          <w:tcPr>
            <w:tcW w:w="660" w:type="dxa"/>
            <w:vAlign w:val="bottom"/>
            <w:vMerge w:val="continue"/>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4400" w:type="dxa"/>
            <w:vAlign w:val="bottom"/>
            <w:shd w:val="clear" w:color="auto" w:fill="CCEEFF"/>
          </w:tcPr>
          <w:p>
            <w:pPr>
              <w:spacing w:after="0"/>
              <w:rPr>
                <w:sz w:val="2"/>
                <w:szCs w:val="2"/>
                <w:color w:val="auto"/>
              </w:rPr>
            </w:pPr>
          </w:p>
        </w:tc>
        <w:tc>
          <w:tcPr>
            <w:tcW w:w="4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Pr>
          <w:p>
            <w:pPr>
              <w:spacing w:after="0"/>
              <w:rPr>
                <w:sz w:val="20"/>
                <w:szCs w:val="20"/>
                <w:color w:val="auto"/>
              </w:rPr>
            </w:pPr>
            <w:r>
              <w:rPr>
                <w:rFonts w:ascii="Times New Roman" w:cs="Times New Roman" w:eastAsia="Times New Roman" w:hAnsi="Times New Roman"/>
                <w:sz w:val="18"/>
                <w:szCs w:val="18"/>
                <w:color w:val="auto"/>
              </w:rPr>
              <w:t>Total lease liabilities</w:t>
            </w:r>
          </w:p>
        </w:tc>
        <w:tc>
          <w:tcPr>
            <w:tcW w:w="4640" w:type="dxa"/>
            <w:vAlign w:val="bottom"/>
            <w:gridSpan w:val="3"/>
          </w:tcPr>
          <w:p>
            <w:pPr>
              <w:ind w:left="4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2,534</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4400" w:type="dxa"/>
            <w:vAlign w:val="bottom"/>
          </w:tcPr>
          <w:p>
            <w:pPr>
              <w:spacing w:after="0" w:line="20" w:lineRule="exact"/>
              <w:rPr>
                <w:sz w:val="1"/>
                <w:szCs w:val="1"/>
                <w:color w:val="auto"/>
              </w:rPr>
            </w:pPr>
          </w:p>
        </w:tc>
        <w:tc>
          <w:tcPr>
            <w:tcW w:w="4080" w:type="dxa"/>
            <w:vAlign w:val="bottom"/>
            <w:vMerge w:val="restart"/>
          </w:tcPr>
          <w:p>
            <w:pPr>
              <w:jc w:val="right"/>
              <w:ind w:right="267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440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Stockholders’ Equity</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July 11, 2022, the Company increased its authorized number of shares to 8,000,000, consisting of: 5,000,000 shares of Common Stock, par value $0.001 per share and 3,000,000 shares of preferred stock, par value $0.001 per share. On January 9, 2020, the Company designated 105,000 shares of the 3,000,000 authorized shares of Preferred Stock, as Series A Convertible Preferred Stock (“Series A Preferred Stock”).</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1, 2023, the Company further increased its authorized number of shares to 13,000,000, consisting of: 10,000,000 shares of Common Stock, par value $0.001 per share and 3,000,000 shares of preferred stock, par value $0.001 per share.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25, 2022, the Company entered into a Securities Purchase Agreement (the “Securities Agreement”) with an institutional investor and other accredited investors for the sale by the Company of 12,253 shares (the “SA Shares”) of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SA Warrants are exercisable six months from issuance. Each Pre-Funded Warrant was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Raymond Chang, Chairman and Chief Executive Officer (“CEO”) of the Company, and Stuart Wilcox, who formerly served as our Chief Operating Officer, and at the time he was a member of the Company’s Board of Directors, participated in the private placement on essentially the same terms as other investors, except for having a combined purchase price of $1,380.00 per share.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the Company from the private placement were approximately $27.3 million, before deducting the placement agent’s fees and other offering expenses, and excluding the proceeds, if any, from the exercise of the SA Warrants.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Common Stock in Connection with Acquisitions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October 1, 2021, the Company issued an aggregate of 3,332 shares of its Common Stock to the Precision and Cascade shareholders in connection with the Company’s acquisition of Precision and Cascade. On August 17, 2022, the Company issued an additional 435 shares of its Common Stock to the Precision and Cascade shareholders for contingent liabilities.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31, 2021, the Company issued an aggregate of 1,202 shares of its Common Stock to the PurePressure shareholders in connection with the Company’s acquisition of PurePressure. On January 31, 2023, the remaining 372 Holdback Buyer Shares were released, including 6 Holdback Buyer Shares that were withheld to cover a tax indemnification claim in accordance with the Purchase Agreement. Additional information regarding the PurePressure Holdback Buyer Shares may be found in Note 8 – Business Combinations, included elsewhere in the notes to the consolidated financial statements.</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February 1, 2022, the Company issued an aggregate of 1,491 shares of its Common Stock to the Lab Society shareholders in connection with the Company’s acquisition of Lab Society. On April 28, 2023, the Company issued the remaining 499 Holdback Buyer Shares to the Lab Society Owners in accordance with the Lab Society Merger Agreement.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 The Marketing Offering</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$468 thousand and legal fees totaling $75 thousand.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this Annual Report on Form 10-K, the Company is no longer eligible to utilize the registration statement on Form S-3 relating to the ATM Program, and does not anticipate any further sales under the ATM Program in the foreseeable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December 16, 2022, the Company issued 594,232 shares of its Common Stock, Pre-Funded 2022 Warrants to purchase 75,000 shares of its Common Stock and accompanying December 2022 Warrants to purchase 1,338,471 shares of the Company’s Common Stock. The Company received net proceeds from the Offering of approximately $8.2 million, after deducting underwriting discounts and commissions and estimated expenses. The Company intends to use the net proceeds from the Offering, together with its existing cash resources, for working capital and general corporate purposes, which may include capital expenditures and repayment of debt.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Pre-Funded 2022 Warrants were exercisable immediately upon issuance at an exercise price of $0.001 per share and do not have an expiration date. The December 2022 Warrants were exercisable immediately and have a term of exercise equal to five years from the initial exercise date at an exercise price of $13.00 per share. The offering price for the securities was $13.00 per share (or $12.98 for each Pre-Funded 2022 Warrant).</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December 2022 Warrants may not be exercised by the holder to the extent that the holder, together with its affiliates, would beneficially own, after such exercise more than 4.99% of the shares of the Company’s Common Stock then outstanding (subject to the right of the holder to increase or decrease such beneficial ownership limitation upon notice to the Company, provided that such limitation cannot exceed 9.99%) and provided that any increase in the beneficial ownership limitation shall not be effective until the sixty-first day after such notice is delivered.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liability-classified as there is a volatility floor and these warrants are not indexed to the Company’s own stock.</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valued the December 2022 Warrants using the Black-Scholes option-pricing model and determined the fair value at $5.9 million. The key inputs to the valuation model included the annualized volatility of 98.0% and the expected term of about 5 years.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Raymond Chang, Chairman and CEO, participated in the Offering and purchased 115,385 shares of Common Stock and 230,769 December 2022 Warrants for an aggregate purchase price of approximately $1.5 million.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Additional information regarding the Company’s December 2022 Warrants may be found in Note 1 – Overview, Basis of Presentation, and Significant Accounting Policies and Note 4 – Fair Value Measures, included elsewhere in the notes to the consolidated financial statements.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right="2680" w:firstLine="2671"/>
        <w:spacing w:after="0" w:line="502"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Note 11 — Stock-Based Compensation and Employee Benefit Plans 2022 Omnibus Equity Incentive Plan</w:t>
      </w:r>
    </w:p>
    <w:p>
      <w:pPr>
        <w:spacing w:after="0" w:line="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Omnibus Equity Incentive Plan (the “2022 Plan”), which replaced the 2020 Stock Option Plan (the “2020 Plan”). The 2022 Plan provides for the grant of stock options, stock appreciation right awards, performance share awards, restricted stock awards, restricted stock unit awards, other stock-based awards and cash-based awards. The aggregate number of shares of Common Stock that may be reserved and available for grant and issuance under the 2022 Plan is 26,483 shares, which includes the 10,000 shares authorized under the 2022 Plan, plus the rollover of 16,483 issued and outstanding awards under the 2020 Plan. Shares will be deemed to have been issued under the 2022 Plan solely to the extent actually issued and delivered pursuant to an award. If any award granted under the 2020 Plan or the 2022 Plan expires, is canceled, terminates unexercised or is forfeited, the number of shares subject thereto is again available for grant under the 2022 Plan. The 2022 Plan shall continue in effect, unless sooner terminated, until the tenth anniversary of the date on which it is adopted by the Board of Directors. As of June 30, 2023, there were 13,008 shares of Common Stock available to be granted under the Company’s 2022 Plan.</w:t>
      </w:r>
    </w:p>
    <w:p>
      <w:pPr>
        <w:spacing w:after="0" w:line="19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stock compensation expense was $0.8 million and $0.9 million for the three months ended June 30, 2023 and 2022, respectively. The Company’s stock compensation expense was $1.6 million and $1.9 million for the six months ended June 30, 2023 and 2022, respectively.</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Stock options granted under the Company’s 2022 Plan are generally non-qualified and are granted with an exercise price equal to the market price of the Company’s Common Stock on the date of grant. The fair value of each option grant was estimated on the date of the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 No stock options were granted during the three and six months ended June 30, 2023 and 2022.</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arriving at stock-based compensation expense, the Company estimates the number of stock-based awards that will be forfeited due to employee turnover. The Company’s forfeiture assumption is based primarily on its employee turnover historical experience. If the actual forfeiture rate is higher than the estimated forfeiture rate, then an adjustment will be made to increase the estimated forfeiture rate, which will result in a decrease to the expense recognized in the Company’s consolidated financial statements. If the actual forfeiture rate is lower than the estimated forfeiture rate, then an adjustment will be made to lower the estimated forfeiture rate, which will result in an increase to expense recognized in the Company’s consolidated financial statements. The expense the Company recognizes in future periods will be affected by changes in the estimated forfeiture rate and may differ significantly from amounts recognized in the current period.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option activity under the Company’s stock option plans for the three and six months ended June 30, 2023: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20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40" w:type="dxa"/>
            <w:vAlign w:val="bottom"/>
          </w:tcPr>
          <w:p>
            <w:pPr>
              <w:spacing w:after="0"/>
              <w:rPr>
                <w:sz w:val="18"/>
                <w:szCs w:val="18"/>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45"/>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36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Intrinsic Value</w:t>
            </w:r>
          </w:p>
        </w:tc>
      </w:tr>
      <w:tr>
        <w:trPr>
          <w:trHeight w:val="216"/>
        </w:trPr>
        <w:tc>
          <w:tcPr>
            <w:tcW w:w="7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outstanding at January 1, 2023</w:t>
            </w:r>
          </w:p>
        </w:tc>
        <w:tc>
          <w:tcPr>
            <w:tcW w:w="1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13,439</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1,518.05</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6.67</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0"/>
        </w:trPr>
        <w:tc>
          <w:tcPr>
            <w:tcW w:w="7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Expired</w:t>
            </w: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699.97</w:t>
            </w: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78"/>
        </w:trPr>
        <w:tc>
          <w:tcPr>
            <w:tcW w:w="732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Options outstanding at June 30, 2023</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13,008</w:t>
            </w:r>
          </w:p>
        </w:tc>
        <w:tc>
          <w:tcPr>
            <w:tcW w:w="220" w:type="dxa"/>
            <w:vAlign w:val="bottom"/>
            <w:tcBorders>
              <w:top w:val="single" w:sz="8" w:color="CCEEFF"/>
              <w:bottom w:val="single" w:sz="8" w:color="CCEEFF"/>
            </w:tcBorders>
          </w:tcPr>
          <w:p>
            <w:pPr>
              <w:spacing w:after="0"/>
              <w:rPr>
                <w:sz w:val="24"/>
                <w:szCs w:val="24"/>
                <w:color w:val="auto"/>
              </w:rPr>
            </w:pPr>
          </w:p>
        </w:tc>
        <w:tc>
          <w:tcPr>
            <w:tcW w:w="12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CCEEFF"/>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1,564.69</w:t>
            </w:r>
          </w:p>
        </w:tc>
        <w:tc>
          <w:tcPr>
            <w:tcW w:w="140" w:type="dxa"/>
            <w:vAlign w:val="bottom"/>
            <w:tcBorders>
              <w:top w:val="single" w:sz="8" w:color="CCEEFF"/>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CCEEFF"/>
              <w:bottom w:val="single" w:sz="8" w:color="CCEEFF"/>
            </w:tcBorders>
            <w:gridSpan w:val="2"/>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304"/>
        </w:trPr>
        <w:tc>
          <w:tcPr>
            <w:tcW w:w="73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Options vested and exercisable as of June 30, 2023</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2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1,404.60</w:t>
            </w:r>
          </w:p>
        </w:tc>
        <w:tc>
          <w:tcPr>
            <w:tcW w:w="140" w:type="dxa"/>
            <w:vAlign w:val="bottom"/>
            <w:tcBorders>
              <w:bottom w:val="single" w:sz="8" w:color="CCEEFF"/>
            </w:tcBorders>
          </w:tcPr>
          <w:p>
            <w:pPr>
              <w:spacing w:after="0"/>
              <w:rPr>
                <w:sz w:val="24"/>
                <w:szCs w:val="24"/>
                <w:color w:val="auto"/>
              </w:rPr>
            </w:pPr>
          </w:p>
        </w:tc>
        <w:tc>
          <w:tcPr>
            <w:tcW w:w="100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r>
      <w:tr>
        <w:trPr>
          <w:trHeight w:val="223"/>
        </w:trPr>
        <w:tc>
          <w:tcPr>
            <w:tcW w:w="7320" w:type="dxa"/>
            <w:vAlign w:val="bottom"/>
            <w:tcBorders>
              <w:bottom w:val="single" w:sz="8" w:color="CCEEFF"/>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Options vested and expected to vest as of June 30, 2023</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12,124</w:t>
            </w:r>
          </w:p>
        </w:tc>
        <w:tc>
          <w:tcPr>
            <w:tcW w:w="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gridSpan w:val="2"/>
            <w:shd w:val="clear" w:color="auto" w:fill="CCEEFF"/>
          </w:tcPr>
          <w:p>
            <w:pPr>
              <w:jc w:val="right"/>
              <w:ind w:right="220"/>
              <w:spacing w:after="0" w:line="194" w:lineRule="exact"/>
              <w:rPr>
                <w:sz w:val="20"/>
                <w:szCs w:val="20"/>
                <w:color w:val="auto"/>
              </w:rPr>
            </w:pPr>
            <w:r>
              <w:rPr>
                <w:rFonts w:ascii="Times New Roman" w:cs="Times New Roman" w:eastAsia="Times New Roman" w:hAnsi="Times New Roman"/>
                <w:sz w:val="18"/>
                <w:szCs w:val="18"/>
                <w:color w:val="auto"/>
              </w:rPr>
              <w:t>1,498.89</w:t>
            </w:r>
          </w:p>
        </w:tc>
        <w:tc>
          <w:tcPr>
            <w:tcW w:w="14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7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2023, total unrecognized compensation expense related to unvested options under the Company’s 2022 Plan was $1.9 million, which is expected to be recognized over a weighted average period of 0.71 years.</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vested and exercisable at June 30, 2023: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580" w:type="dxa"/>
            <w:vAlign w:val="bottom"/>
            <w:tcBorders>
              <w:bottom w:val="single" w:sz="8" w:color="auto"/>
            </w:tcBorders>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Options Vested and Exercisable</w:t>
            </w:r>
          </w:p>
        </w:tc>
        <w:tc>
          <w:tcPr>
            <w:tcW w:w="6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226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194"/>
        </w:trPr>
        <w:tc>
          <w:tcPr>
            <w:tcW w:w="2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2"/>
          </w:tcPr>
          <w:p>
            <w:pPr>
              <w:jc w:val="center"/>
              <w:ind w:right="16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Remaining Contractual Life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220" w:type="dxa"/>
            <w:vAlign w:val="bottom"/>
          </w:tcPr>
          <w:p>
            <w:pPr>
              <w:spacing w:after="0"/>
              <w:rPr>
                <w:sz w:val="21"/>
                <w:szCs w:val="21"/>
                <w:color w:val="auto"/>
              </w:rPr>
            </w:pPr>
          </w:p>
        </w:tc>
        <w:tc>
          <w:tcPr>
            <w:tcW w:w="27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60" w:type="dxa"/>
            <w:vAlign w:val="bottom"/>
          </w:tcPr>
          <w:p>
            <w:pPr>
              <w:spacing w:after="0"/>
              <w:rPr>
                <w:sz w:val="21"/>
                <w:szCs w:val="21"/>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22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3518</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125</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2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3547</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r>
        <w:trPr>
          <w:trHeight w:val="432"/>
        </w:trPr>
        <w:tc>
          <w:tcPr>
            <w:tcW w:w="220" w:type="dxa"/>
            <w:vAlign w:val="bottom"/>
          </w:tcPr>
          <w:p>
            <w:pPr>
              <w:spacing w:after="0"/>
              <w:rPr>
                <w:sz w:val="24"/>
                <w:szCs w:val="24"/>
                <w:color w:val="auto"/>
              </w:rPr>
            </w:pPr>
          </w:p>
        </w:tc>
        <w:tc>
          <w:tcPr>
            <w:tcW w:w="8280" w:type="dxa"/>
            <w:vAlign w:val="bottom"/>
            <w:gridSpan w:val="7"/>
          </w:tcPr>
          <w:p>
            <w:pPr>
              <w:ind w:left="120"/>
              <w:spacing w:after="0"/>
              <w:rPr>
                <w:sz w:val="20"/>
                <w:szCs w:val="20"/>
                <w:color w:val="auto"/>
              </w:rPr>
            </w:pPr>
            <w:r>
              <w:rPr>
                <w:rFonts w:ascii="Times New Roman" w:cs="Times New Roman" w:eastAsia="Times New Roman" w:hAnsi="Times New Roman"/>
                <w:sz w:val="18"/>
                <w:szCs w:val="18"/>
                <w:color w:val="auto"/>
              </w:rPr>
              <w:t>The following table summarizes information about options expected to vest after June 30, 2023:</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3"/>
        </w:trPr>
        <w:tc>
          <w:tcPr>
            <w:tcW w:w="2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Options Vested and Expected to Vest</w:t>
            </w: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4"/>
        </w:trPr>
        <w:tc>
          <w:tcPr>
            <w:tcW w:w="2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2"/>
          </w:tcPr>
          <w:p>
            <w:pPr>
              <w:jc w:val="center"/>
              <w:ind w:right="200"/>
              <w:spacing w:after="0" w:line="194" w:lineRule="exact"/>
              <w:rPr>
                <w:sz w:val="20"/>
                <w:szCs w:val="20"/>
                <w:color w:val="auto"/>
              </w:rPr>
            </w:pPr>
            <w:r>
              <w:rPr>
                <w:rFonts w:ascii="Times New Roman" w:cs="Times New Roman" w:eastAsia="Times New Roman" w:hAnsi="Times New Roman"/>
                <w:sz w:val="18"/>
                <w:szCs w:val="18"/>
                <w:b w:val="1"/>
                <w:bCs w:val="1"/>
                <w:color w:val="auto"/>
                <w:w w:val="98"/>
              </w:rPr>
              <w:t>Weighted-Average</w:t>
            </w:r>
          </w:p>
        </w:tc>
        <w:tc>
          <w:tcPr>
            <w:tcW w:w="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2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Remaining Contractual Life</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36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w w:val="98"/>
              </w:rPr>
              <w:t>Weighted-Average</w:t>
            </w:r>
          </w:p>
        </w:tc>
      </w:tr>
      <w:tr>
        <w:trPr>
          <w:trHeight w:val="245"/>
        </w:trPr>
        <w:tc>
          <w:tcPr>
            <w:tcW w:w="220" w:type="dxa"/>
            <w:vAlign w:val="bottom"/>
          </w:tcPr>
          <w:p>
            <w:pPr>
              <w:spacing w:after="0"/>
              <w:rPr>
                <w:sz w:val="21"/>
                <w:szCs w:val="21"/>
                <w:color w:val="auto"/>
              </w:rPr>
            </w:pPr>
          </w:p>
        </w:tc>
        <w:tc>
          <w:tcPr>
            <w:tcW w:w="2740" w:type="dxa"/>
            <w:vAlign w:val="bottom"/>
            <w:gridSpan w:val="2"/>
          </w:tcPr>
          <w:p>
            <w:pPr>
              <w:jc w:val="right"/>
              <w:ind w:right="126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26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Number of Options</w:t>
            </w:r>
          </w:p>
        </w:tc>
        <w:tc>
          <w:tcPr>
            <w:tcW w:w="160" w:type="dxa"/>
            <w:vAlign w:val="bottom"/>
          </w:tcPr>
          <w:p>
            <w:pPr>
              <w:spacing w:after="0"/>
              <w:rPr>
                <w:sz w:val="21"/>
                <w:szCs w:val="21"/>
                <w:color w:val="auto"/>
              </w:rPr>
            </w:pPr>
          </w:p>
        </w:tc>
        <w:tc>
          <w:tcPr>
            <w:tcW w:w="27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4"/>
              </w:rPr>
              <w:t>(Years)</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r>
      <w:tr>
        <w:trPr>
          <w:trHeight w:val="216"/>
        </w:trPr>
        <w:tc>
          <w:tcPr>
            <w:tcW w:w="220" w:type="dxa"/>
            <w:vAlign w:val="bottom"/>
            <w:tcBorders>
              <w:top w:val="single" w:sz="8" w:color="auto"/>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24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6"/>
              <w:spacing w:after="0"/>
              <w:rPr>
                <w:sz w:val="20"/>
                <w:szCs w:val="20"/>
                <w:color w:val="auto"/>
              </w:rPr>
            </w:pPr>
            <w:r>
              <w:rPr>
                <w:rFonts w:ascii="Times New Roman" w:cs="Times New Roman" w:eastAsia="Times New Roman" w:hAnsi="Times New Roman"/>
                <w:sz w:val="17"/>
                <w:szCs w:val="17"/>
                <w:color w:val="auto"/>
                <w:w w:val="70"/>
              </w:rPr>
              <w:t>$</w:t>
            </w:r>
          </w:p>
        </w:tc>
        <w:tc>
          <w:tcPr>
            <w:tcW w:w="2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220" w:type="dxa"/>
            <w:vAlign w:val="bottom"/>
          </w:tcPr>
          <w:p>
            <w:pPr>
              <w:spacing w:after="0"/>
              <w:rPr>
                <w:sz w:val="18"/>
                <w:szCs w:val="18"/>
                <w:color w:val="auto"/>
              </w:rPr>
            </w:pPr>
          </w:p>
        </w:tc>
        <w:tc>
          <w:tcPr>
            <w:tcW w:w="2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972.00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3,565</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5.54</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972.00</w:t>
            </w:r>
          </w:p>
        </w:tc>
      </w:tr>
      <w:tr>
        <w:trPr>
          <w:trHeight w:val="216"/>
        </w:trPr>
        <w:tc>
          <w:tcPr>
            <w:tcW w:w="2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1,536.00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50</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6.63</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1,536.00</w:t>
            </w:r>
          </w:p>
        </w:tc>
      </w:tr>
      <w:tr>
        <w:trPr>
          <w:trHeight w:val="216"/>
        </w:trPr>
        <w:tc>
          <w:tcPr>
            <w:tcW w:w="220" w:type="dxa"/>
            <w:vAlign w:val="bottom"/>
          </w:tcPr>
          <w:p>
            <w:pPr>
              <w:spacing w:after="0"/>
              <w:rPr>
                <w:sz w:val="18"/>
                <w:szCs w:val="18"/>
                <w:color w:val="auto"/>
              </w:rPr>
            </w:pPr>
          </w:p>
        </w:tc>
        <w:tc>
          <w:tcPr>
            <w:tcW w:w="27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1,840.00</w:t>
            </w:r>
          </w:p>
        </w:tc>
        <w:tc>
          <w:tcPr>
            <w:tcW w:w="2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250</w:t>
            </w:r>
          </w:p>
        </w:tc>
        <w:tc>
          <w:tcPr>
            <w:tcW w:w="29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8.51</w:t>
            </w:r>
          </w:p>
        </w:tc>
        <w:tc>
          <w:tcPr>
            <w:tcW w:w="380" w:type="dxa"/>
            <w:vAlign w:val="bottom"/>
            <w:gridSpan w:val="2"/>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1,840.00</w:t>
            </w:r>
          </w:p>
        </w:tc>
      </w:tr>
      <w:tr>
        <w:trPr>
          <w:trHeight w:val="216"/>
        </w:trPr>
        <w:tc>
          <w:tcPr>
            <w:tcW w:w="220" w:type="dxa"/>
            <w:vAlign w:val="bottom"/>
            <w:shd w:val="clear" w:color="auto" w:fill="CCEEFF"/>
          </w:tcPr>
          <w:p>
            <w:pPr>
              <w:spacing w:after="0"/>
              <w:rPr>
                <w:sz w:val="18"/>
                <w:szCs w:val="18"/>
                <w:color w:val="auto"/>
              </w:rPr>
            </w:pPr>
          </w:p>
        </w:tc>
        <w:tc>
          <w:tcPr>
            <w:tcW w:w="27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2,768.00</w:t>
            </w:r>
          </w:p>
        </w:tc>
        <w:tc>
          <w:tcPr>
            <w:tcW w:w="2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4,500</w:t>
            </w:r>
          </w:p>
        </w:tc>
        <w:tc>
          <w:tcPr>
            <w:tcW w:w="29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7.15</w:t>
            </w:r>
          </w:p>
        </w:tc>
        <w:tc>
          <w:tcPr>
            <w:tcW w:w="380" w:type="dxa"/>
            <w:vAlign w:val="bottom"/>
            <w:gridSpan w:val="2"/>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rPr>
              <w:t>$</w:t>
            </w:r>
          </w:p>
        </w:tc>
        <w:tc>
          <w:tcPr>
            <w:tcW w:w="2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2,768.00</w:t>
            </w:r>
          </w:p>
        </w:tc>
      </w:tr>
      <w:tr>
        <w:trPr>
          <w:trHeight w:val="655"/>
        </w:trPr>
        <w:tc>
          <w:tcPr>
            <w:tcW w:w="22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73" w:right="339" w:bottom="1440" w:gutter="0" w:footer="0" w:header="0"/>
        </w:sectPr>
      </w:pPr>
    </w:p>
    <w:bookmarkStart w:id="45" w:name="page46"/>
    <w:bookmarkEnd w:id="45"/>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Units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2022 Plan, the Company may grant restricted stock units to employees, directors and officers. The restricted stock units granted generally vest equally over periods ranging from one to three years. The fair value of restricted stock units is determined based on the closing market price of the Company’s Common Stock on the date of grant. Compensation expense related to the restricted stock units is recognized using a straight-line attribution method over the vesting period.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6"/>
        </w:trPr>
        <w:tc>
          <w:tcPr>
            <w:tcW w:w="85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8560" w:type="dxa"/>
            <w:vAlign w:val="bottom"/>
          </w:tcPr>
          <w:p>
            <w:pPr>
              <w:spacing w:after="0"/>
              <w:rPr>
                <w:sz w:val="18"/>
                <w:szCs w:val="18"/>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36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Grant Date Fair</w:t>
            </w:r>
          </w:p>
        </w:tc>
      </w:tr>
      <w:tr>
        <w:trPr>
          <w:trHeight w:val="245"/>
        </w:trPr>
        <w:tc>
          <w:tcPr>
            <w:tcW w:w="8560" w:type="dxa"/>
            <w:vAlign w:val="bottom"/>
          </w:tcPr>
          <w:p>
            <w:pPr>
              <w:spacing w:after="0"/>
              <w:rPr>
                <w:sz w:val="21"/>
                <w:szCs w:val="21"/>
                <w:color w:val="auto"/>
              </w:rPr>
            </w:pPr>
          </w:p>
        </w:tc>
        <w:tc>
          <w:tcPr>
            <w:tcW w:w="132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3"/>
              </w:rPr>
              <w:t>Value</w:t>
            </w:r>
          </w:p>
        </w:tc>
      </w:tr>
      <w:tr>
        <w:trPr>
          <w:trHeight w:val="216"/>
        </w:trPr>
        <w:tc>
          <w:tcPr>
            <w:tcW w:w="85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7,691</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230.75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Vested</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230.80</w:t>
            </w:r>
          </w:p>
        </w:tc>
      </w:tr>
      <w:tr>
        <w:trPr>
          <w:trHeight w:val="237"/>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(3,100)</w:t>
            </w:r>
          </w:p>
        </w:tc>
        <w:tc>
          <w:tcPr>
            <w:tcW w:w="16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230.80</w:t>
            </w:r>
          </w:p>
        </w:tc>
      </w:tr>
      <w:tr>
        <w:trPr>
          <w:trHeight w:val="250"/>
        </w:trPr>
        <w:tc>
          <w:tcPr>
            <w:tcW w:w="8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at June 30, 2023</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2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230.80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1"/>
        </w:trPr>
        <w:tc>
          <w:tcPr>
            <w:tcW w:w="85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As of June 30, 2023, total unrecognized compensation expense related to unvested restricted stock units was $1.0 million, which is expected to be recognized over a weighted average period of 2.11 years.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2022 Employee Stock Purchase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29, 2022, the Company’s Board of Directors, and on June 8, 2022, the Company’s stockholders, adopted and approved the 2022 Employee Stock Purchase Plan (“ESPP”). The Company has initially reserved 2,500 shares of Common Stock for issuance under the ESPP. On June 30, 2023, 2,500 shares were available for future issuance.</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Under the ESPP, eligible employees are granted options to purchase shares of Common Stock at the lower of 85% of the fair market value of the stock at the time of grant or 85% of the fair market value at the time of exercise. Options to purchase shares are granted twice yearly on or about August 1 and February 1 and are exercisable on or about the succeeding January 31 and July 31, respectively, of each year. No participant may purchase more than $25 thousand worth of Common Stock annually. No Common Stock was granted under the 2022 ESPP during the three and six months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Benefit Plan</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maintains an employee’s savings and retirement plan under Section 401(k) of the Internal Revenue Code (the “401(k) Plan”). All full-time U.S. employees become eligible to participate in the 401(k) Plan. The Company’s contribution to the 401(k) Plan is discretionary. During the three months and six months ended June 30, 2023, the Company did not contribute to the 401(k) Plan.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8680" w:type="dxa"/>
            <w:vAlign w:val="bottom"/>
          </w:tcPr>
          <w:p>
            <w:pPr>
              <w:ind w:left="4560"/>
              <w:spacing w:after="0"/>
              <w:rPr>
                <w:sz w:val="20"/>
                <w:szCs w:val="20"/>
                <w:color w:val="auto"/>
              </w:rPr>
            </w:pPr>
            <w:r>
              <w:rPr>
                <w:rFonts w:ascii="Times New Roman" w:cs="Times New Roman" w:eastAsia="Times New Roman" w:hAnsi="Times New Roman"/>
                <w:sz w:val="18"/>
                <w:szCs w:val="18"/>
                <w:b w:val="1"/>
                <w:bCs w:val="1"/>
                <w:color w:val="auto"/>
              </w:rPr>
              <w:t>AGRIFY CORPORATION</w:t>
            </w: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12 — Stock Warrants</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tables present all warrant activity of the Company for the six months ended June 30, 2023 and 2022:</w:t>
            </w: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2022</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1,530,001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38.07</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4"/>
                <w:szCs w:val="14"/>
                <w:color w:val="auto"/>
              </w:rPr>
            </w:pPr>
          </w:p>
        </w:tc>
        <w:tc>
          <w:tcPr>
            <w:tcW w:w="11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8"/>
        </w:trPr>
        <w:tc>
          <w:tcPr>
            <w:tcW w:w="8680" w:type="dxa"/>
            <w:vAlign w:val="bottom"/>
            <w:vMerge w:val="continue"/>
            <w:shd w:val="clear" w:color="auto" w:fill="CCEEFF"/>
          </w:tcPr>
          <w:p>
            <w:pPr>
              <w:spacing w:after="0"/>
              <w:rPr>
                <w:sz w:val="5"/>
                <w:szCs w:val="5"/>
                <w:color w:val="auto"/>
              </w:rPr>
            </w:pPr>
          </w:p>
        </w:tc>
        <w:tc>
          <w:tcPr>
            <w:tcW w:w="1340" w:type="dxa"/>
            <w:vAlign w:val="bottom"/>
            <w:gridSpan w:val="2"/>
            <w:shd w:val="clear" w:color="auto" w:fill="CCEEFF"/>
          </w:tcPr>
          <w:p>
            <w:pPr>
              <w:jc w:val="right"/>
              <w:ind w:right="220"/>
              <w:spacing w:after="0" w:line="68" w:lineRule="exact"/>
              <w:rPr>
                <w:sz w:val="20"/>
                <w:szCs w:val="20"/>
                <w:color w:val="auto"/>
              </w:rPr>
            </w:pPr>
            <w:r>
              <w:rPr>
                <w:rFonts w:ascii="Times New Roman" w:cs="Times New Roman" w:eastAsia="Times New Roman" w:hAnsi="Times New Roman"/>
                <w:sz w:val="7"/>
                <w:szCs w:val="7"/>
                <w:color w:val="auto"/>
              </w:rPr>
              <w:t>(35,000</w:t>
            </w:r>
          </w:p>
        </w:tc>
        <w:tc>
          <w:tcPr>
            <w:tcW w:w="120" w:type="dxa"/>
            <w:vAlign w:val="bottom"/>
            <w:shd w:val="clear" w:color="auto" w:fill="CCEEFF"/>
          </w:tcPr>
          <w:p>
            <w:pPr>
              <w:spacing w:after="0"/>
              <w:rPr>
                <w:sz w:val="5"/>
                <w:szCs w:val="5"/>
                <w:color w:val="auto"/>
              </w:rPr>
            </w:pPr>
          </w:p>
        </w:tc>
        <w:tc>
          <w:tcPr>
            <w:tcW w:w="1100" w:type="dxa"/>
            <w:vAlign w:val="bottom"/>
            <w:gridSpan w:val="2"/>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at June 30, 2023</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1,495,001</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Warrants</w:t>
            </w:r>
          </w:p>
        </w:tc>
        <w:tc>
          <w:tcPr>
            <w:tcW w:w="12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Exercise Price</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outstanding at December 31, 2021</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1,358</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57,339</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Exercised</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(8,138)</w:t>
            </w: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tcBorders>
              <w:right w:val="single" w:sz="8" w:color="CCEEFF"/>
            </w:tcBorders>
            <w:shd w:val="clear" w:color="auto" w:fill="000000"/>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Warrants outstanding at June 30, 2022</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50,559</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1,364.00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received proceeds from the exercise of warrants of $0 for the three and six months ended June 30, 2023, and $1 thousand and $2 thousand for the three and six months ended June 30, 2022,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to December 2022 Warrants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19, 2023, the Company entered into an agreement to reduce the exercise price for its December 2022 Warrants from approximately $13 to approximately $3.4 and had entered into agreements with certain holders of the December 2022 Warrants to exercise such warrants for gross proceeds of up to $1.84 million (the “Warrant Inducement”).</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24, 2023, the Company announced that it would not consummate the Warrant Inducement, however the reduction of the exercise price remained effective.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quarterly provision for income taxes is measured using an annual effective tax rate, adjusted for discrete items within the period presented. To determine the annual effective tax rate, the Company estimates both the total income (loss) before income taxes for the full year and the jurisdictions in which that income (loss) is subject to tax. The actual effective tax rate for the full year may differ from these estimates if income (loss) before income taxes is greater than or less than what was estimated or if the allocation of income (loss) to jurisdictions in which it is taxed is different from the estimated allocations.</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provision for income taxes represents Federal and state and local income taxes. The effective rate differs from statutory rates due to the effect of certain nondeductible expenses. Our effective tax rate will change from quarter to quarter based on recurring and non-recurring factors including, but not limited to, the geographical mix of earnings, enacted tax legislation, and state and local income taxes. In addition, changes in judgment from the evaluation of new information resulting in the recognition de-recognition or re-measurement of a tax position taken in a prior annual period is recognized separately in the quarter of the change.</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Tax contingencies are recorded, if needed, to address potential exposure involving tax positions the Company has taken that could be challenged by tax authorities. These potential exposures could result from applications of various statutes, rules, regulations and interpretations. Any estimates of tax contingencies contain assumptions and judgments about potential actions by taxing jurisdictions. Any interest and penalties related to uncertain tax positions would be included as part of the income tax provision. The Company’s conclusions regarding uncertain tax positions may be subject to review and adjustment at a later date based upon ongoing analysis of or changes in tax laws, regulations and interpretations thereof as well as other factors.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Net Loss Per Share</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Net loss per share calculations for all periods have been adjusted to reflect the Company’s reverse stock splits. Net loss per share was calculated based on the weighted-average number of the Company’s Common Stock outstanding.</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Basic net loss per share is calculated using the weighted-average number of Common Stock outstanding during the periods. Diluted net loss per share is computed by giving effect to all potential shares of Common Stock, including outstanding stock options, stock related to unvested restricted stock units, and outstanding warrants to the extent dilutive. Net loss per share, assuming dilution, is equal to basic net loss per share because the effect of dilutive securities outstanding during the periods, including options and warrants computed using the treasury stock method, is anti-dilutive.</w:t>
      </w: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components of basic and diluted net loss per share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20" w:type="dxa"/>
            <w:vAlign w:val="bottom"/>
            <w:gridSpan w:val="5"/>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Three months ended June 30,</w:t>
            </w:r>
          </w:p>
        </w:tc>
        <w:tc>
          <w:tcPr>
            <w:tcW w:w="140" w:type="dxa"/>
            <w:vAlign w:val="bottom"/>
          </w:tcPr>
          <w:p>
            <w:pPr>
              <w:spacing w:after="0"/>
              <w:rPr>
                <w:sz w:val="21"/>
                <w:szCs w:val="21"/>
                <w:color w:val="auto"/>
              </w:rPr>
            </w:pPr>
          </w:p>
        </w:tc>
        <w:tc>
          <w:tcPr>
            <w:tcW w:w="240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5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6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(6,805)</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(74,604)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(17,132)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(72,824)</w:t>
            </w:r>
          </w:p>
        </w:tc>
        <w:tc>
          <w:tcPr>
            <w:tcW w:w="0" w:type="dxa"/>
            <w:vAlign w:val="bottom"/>
          </w:tcPr>
          <w:p>
            <w:pPr>
              <w:spacing w:after="0"/>
              <w:rPr>
                <w:sz w:val="1"/>
                <w:szCs w:val="1"/>
                <w:color w:val="auto"/>
              </w:rPr>
            </w:pPr>
          </w:p>
        </w:tc>
      </w:tr>
      <w:tr>
        <w:trPr>
          <w:trHeight w:val="216"/>
        </w:trPr>
        <w:tc>
          <w:tcPr>
            <w:tcW w:w="5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common shares outstanding – basic</w:t>
            </w: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1,549,669</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132,911</w:t>
            </w:r>
          </w:p>
        </w:tc>
        <w:tc>
          <w:tcPr>
            <w:tcW w:w="1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1,312,299</w:t>
            </w:r>
          </w:p>
        </w:tc>
        <w:tc>
          <w:tcPr>
            <w:tcW w:w="24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127,956</w:t>
            </w:r>
          </w:p>
        </w:tc>
        <w:tc>
          <w:tcPr>
            <w:tcW w:w="0" w:type="dxa"/>
            <w:vAlign w:val="bottom"/>
          </w:tcPr>
          <w:p>
            <w:pPr>
              <w:spacing w:after="0"/>
              <w:rPr>
                <w:sz w:val="1"/>
                <w:szCs w:val="1"/>
                <w:color w:val="auto"/>
              </w:rPr>
            </w:pPr>
          </w:p>
        </w:tc>
      </w:tr>
      <w:tr>
        <w:trPr>
          <w:trHeight w:val="20"/>
        </w:trPr>
        <w:tc>
          <w:tcPr>
            <w:tcW w:w="54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480" w:type="dxa"/>
            <w:vAlign w:val="bottom"/>
            <w:vMerge w:val="continue"/>
          </w:tcPr>
          <w:p>
            <w:pPr>
              <w:spacing w:after="0"/>
              <w:rPr>
                <w:sz w:val="20"/>
                <w:szCs w:val="20"/>
                <w:color w:val="auto"/>
              </w:rPr>
            </w:pPr>
          </w:p>
        </w:tc>
        <w:tc>
          <w:tcPr>
            <w:tcW w:w="6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(4.39)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(561.31)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(13.05)</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(569.13)</w:t>
            </w:r>
          </w:p>
        </w:tc>
        <w:tc>
          <w:tcPr>
            <w:tcW w:w="0" w:type="dxa"/>
            <w:vAlign w:val="bottom"/>
          </w:tcPr>
          <w:p>
            <w:pPr>
              <w:spacing w:after="0"/>
              <w:rPr>
                <w:sz w:val="1"/>
                <w:szCs w:val="1"/>
                <w:color w:val="auto"/>
              </w:rPr>
            </w:pPr>
          </w:p>
        </w:tc>
      </w:tr>
      <w:tr>
        <w:trPr>
          <w:trHeight w:val="21"/>
        </w:trPr>
        <w:tc>
          <w:tcPr>
            <w:tcW w:w="5480" w:type="dxa"/>
            <w:vAlign w:val="bottom"/>
          </w:tcPr>
          <w:p>
            <w:pPr>
              <w:spacing w:after="0" w:line="20" w:lineRule="exact"/>
              <w:rPr>
                <w:sz w:val="1"/>
                <w:szCs w:val="1"/>
                <w:color w:val="auto"/>
              </w:rPr>
            </w:pPr>
          </w:p>
        </w:tc>
        <w:tc>
          <w:tcPr>
            <w:tcW w:w="38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54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73" w:right="339" w:bottom="1440" w:gutter="0" w:footer="0" w:header="0"/>
        </w:sectPr>
      </w:pPr>
    </w:p>
    <w:bookmarkStart w:id="48" w:name="page49"/>
    <w:bookmarkEnd w:id="48"/>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Company’s potential dilutive securities, which include stock options, restricted stock units, and warrants, have been excluded from the computation of diluted net loss per share as the effect would be to reduce the net loss per share. Therefore, the weighted-average number of Common Shares outstanding used to calculate both basic and diluted net loss per share attributable to Common Stockholders is the same. The Company excluded the following potential Common Stock equivalents presented based on amounts outstanding at each period end, from the computation of diluted net loss per share attributable to Common Stockholders for the periods indicated because including them would have had an anti-dilutive effect:</w:t>
      </w:r>
    </w:p>
    <w:p>
      <w:pPr>
        <w:spacing w:after="0" w:line="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tbl>
      <w:tblPr>
        <w:tblLayout w:type="fixed"/>
        <w:tblInd w:w="0" w:type="dxa"/>
        <w:tblCellMar>
          <w:top w:w="0" w:type="dxa"/>
          <w:left w:w="0" w:type="dxa"/>
          <w:bottom w:w="0" w:type="dxa"/>
          <w:right w:w="0" w:type="dxa"/>
        </w:tblCellMar>
      </w:tblPr>
      <w:tr>
        <w:trPr>
          <w:trHeight w:val="203"/>
        </w:trPr>
        <w:tc>
          <w:tcPr>
            <w:tcW w:w="8120" w:type="dxa"/>
            <w:vAlign w:val="bottom"/>
          </w:tcPr>
          <w:p>
            <w:pPr>
              <w:spacing w:after="0"/>
              <w:rPr>
                <w:sz w:val="17"/>
                <w:szCs w:val="17"/>
                <w:color w:val="auto"/>
              </w:rPr>
            </w:pPr>
          </w:p>
        </w:tc>
        <w:tc>
          <w:tcPr>
            <w:tcW w:w="1640" w:type="dxa"/>
            <w:vAlign w:val="bottom"/>
            <w:gridSpan w:val="2"/>
          </w:tcPr>
          <w:p>
            <w:pPr>
              <w:jc w:val="center"/>
              <w:ind w:right="220"/>
              <w:spacing w:after="0" w:line="203" w:lineRule="exact"/>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480" w:type="dxa"/>
            <w:vAlign w:val="bottom"/>
            <w:gridSpan w:val="3"/>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16"/>
        </w:trPr>
        <w:tc>
          <w:tcPr>
            <w:tcW w:w="81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480" w:type="dxa"/>
            <w:vAlign w:val="bottom"/>
            <w:gridSpan w:val="3"/>
          </w:tcPr>
          <w:p>
            <w:pPr>
              <w:ind w:left="34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0" w:type="dxa"/>
            <w:vAlign w:val="bottom"/>
          </w:tcPr>
          <w:p>
            <w:pPr>
              <w:spacing w:after="0"/>
              <w:rPr>
                <w:sz w:val="1"/>
                <w:szCs w:val="1"/>
                <w:color w:val="auto"/>
              </w:rPr>
            </w:pPr>
          </w:p>
        </w:tc>
      </w:tr>
      <w:tr>
        <w:trPr>
          <w:trHeight w:val="245"/>
        </w:trPr>
        <w:tc>
          <w:tcPr>
            <w:tcW w:w="8120" w:type="dxa"/>
            <w:vAlign w:val="bottom"/>
            <w:tcBorders>
              <w:bottom w:val="single" w:sz="8" w:color="CCEEFF"/>
            </w:tcBorders>
            <w:vMerge w:val="continue"/>
          </w:tcPr>
          <w:p>
            <w:pPr>
              <w:spacing w:after="0"/>
              <w:rPr>
                <w:sz w:val="21"/>
                <w:szCs w:val="21"/>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13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10,969</w:t>
            </w:r>
          </w:p>
        </w:tc>
        <w:tc>
          <w:tcPr>
            <w:tcW w:w="2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unvested restricted stock units</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4,574</w:t>
            </w:r>
          </w:p>
        </w:tc>
        <w:tc>
          <w:tcPr>
            <w:tcW w:w="14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8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subject to outstanding warrants</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1,495,001</w:t>
            </w:r>
          </w:p>
        </w:tc>
        <w:tc>
          <w:tcPr>
            <w:tcW w:w="2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50,559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120" w:type="dxa"/>
            <w:vAlign w:val="bottom"/>
          </w:tcPr>
          <w:p>
            <w:pPr>
              <w:spacing w:after="0"/>
              <w:rPr>
                <w:sz w:val="20"/>
                <w:szCs w:val="20"/>
                <w:color w:val="auto"/>
              </w:rPr>
            </w:pPr>
            <w:r>
              <w:rPr>
                <w:rFonts w:ascii="Times New Roman" w:cs="Times New Roman" w:eastAsia="Times New Roman" w:hAnsi="Times New Roman"/>
                <w:sz w:val="18"/>
                <w:szCs w:val="18"/>
                <w:color w:val="auto"/>
              </w:rPr>
              <w:t> </w:t>
            </w: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1,510,544</w:t>
            </w: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81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Bud &amp; Mary’s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15, 2022, the Company provided a notice of default to Bud &amp; Mary’s and certain related parties notifying such parties that Bud &amp; Mary’s was in default of its obligations under the Bud &amp; Mary TTK Agreement. On October 5, 2022, Bud &amp; Mary’s filed a complaint in the Superior Court of Massachusetts in Suffolk County, naming the Company as the defendant. Bud &amp; Mary’s is seeking, among other relief, monetary damages in connection with alleged unfair or deceptive trade practices, breach of contract and conversion arising from the Agreement. While the Company believes the claim is without merit and will continue to vigorously defend itself against Bud &amp; Mary’s allegations, litigation is inherently unpredictable and there can be no assurance that the Company will prevail in this matter.</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During the third quarter of 2022, the Company deemed it necessary to fully reserve for the outstanding $14.7 million note receivable balance due to the current litigation and the uncertainty of the customer’s ability to repay the balance. The $14.7 million represents the amount of the contingent loss that the Company has determined to be reasonably possible and estimable. The actual cost of resolving this matter may be higher or lower than the amount the Company has reserved.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If the Company is unable to realize revenue from its TTK Solution offerings on a timely basis or at all, or if it incurs an additional loss as a result of the Bud &amp; Mary’s claim, the Company’s business and financial performance will be adversely affected. On November 14, 2022, the Company filed its answers and affirmative defenses to the Bud &amp; Mary’s complaint and counterclaims. The Company is seeking, among other relief, monetary damages in connection with the breach of contract, breach of the implied covenant of good faith and fair dealing, unjust enrichment, and enforcement of the guarantees. Bud &amp; Mary’s is permitted to file an amended complaint during October 2023, and Agrify will be permitted to make responsive filings, which may include an answer and counterclaim.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Bowdoin Construction Corp. Litigation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On February 22, 2023, Bowdoin Construction Corp. (“Bowdoin”) filed a complaint (the “Bowdoin Complaint”) in the Superior Court of Massachusetts in Norfolk County naming the Company, Bud &amp; Mary’s and certain related parties as defendants, captioned </w:t>
      </w:r>
      <w:r>
        <w:rPr>
          <w:rFonts w:ascii="Times New Roman" w:cs="Times New Roman" w:eastAsia="Times New Roman" w:hAnsi="Times New Roman"/>
          <w:sz w:val="18"/>
          <w:szCs w:val="18"/>
          <w:i w:val="1"/>
          <w:iCs w:val="1"/>
          <w:color w:val="auto"/>
        </w:rPr>
        <w:t>Bowdoin Construction Corp.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Agrify Corporation, Bud &amp; Mary’s Cultivation, Inc. and BMLC2, LLC</w:t>
      </w:r>
      <w:r>
        <w:rPr>
          <w:rFonts w:ascii="Times New Roman" w:cs="Times New Roman" w:eastAsia="Times New Roman" w:hAnsi="Times New Roman"/>
          <w:sz w:val="18"/>
          <w:szCs w:val="18"/>
          <w:color w:val="auto"/>
        </w:rPr>
        <w:t>, case no. 2382CV00173. The Bowdoin Complaint relates to a construction contract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between Bowdoin and the Company relating to the property that is the subject of the Bud &amp; Mary’s Complaint, and alleges breach of contract by Bud &amp; Mary’s and by the Company due to nonpayment of approximately $6.3 million due under the contract and related indemnification claims and mechanics’ liens. The Company is entitled to indemnification by Bud &amp; Mary’s and intends to vigorously defend this claim.</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49" w:name="page50"/>
    <w:bookmarkEnd w:id="49"/>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Mack Molding Co.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will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December 31, 2022, the Company owed Mack $8.4 million for purchased inventory on behalf of the Company to produce VFUs, which is included in accounts payable in the consolidated balance sheet.</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2, 2023, Mack filed an arbitration action seeking the amounts owed to Mack for purchased inventory. On October 27, 2023, and effective as of October 18, 2023, Mack and the Company entered into a Modification and Settlement Agreement with respect to the dispute. See Note 17 – Subsequent Events.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TRC Electronics Litigation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was named as a defendant in a complaint filed by TRC Electronics, Inc. (“TRC”) on April 13, 2023 in the United States District Court for the Eastern District of Pennsylvania. In the Complaint, TRC asserts two causes of action against the Company: (1) breach of contract, and (2) promissory estoppel. TRC’s claims are based on allegations that the Company failed to make payments due under three purchase orders for commercial electronics parts. TRC seeks damages in the amount of $565,210, plus attorneys’ fees, costs, and post-judgment interest. The Company has filed an answer denying liability on TRC’s claims and is proceeding with discovery.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Sinclair Scientific Litigation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June 15, 2023, the Company and its wholly-owned subsidiary Precision Extraction Newco, LLC (“Precision”), filed an Amended Verified Complaint in the Court of Chancery of the State of Delaware against Sinclair Scientific, LLC (“Sinclair”) and certain individual defendants (the “Delaware Action”). The claims filed in the Delaware Action concern various breaches of the Plan of Merger and Equity Purchase Agreement dated September 29, 2021, by and between the Company, Sinclair, Mass2Media, LLC, and certain of their members (the “Merger Agreement”). In response to the Delaware Action, certain of the defendants filed counterclaims for breach of contract and declaratory judgment against the Company and Precision alleging breach of the Merger Agreement. The Company and Precision filed an answer to the counterclaims denying all liability on the claims and discovery in the Delaware Action has recently commenced.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Supply Agreement with Mack Molding Co.</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December 2020, the Company entered into a five-year supply agreement with Mack Molding Co. (“Mack”) pursuant to which Mack would become a key supplier of VFUs. In February 2021, the Company placed a purchase order with Mack amounting to approximately $5.2 million towards the initial production of VFUs during 2021. Since February 2021, the Company increased the purchase order with Mack to approximately $26.5 million towards production of VFUs during 2021 and 2022. The Company believed the supply agreement with Mack would provide the Company with increased scaling capabilities and the ability to meet the potential future demand of its customers more efficiently. The supply agreement contemplates that, following an introductory period, the Company will negotiate a minimum percentage of the VFU requirements that the Company will purchase from Mack each year based on the agreed-upon pricing formula. The introductory period is not time-based but rather refers to the production of an initial number of units, after which the parties have rights to adjust pricing and negotiate a certain minimum requirements percentage. The Company believed this approach would result in both parties making a more informed decision with respect to the pricing and other terms of the supply agreement with Mack.</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October 11, 2022, the Company received a $9.4 million invoice from Mack for inventory purchased on the Company’s behalf to build VFUs. As part of the terms of the contract manufacturing agreement, Mack had the contractual right to bill the Company for any inventory that had aged greater than nine months. Due to the slowdown in the demand for the VFUs and the lack of a demand forecast that the Company could provide to the vendor, Mack exercised the right to invoice the Company for the slow-moving inventory. As of June 30, 2023, the Company owed Mack $8.4 million for purchased inventory on behalf of the Company to produce VFUs, which is included in accounts payable in the consolidated balance sheet. On October 27, 2023, and effective as of October 18, 2023, Mack and the Company entered into a Modification and Settlement Agreement with respect to the dispute. See Note 17 – Subsequent Events.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 Agreements with Related Party – Bluezone Products, Inc.</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September 7, 2019, the Company entered into a distribution agreement with Bluezone Products, Inc. (“Bluezone”) for distribution rights to the Bluezone products with certain exclusivity rights. The agreement requires minimum purchases amounting to $480 thousand and $600 thousand for the first and second contract anniversary years. The agreement auto-renews for successive one-year periods unless earlier terminated. In March 2021, the Company notified Bluezone of the non-renewal of the agreement which means it ended on May 31, 2021. The Company exceeded the minimum purchase amount for the first year and purchased approximately $309 thousand of the committed $660 thousand second-year purchases through December 31, 2021. Bluezone is a related party to the Company.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 – 4D Bios, Inc.</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September 18, 2021, the Company entered into an amended purchase agreement with 4D Bios, Inc. (“4D”) to secure purchases of horticultural equipment. The original agreement required minimum purchases of between $577 dollars and $607 dollars per unit of 4D products until December 31, 2020. The amended agreement requires minimum purchases of $582 dollars per unit with a final payment of approximately $864 thousand paid to 4D. 4D is a related party to the Company. The Company settled all outstanding commitments, leaving no open committed purchases as of December 31,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Committed Purchase Agreement with Related Party – Ora Pharm</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June 2022, the Company entered into an agreement with Ora Pharm (“Ora”) pursuant to which Ora will purchase approximately $1.6 million in equipment from the Company, and Ora may purchase software services from the Company in the future. Stuart Wilcox, the Company’s former Chief Operating Officer, is the Chairman of Ora.</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Commitments and Contingencies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is potentially subject to claims related to various non-income taxes (such as sales, value-added, consumption, and similar taxes) from various tax authorities, including in jurisdictions in which the Company already collects and remits such taxes. If the relevant taxing authorities successfully pursue these claims, the Company could be subject to additional tax liabilities.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Refer to Note 8 – Debt, included elsewhere in the notes to the consolidated financial statements for details of the Company’s future minimum debt payments. Refer to Note 9 – Leases, included elsewhere in the notes to the consolidated financial statements for details of the Company’s future minimum lease payments under operating and financing lease liabilities. Refer to Note 13 – Income Taxes, included elsewhere in the notes to the consolidated financial statements for information regarding income tax contingencies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1" w:name="page52"/>
    <w:bookmarkEnd w:id="51"/>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Related Parties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Some of the officers and directors of the Company are involved in other business activities and may, in the future, become involved in other business opportunities that become available.</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describes the net purchasing (sales) activity with entities identified as related parties to the Company: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60" w:type="dxa"/>
            <w:vAlign w:val="bottom"/>
            <w:gridSpan w:val="6"/>
          </w:tcPr>
          <w:p>
            <w:pPr>
              <w:ind w:left="2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380" w:type="dxa"/>
            <w:vAlign w:val="bottom"/>
            <w:gridSpan w:val="5"/>
          </w:tcPr>
          <w:p>
            <w:pPr>
              <w:jc w:val="right"/>
              <w:ind w:right="66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45"/>
        </w:trPr>
        <w:tc>
          <w:tcPr>
            <w:tcW w:w="5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Pr>
          <w:p>
            <w:pPr>
              <w:spacing w:after="0"/>
              <w:rPr>
                <w:sz w:val="20"/>
                <w:szCs w:val="20"/>
                <w:color w:val="auto"/>
              </w:rPr>
            </w:pPr>
          </w:p>
        </w:tc>
        <w:tc>
          <w:tcPr>
            <w:tcW w:w="8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0"/>
                <w:szCs w:val="20"/>
                <w:color w:val="auto"/>
              </w:rPr>
            </w:pPr>
          </w:p>
        </w:tc>
      </w:tr>
      <w:tr>
        <w:trPr>
          <w:trHeight w:val="216"/>
        </w:trPr>
        <w:tc>
          <w:tcPr>
            <w:tcW w:w="5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Cannae Policy Group</w:t>
            </w:r>
          </w:p>
        </w:tc>
        <w:tc>
          <w:tcPr>
            <w:tcW w:w="240" w:type="dxa"/>
            <w:vAlign w:val="bottom"/>
          </w:tcPr>
          <w:p>
            <w:pPr>
              <w:spacing w:after="0"/>
              <w:rPr>
                <w:sz w:val="18"/>
                <w:szCs w:val="18"/>
                <w:color w:val="auto"/>
              </w:rPr>
            </w:pPr>
          </w:p>
        </w:tc>
        <w:tc>
          <w:tcPr>
            <w:tcW w:w="1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NEIA</w:t>
            </w:r>
          </w:p>
        </w:tc>
        <w:tc>
          <w:tcPr>
            <w:tcW w:w="240" w:type="dxa"/>
            <w:vAlign w:val="bottom"/>
          </w:tcPr>
          <w:p>
            <w:pPr>
              <w:spacing w:after="0"/>
              <w:rPr>
                <w:sz w:val="18"/>
                <w:szCs w:val="18"/>
                <w:color w:val="auto"/>
              </w:rPr>
            </w:pPr>
          </w:p>
        </w:tc>
        <w:tc>
          <w:tcPr>
            <w:tcW w:w="1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(1,763)</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Greenstone Holdings</w:t>
            </w:r>
          </w:p>
        </w:tc>
        <w:tc>
          <w:tcPr>
            <w:tcW w:w="240" w:type="dxa"/>
            <w:vAlign w:val="bottom"/>
            <w:shd w:val="clear" w:color="auto" w:fill="CCEEFF"/>
          </w:tcPr>
          <w:p>
            <w:pPr>
              <w:spacing w:after="0"/>
              <w:rPr>
                <w:sz w:val="18"/>
                <w:szCs w:val="18"/>
                <w:color w:val="auto"/>
              </w:rPr>
            </w:pPr>
          </w:p>
        </w:tc>
        <w:tc>
          <w:tcPr>
            <w:tcW w:w="1420" w:type="dxa"/>
            <w:vAlign w:val="bottom"/>
            <w:gridSpan w:val="3"/>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180</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40" w:type="dxa"/>
            <w:vAlign w:val="bottom"/>
          </w:tcPr>
          <w:p>
            <w:pPr>
              <w:spacing w:after="0"/>
              <w:rPr>
                <w:sz w:val="20"/>
                <w:szCs w:val="20"/>
                <w:color w:val="auto"/>
              </w:rPr>
            </w:pPr>
          </w:p>
        </w:tc>
        <w:tc>
          <w:tcPr>
            <w:tcW w:w="142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4,855</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9,805</w:t>
            </w:r>
          </w:p>
        </w:tc>
      </w:tr>
      <w:tr>
        <w:trPr>
          <w:trHeight w:val="414"/>
        </w:trPr>
        <w:tc>
          <w:tcPr>
            <w:tcW w:w="868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following table summarizes net related party (payable) receivable as of June 30, 2023 and December 31, 2022:</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45"/>
        </w:trPr>
        <w:tc>
          <w:tcPr>
            <w:tcW w:w="5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2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1"/>
                <w:szCs w:val="2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Bluezone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Valiant Americas, LLC</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Living Greens Farm</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Topline Performance Group</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Nasdaq Deficiency Notices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On August 16, 2023, the Company received a third notice from Nasdaq that it remain noncompliant with Nasdaq Listing Rule 5250(c)(1) as a result of its failure to file its Quarterly Report on Form 10-Q for the fiscal quarter ended June 30, 2023 (the “Second Quarter Form 10-Q”) with the SEC by the required filing date (the “August Nasdaq Notice” and, together with the April Nasdaq Notice and the May Nasdaq Notice, the “Nasdaq Notices”).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Nasdaq granted the Company an exception until October 16, 2023, to file its 2022 Form 10-K and First and Second Quarter 2023 Forms 10-Q (the “Delayed Reports”). The Nasdaq Notice had no immediate effect on the listing of the Company’s Common Stock on The Nasdaq Stock Market LLC.</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17, 2023, the Company received the Staff Determination from the Listing Qualifications Department of Nasdaq notifying the Company that it was not in compliance with Nasdaq’s continued listing requirements under the Listing Rule as a result of its failure to file the Delinquent Reports in a timely manner. The Company timely requested a hearing before the Nasdaq Hearings Panel (the “Panel”), and the Panel scheduled a hearing for January 11,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Issuance of Unsecured Promissory Note</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July 12, 2023, the Board of Directors of the Company approved the issuance of a secured promissory note (the “GIC Note”) in favor of GIC Acquisition, LLC (the “GIC Investor”), an entity that is managed by Raymond Chang, the Company’s Chairman and Chief Executive Officer, and on October 3, 2023, the Board of Directors of the Company approved the amendment and restatement of the GIC Note as well as the issuance of a new secured promissory note (the “CP Note” and together with the GIC Note, the “Promissory Notes”) in favor of CP Acquisitions, LLC (the “CP Investor”), an entity that is partially managed by Mr. Chang. Pursuant to the GIC Note, the GIC Investor has lent $500,000 to the Company. Pursuant to the CP Note, the CP Investor may lend up to $3,000,000 to the Company. The Promissory Notes bear interest at a rate of 10% per annum, will mature in full on December 31, 2023, and may be prepaid without any fee or penalty. The Promissory Notes rank junior to all existing secured indebtedness of the Company.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Mack Molding Modification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27, 2023, and with an effective date as of October 18, 2023, the Company entered into a Modification and Settlement Agreement (the “Modification Agreement”) with Mack Molding Company (“Mack”). Pursuant to the Modification Agreement, the Company and Mack agreed to settle an outstanding dispute under the Supply Agreement between the parties dated December 7, 2020 (the “Supply Agreement”). The Modification Agreement requires the Company to make payments of $500,000 and $250,000 to Mack on or before November 1, 2023 and February 15, 2024, respectively. The Company has made the first of these two payments in the amount of $500,000. Following the November 1, 2023 payment, the Company is entitled to take possession of certain Vertical Farming Units (“VFUs”) that were assembled under the Supply Agreement. The Modification Agreement also requires the Company to purchase from Mack a minimum of 25 VFUs per quarter for each quarter during 2024 and a minimum of 50 VFUs per quarter for the six quarters beginning with the first quarter of 2025. The Company is required to pay a storage fee of $25,000 per month for VFUs subject to the Modification Agreement.</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Additionally, as part of the Modification Agreement, the Company agreed to issue to Mack a warrant to purchase 750,000 shares of Common Stock. The warrant has an exercise price of $4.00 per share, was exercisable upon issuance, has a term of three years from the date of issuance, and is exercisable on a cash basis unless at the time of exercise there is no effective registration statement for the resale of the underlying shares, in which case the warrant may be exercised on a cashless exercise basis at Mack’s election.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 Issuance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October 27, 2023, the Company entered into a letter agreement with the holder of the Exchange Note and the Convertible Note. Pursuant to the agreement, the Company agreed to exchange $3.0 million in principal and approximately $1.1 million in accrued but unpaid interest outstanding under the Exchange Note to purchase 2,809,669 shares of Common Stock (the “Exchange Warrant”). Additionally, the Company agreed to exchange the 375,629 shares of Common Stock held in abeyance for the lender under the terms of the Letter Agreement for a warrant to purchase 375,629 shares of Common Stock (the “Abeyance Warrant”).</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Each warrant has an exercise price of $0.001 per share, was exercisable upon issuance, has a term of five years from the date of issuance and is exercisable on a cash basis or on a cashless exercise basis at the holder’s election.</w:t>
      </w:r>
    </w:p>
    <w:p>
      <w:pPr>
        <w:spacing w:after="0" w:line="16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Exchange Warrant provides that in the event that Raymond Chang or his affiliates acquire securities from the Company, exercise convertible securities or amend the terms of convertible securities at a purchase or conversion price lower than $1.46, then the number of shares of Common Stock underlying Exchange Warrant will be increased to an amount equal to $3.0 million divided by such purchase or conversion price, subject to proportional adjustment in the event the Exchange Warrant has been partially exercised. Additionally, in the event that the Company has not issued equity securities in exchange for gross proceeds of at least $3.0 million to Mr. Chang or his affiliates (subject to certain offsets) by the third calendar day after the date when the Company receives stockholder approval, then on December 26, 2023, the number of shares of Common Stock underlying Exchange Warrant will be increased to an amount equal to $3.0 million divided by the Minimum Price as defined under Nasdaq listing rules, subject to proportional adjustment in the event the Exchange Warrant has been partially exercised.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3" w:name="page54"/>
    <w:bookmarkEnd w:id="53"/>
    <w:p>
      <w:pPr>
        <w:jc w:val="cente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Letter Agreement requires that the Company issue equity securities to Mr. Chang or his affiliates for aggregate gross proceeds of at least $3.0 million, minus any funds advanced by Mr. Chang to the Company since July 1,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Purchase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27, 2023, CP Acquisitions LLC (the “New Lender”), an entity affiliated with and controlled by Raymond Chang, the Company’s Chief Executive Officer, purchased the Exchange Note and the Convertible Note from their holder. In connection with the Note Purchase, the New Lender has agreed to waive any events of default under the acquired notes through December 31, 2023 and to enter into an agreement with the Company to extend the maturity date thereon to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Amendment and Secured Promissory Note</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July 12, 2023, the Company issued an unsecured promissory note (the “Note”) in favor of GIC Acquisition, LLC (“GIC”), an entity that is managed by Raymond Chang, the Company’s Chairman and Chief Executive Officer, with an original principal amount of up to $500,000. On October 27, 2023, GIC and the Company amended and restated the Note (the “Restated Note”). Pursuant to the terms of the Restated Note, the Maturity Date was extended until December 31, 2023 and the Company granted a security interest in the Company’s assets that ranks junior to the Exchange Note and the Convertible Note.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Concurrently with the Restated Note, the Company issued a junior secured promissory note (the “Junior Secured Note”) to the New Lender. Pursuant to the Junior Secured Note, the New Lender will lend up to $3,000,000 to the Company. The Junior Secured Note bears interest at a rate of 10% per annum, will mature in full on December 31, 2023, and may be prepaid without any fee or penalty. The Junior Secured Note is a secured obligation of the Company that ranks junior to the Exchange Note and the Convertible Note.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i w:val="1"/>
          <w:iCs w:val="1"/>
          <w:color w:val="auto"/>
        </w:rPr>
        <w:t>The information contained in this Quarterly Report on Form 10-Q is intended to update the information contained in our Annual Report on Form 10-K for the year ended December 31, 2022 filed with the Securities and Exchange Commission on November 28, 2023 (the “Form 10-K”) and presumes that readers have access to, and will have read, the “Management’s Discussion and Analysis of Financial Condition and Results of Operations” and other information contained in such Form 10-K. The following discussion and analysis also should be read together with our financial statements and the notes to the financial statements included elsewhere in this Quarterly Report on Form 10-Q.</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discussion contains certain statements that may be deemed “forward-looking statements” within the meaning of the Private Securities Litigation Reform Act of 1995. Such statements appear in a number of places in this Report, including, without limitation, “Management’s Discussion and Analysis of Financial Condition and Results of Operations.” These statements are not guarantees of future performance and involve risks, uncertainties and requirements that are difficult to predict or are beyond our control. Forward-looking statements speak only as of the date of this quarterly report. You should not put undue reliance on any forward-looking statements. We strongly encourage investors to carefully read the risk factors described in our Annual Report on Form 10-K in the section entitled “Risk Factors” for a description of certain risks that could, among other things, cause actual results to differ from these forward-looking statements. We assume no responsibility to update the forward-looking statements contained in this Quarterly Report on Form 10-Q. The following should also be read in conjunction with the unaudited financial statements and notes thereto that appear elsewhere in this report.</w:t>
      </w:r>
    </w:p>
    <w:p>
      <w:pPr>
        <w:spacing w:after="0" w:line="18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Except as otherwise indicated herein or as the context otherwise requires, references in this quarterly report to “we,” “us,” “our,” “Company,” and “Agrify” refer to Agrify Corporation, a Nevada corporation.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are a developer of proprietary precision hardware and software grow solutions for the indoor commercial agriculture industry and provide equipment and solutions for cultivation, extraction, post-processing, and testing for the cannabis and hemp industries. We believe we are the only company with an automated and fully integrated grow solution in the industry. Our Agrify “Precision Elevated™” cultivation solution seamlessly combines our integrated hardware and software offerings with a broad range of associated services including consulting, engineering, and construction and is designed to deliver the most complete commercial indoor farming solution available from a single provider. The totality of our product offerings and service capabilities forms an unrivaled ecosystem in what has historically been a highly fragmented market. As a result, we believe we are well situated to create a dominant market position in the indoor agriculture sector.</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corporate headquarters are located in Troy, Michigan. We also lease properties located within various geographic regions in which we conduct business, including Colorado, Georgia, Massachusetts, Michigan, and Oregon.</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Reverse Stock Splits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October 18, 2022, the Company effected a 1-for-10 reverse stock split of its Common Stock. All share and per share information has been retroactively adjusted to give effect to the reverse stock split for all periods presented unless otherwise indicated.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5" w:name="page56"/>
    <w:bookmarkEnd w:id="55"/>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July 5, 2023, the Company effected a 1-for-20 reverse stock split of its Common Stock. All share and per share information has been retroactively adjusted to give effect to the reverse stock split for all periods presented unless otherwise indicated.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Business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Private Placement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25, 2022, we entered into a Securities Purchase Agreement (the “Securities Agreement”) with an institutional investor and other accredited investors for the sale of 12,253 shares (the “SA Shares”) of our Common Stock, pre-funded warrants (the “Pre-Funded Warrants”) to purchase up to an aggregate of 7,853 shares of Common Stock and warrants to purchase up to an aggregate of 15,079 shares of Common Stock (the “Common Warrants” and, collectively with the Pre-Funded Warrants, the “SA Warrants”), in a private placement offering. The combined purchase price for one share of Common Stock (or one Pre-Funded Warrant) and the accompanying fraction of a Common Warrant was $1,360.00 per share.</w:t>
      </w:r>
    </w:p>
    <w:p>
      <w:pPr>
        <w:spacing w:after="0" w:line="18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Subject to certain ownership limitations, the SA Warrants became exercisable six months from issuance. Each Pre-Funded Warrant is exercisable into one share of Common Stock (as adjusted from time to time in accordance with the terms thereof). Each Common Warrant is exercisable into one share of Common Stock at a price per share of $1,496.00 (as adjusted from time to time in accordance with the terms thereof) and will expire on the fifth anniversary of the initial exercise date. The institutional investor that received the Pre-Funded Warrants fully exercised such warrants in March 2022.</w:t>
      </w:r>
    </w:p>
    <w:p>
      <w:pPr>
        <w:spacing w:after="0" w:line="180"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Raymond Chang, our Chairman and Chief Executive Officer (“CEO”), and Stuart Wilcox, who previously served as our Chief Operating Officer, and at the time was a member of our Board of Directors, participated in the private placement on essentially the same terms as other investors, except for having a combined purchase price of $1,380.00 per share.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gross proceeds to us from the private placement were approximately $27.3 million, before deducting the placement agent’s fees and other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Acquisition of Lab Society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1, 2022, we entered into an Agreement and Plan of Merger (the “Merger Agreement”) with LS Holdings Corp. (“Lab Society”), Lab Society NewCo, LLC, a newly-formed wholly-owned subsidiary of us (“Merger Sub”), Michael S. Maibach Jr. as the Owner Representative thereunder, and each of the shareholders of Lab Society (collectively, the “Owners”), pursuant to which we agreed to acquire Lab Society. Concurrently with the execution of the Merger Agreement, we consummated the merger of Lab Society with and into Merger Sub, with Merger Sub surviving such merger as a wholly-owned subsidiary of us (the “Lab Society Acquisition”).</w:t>
      </w:r>
    </w:p>
    <w:p>
      <w:pPr>
        <w:spacing w:after="0" w:line="18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aggregate consideration for the Lab Society Acquisition consisted of $4.0 million in cash, subject to certain adjustments for working capital, cash and indebtedness of Lab Society at closing; 2,128 shares of Common Stock (the “Buyer Shares”); and the Earn-out Consideration (as defined below), to the extent earned.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6" w:name="page57"/>
    <w:bookmarkEnd w:id="56"/>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withheld 638 of the Buyer Shares issuable to the Owners (the “Holdback Lab Buyer Shares”) for the purpose of securing any post-closing adjustment owed to us and any claim for indemnification or payment of damages to which we may be entitled under the Merger Agreement. During the third quarter of 2022, 139 of the Holdback Lab Buyer Shares were forfeited after the finalization of the net working capital settlement. The remaining 499 Holdback Lab Buyer Shares were released following the twelve-month anniversary of the Closing Date in accordance with and subject to the conditions of the Merger Agreement. Additional information regarding our contingent consideration arrangements may be found in Note 4 – Fair Value Measures, included in the notes to the consolidated financial statements.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Merger Agreement includes customary post-closing adjustments, representations, and warranties and covenants of the parties. The Owners may become entitled to additional consideration with a value of up to $3.5 million based on the eligible net revenues achieved by the Lab Society business during the fiscal years ending December 31, 2022, and December 31, 2023, of which 50% will be payable in cash and the remaining 50% will be payable by issuing shares of Common Stock.</w:t>
      </w:r>
    </w:p>
    <w:p>
      <w:pPr>
        <w:spacing w:after="0" w:line="18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The estimated fair value at acquisition is $7.9 million and may be adjusted upon further review of the values assigned to identifiable intangible assets and goodwill.</w:t>
      </w:r>
    </w:p>
    <w:p>
      <w:pPr>
        <w:spacing w:after="0" w:line="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initial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amortize our intangible assets assuming no residual value over periods in which the economic benefit of these assets is consumed.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Purchase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(the “Securities Purchase Agreement”) with an accredited investor (the “Investor”), we agreed to issue and sell to the Investor, in a private placement transaction, in exchange for the payment by the Investor of $65 million, less applicable expenses as set forth in the Securities Purchase Agreement, a senior secured promissory note in an aggregate principal amount of $65 million (the “SPA Note”), and a warrant (the “SPA Warrant”) to purchase up to an aggregate of 34,406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August 2022 Securities Exchange Agreement</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August 18, 2022, we reached an agreement with the Investor to amend its existing SPA Note and entered into a Securities Exchange Agreement (the “August 2022 Exchange Agreement”). Pursuant to the August 2022 Exchange Agreement, we partially paid $35.2 million along with approximately $300 thousand in repayments for other fees under the SPA Note and exchanged the remaining balance of the SPA Note for a the Exchange Note with an aggregate original principal amount of $35.0 million and a new warrant to purchase 71,139 shares of Common Stock (the “Note Exchange Warrant”). Additionally, we exchanged the SPA Warrant for a new warrant for the same number of underlying shares but with a reduced exercise price (the “Modified Warrant” and, collectively with the Note Exchange Warrant, the “August 2022 Warrants”). Additional information regarding our August 2022 Warrants may be found in Note 1 – Overview, Basis of Presentation and Significant Accounting Policies and Note 4 – Fair Value Measures, included in the notes to the condensed consolidated financial statements.</w:t>
      </w:r>
    </w:p>
    <w:p>
      <w:pPr>
        <w:spacing w:after="0" w:line="1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Exchange Note is a senior secured obligation of ours and ranks senior to all indebtedness of ours. The Exchange Note will mature on the three-year anniversary of its issuance (the “Maturity Date”) and contains a 9.0% annualized interest rate, with interest to be paid monthly, in cash, beginning September 1, 2022. The principal amount of the Exchange Note will be payable on the Maturity Date, provided that the holder will be entitled to a cash sweep of 20% of the proceeds received by us in connection with any equity financing, which will reduce the outstanding principal amount under the Exchange Note.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7" w:name="page58"/>
    <w:bookmarkEnd w:id="57"/>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18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Exchange Note imposes certain customary affirmative and negative covenants upon us, as well as covenants that restrict us and our subsidiaries from incurring any additional indebtedness or suffering any liens, subject to specified exceptions, restrict the ability of us and our subsidiaries from making certain investments, subject to specified exceptions, restrict the declaration of any dividends or other distributions, subject to specified exceptions, requires us not to exceed maximum levels of allowable cash spend while the Exchange Note is outstanding, and requires us to maintain minimum amounts of cash on hand. If an event of default under the Exchange Note occurs, the holder can elect to redeem the Exchange Note for cash equal to 115% of the then-outstanding principal amount of the Note (or such lesser principal amount accelerated by the holder), plus accrued and unpaid interest, including default interest, which accrues at a rate per year equal to 15% from the date of a default or event of default.</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Exchange Note is fully repaid, the holder has, subject to certain exceptions, the right to participate for up to 30% of any offering of debt, equity (other than an offering of solely Common Stock), or equity-linked securities, including without limitation any debt, preferred stock or other instrument or security, of us or our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Modified Warrant has an exercise price of $430.00 per share, subject to adjustment for stock splits, reverse stock splits, stock dividends and similar transactions, will be exercisable on and after the six-month anniversary of issuance, has a term of five and one-half years from the date of issuance and will be exercisable on a cash basis, unless there is not an effective registration statement covering the resale of the shares issuable upon exercise of the Modified Warrant (the “Modified Warrant Shares”), in which case the Modified Warrant will also be exercisable on a cashless exercise basis at the holder’s election.</w:t>
      </w:r>
    </w:p>
    <w:p>
      <w:pPr>
        <w:spacing w:after="0" w:line="183"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Note Exchange Warrant has an exercise price of $246.00 per share, subject to adjustment for stock splits, reverse stock splits, stock dividends and similar transactions, was exercisable upon issuance, and has a term of five and one-half years from the date of issuance and is exercisable on a cash basis, unless there is not an effective registration statement covering the resale of the shares issuable upon exercise of the Warrant (the “Note Exchange Warrant Shares” and, together with the Modified Warrant Shares, the “Exchange Warrant Shares”), in which case the Note Exchange Warrant will also be exercisable on a cashless exercise basis at the holder’s election. Until we completed a qualified equity financing of at least $15.0 million, which requirement was satisfied with sales under the at-the-market continuous equity offering (“ATM” or “ATM Program”), the Note Exchange Warrant’s exercise price would have been reduced to the extent we issued securities for a lower purchase price. The Note Exchange Warrant also prohibited us, until following the completion of such qualified equity financing, from issuing warrants with more favorable or preferential terms and/or provisions.</w:t>
      </w:r>
    </w:p>
    <w:p>
      <w:pPr>
        <w:spacing w:after="0" w:line="19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August 2022 Warrants each provide that in no event will the number of shares of Common Stock issued upon exercise of such warrants result in the holder’s beneficial ownership exceeding 4.99% of our shares of Common Stock outstanding at the time of exercise (which percentage may be decreased or increased by the holder, but to no greater than 9.99). Additionally, the August 2022 Warrants could not be exercised for more than an aggregate of 26,542 shares of Common Stock unless and until shareholder approval is obtained, which approval was obtained on October 14,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March 2023 Securities Exchange Agreement</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9, 2023 we entered into a senior note with High Trail Special Situations LLC (“Holder”) for value received, promises to pay to High Trail Special Situations LLC (the “Initial Holder”), or its registered assigns, the principal sum of ten million dollars ($10,000,000) (such principal sum, the “Principal Amount”) on August 19, 2025, and to pay any outstanding interest thereon, as provided in this note, in each case as provided in and subject to the other provisions of this Note, including the earlier redemption, repurchase or conversion of this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 of Notes Payable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March 8, 2023, the Company entered into a Securities Exchange Agreement (the “Exchange Agreement” or “Second Amendment”) with High Trail Special Situations LLC. Pursuant to the Exchange Agreement, at closing the Company will prepay approximately $10.3 million in principal amount under the August 2022 Note and exchange $10.0 million in principal amount of the remaining balance of the August 2022 Note for a new senior secured convertible note (the “Convertible Note”) with an original principal amount of $10.0 million. After the closing of the Exchange Agreement, the August 2022 Note will remain outstanding with a remaining balance of $11.7 million (the “Modified August 2022 Note” and, collectively with the Convertible Note, the “Notes”)</w:t>
      </w:r>
    </w:p>
    <w:p>
      <w:pPr>
        <w:spacing w:after="0" w:line="18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This exchange was deemed to be an extinguishment under ASC 470, as the modified debt added a substantive conversion option that was not inherent in the August 2022 Note. As a result, the Company recognized a loss on the extinguishment of debt of $4.6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Notes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8, 2023, as a result of the Exchange Agreement, the Company issued a Convertible Note to High Trail Special Situations LLC (the “Lender”) with a principal balance of $10 million. The Convertible Note bears a 9.0% annualized interest rate, with interest to be paid monthly, in cash, beginning April 1, 2023. The principal amount of the Convertible Note will be payable on the Maturity Date, provided that the Lender will be entitled to a cash sweep of 30% of the proceeds of any at-the-market equity offering and 20% of the proceeds received by the Company in connection with any other equity financing, which will reduce the outstanding principal amount under the August 2022 Note or the Convertible Note.</w:t>
      </w:r>
    </w:p>
    <w:p>
      <w:pPr>
        <w:spacing w:after="0" w:line="18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At any time, the Company may prepay all of the Convertible Note by redemption at a price equal to 102.5% of the then-outstanding principal amount under the Convertible Note plus accrued but unpaid interest. The Lender will also have the option of requiring the Company to redeem the Convertible Note (i) on August 19, 2023 or August 19, 2024 at a price equal to the then-outstanding principal amount under the Convertible Note plus accrued but unpaid interest, provided that the redemption right on August 19, 2023 will not be exercisable if the Company raises at least $8.0 million in gross proceeds from equity offerings prior to such date, or (ii) if the Company undergoes a fundamental change (as defined below) at a price equal to 102.5% of the then-outstanding principal amount under the Convertible Note plus accrued but unpaid interest.</w:t>
      </w:r>
    </w:p>
    <w:p>
      <w:pPr>
        <w:spacing w:after="0" w:line="187" w:lineRule="exact"/>
        <w:rPr>
          <w:sz w:val="20"/>
          <w:szCs w:val="20"/>
          <w:color w:val="auto"/>
        </w:rPr>
      </w:pPr>
    </w:p>
    <w:p>
      <w:pPr>
        <w:jc w:val="both"/>
        <w:ind w:firstLine="324"/>
        <w:spacing w:after="0" w:line="269" w:lineRule="auto"/>
        <w:rPr>
          <w:sz w:val="20"/>
          <w:szCs w:val="20"/>
          <w:color w:val="auto"/>
        </w:rPr>
      </w:pPr>
      <w:r>
        <w:rPr>
          <w:rFonts w:ascii="Times New Roman" w:cs="Times New Roman" w:eastAsia="Times New Roman" w:hAnsi="Times New Roman"/>
          <w:sz w:val="17"/>
          <w:szCs w:val="17"/>
          <w:color w:val="auto"/>
        </w:rPr>
        <w:t>The Convertible Note will impose certain customary affirmative and negative covenants upon the Company, as well as covenants that will (i) restrict the Company and its subsidiaries from incurring any additional indebtedness or suffering any liens, subject to specified exceptions, (ii) restrict the ability of the Company and its subsidiaries from making certain investments, subject to specified exceptions, and (iii) restrict the declaration of any dividends or other distributions, subject to specified exceptions. If an event of default under the Convertible Note occurs, the Lender can elect to redeem the Convertible Note for cash equal to (A) 115% of the then-outstanding principal amount of the Convertible Note (or such lesser principal amount accelerated by the Investor), plus accrued and unpaid interest, including default interest, which accrues at a rate per annum equal to 15% from the date of a default or event of default, or, only in connection with certain events of default, (B) the greater of the amount under clause (A) or the sum of (i) 115% of the product of (a) the conversion rate in effect as of the trading day immediately preceding the date that the Lender delivers a notice of acceleration; (b) the total then outstanding principal amount under the Convertible Note (in thousands); and (c) the greater of (1) the highest daily volume weighted average price (“VWAP”) per share of Common Stock occurring during the fifteen consecutive trading days ending on, and including, the trading day immediately before the date the Lender delivers such notice and (2) the highest daily VWAP per share of Common Stock occurring during the fifteen consecutive trading days ending on, and including, the trading immediately before the date the applicable event of default occurred and (ii) the accrued and unpaid interest on the Convertible Note.</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59" w:name="page60"/>
    <w:bookmarkEnd w:id="59"/>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Until the date the Convertible Note is fully repaid, the Lender will have, subject to certain exceptions, the right to participate for up to 30% of any offering of debt, equity (other than an offering of solely Common Stock), or equity-linked securities, including without limitation any debt, preferred stock or other instrument or security, of the Company or its subsidiaries.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If the Lender elects to convert the Convertible Note, the conversion price per share will be $0.3820, subject to customary adjustments for certain corporate events. The conversion of the Convertible Note will be subject to certain customary conditions. The Convertible Note may not be converted into shares of Common Stock if such conversion would result in the Lender and its affiliates owning an aggregate of in excess of 4.99% of the then-outstanding shares of Common Stock, provided that upon 61 days’ notice, such ownership limitation may be adjusted by the Lender, but in any case, to no greater than 9.99%.</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evaluated the embedded features in accordance with ASC 815-15-25 and the determined embedded features are not required to be bifurcated and separately measured at fair value.</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Interest expense related to the Convertible Notes described above was $609,001 for the six months ended June 30, 2023. Accrued interest totaled $136,913 as of June 30,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 The Marketing Offering</w:t>
      </w:r>
    </w:p>
    <w:p>
      <w:pPr>
        <w:spacing w:after="0" w:line="229"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On October 18, 2022, the Company entered into the ATM Program with the Agent pursuant to which it may issue and sell, from time to time, shares of its Common Stock having an aggregate offering price of up to $50 million, depending on market demand, with the Agent acting as an agent for sales. The ATM Program allowed the Company to sell shares of Common Stock pursuant to specific parameters defined by the Company as well as those defined by the SEC and the ATM Program agreement. As of December 31, 2022, the Company sold 306,628 shares of Common Stock, under the ATM at an average price of $50.85 per share, resulting in gross proceeds of $15.6 million, and net proceeds of $15.0 million after commissions and fees to the Agent totaling $468 thousand and legal fees totaling $75 thousand. $3.0 million of the proceeds under the ATM Program were used to repay amounts due to the Investor under the Exchange Note. The Company used net proceeds generated from the ATM Program for working capital and general corporate purposes, including repayment of indebtedness, funding its transformation initiatives and product category expansion efforts and capital expenditures. Due to the late filing of the Company’s Annual Report on Form 10-K, the Company is no longer eligible to utilize the registration statement on Form S-3 relating to the ATM Program, and does not anticipate any further sales under the ATM Program in the foreseeable future.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Confidentially Marketed Public Offering</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December 16, 2022, we entered into an underwriting agreement (the “Underwriting Agreement”) with Canaccord Genuity LLC as the underwriter, pursuant to which we agreed to sell an aggregate of 594,232 shares of our Common Stock, and, in lieu of Common Stock to certain investors that so chose, pre-funded warrants (the “Pre-Funded 2022 Warrants”) to purchase 75,000 shares of our Common Stock, and accompanying warrants (the “December 2022 Warrants”) to purchase 1,338,462 shares of our Common Stock (the “Offering”). The combined public offering price for each share of Common Stock and accompanying two warrants was $13.00 per share, and the combined offering price for each Pre-Funded Warrant and accompanying two warrants was $12.98 per share.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0" w:name="page61"/>
    <w:bookmarkEnd w:id="60"/>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December 2022 Warrants may not be exercised by the holder to the extent that the holder, together with its affiliates, would beneficially own, after such exercise more than 4.99% of the shares of our Common Stock then outstanding (subject to the right of the holder to increase or decrease such beneficial ownership limitation upon notice to us, provided that such limitation cannot exceed 9.99%).</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Pre-Funded 2022 Warrants were classified as a component of permanent equity and the December 2022 Warrants were liability-classified and were recorded at the issuance date using a relative fair value allocation method. The Pre-Funded 2022 Warrants are equity-classified because they are freestanding financial instruments that are legally detachable and separately exercisable from the equity instruments, are immediately exercisable, and permit the holders to receive a fixed number of shares of Common Stock upon exercise. In addition, such warrants do not provide any guarantee of value or return. The December 2022 Warrants are liability-classified as there is a volatility floor and these warrants are not indexed to our Common Stock.</w:t>
      </w:r>
    </w:p>
    <w:p>
      <w:pPr>
        <w:spacing w:after="0" w:line="183"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Raymond Chang, our Chairman and CEO, participated in the Offering and purchased 115,385 shares of Common Stock and 230,769 warrants for an aggregate purchase price of approximately $1.5 million.</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received aggregate gross proceeds to us from the Offering of approximately $8.7 million including offering costs of approximately $0.5 million for broker fees and legal expenses, for net proceeds of $8.2 million. We intend to use the net proceeds from the Offering, together with our existing cash resources, for working capital and general corporate purposes, which may include capital expenditures and repayment of debt.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stock-based compensation expense, valuation allowance for deferred tax assets and useful life of fixed assets and intangible assets.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Accounting Policies and Significant Judgments and Estimates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estimates,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generate revenue from the following sources: (1) equipment sales, (2) providing services and (3) construction contracts.</w:t>
      </w:r>
    </w:p>
    <w:p>
      <w:pPr>
        <w:spacing w:after="0" w:line="225"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In accordance with ASC 606 “Revenue Recognition”, we recognize revenue from contracts with customers using a five-step model, which is described below:</w:t>
      </w:r>
    </w:p>
    <w:p>
      <w:pPr>
        <w:spacing w:after="0" w:line="162" w:lineRule="exact"/>
        <w:rPr>
          <w:sz w:val="20"/>
          <w:szCs w:val="20"/>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customer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performance obligations that are distinct;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 the transaction price to the distinct performance obligations;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recognize revenue as the performance obligations are satisfied.</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the customer contract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customer contract is generally identified when there is approval and commitment from both use and its customer, the rights have been identified, payment terms are identified, the contract has commercial substance and collectability, and consideration is probable. Specifically, we obtain written/electronic signatures on contracts and a purchase order, if said purchase orders are issued in the normal course of business by the customer.</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Identify performance obligations that are distinct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performance obligation is a promise by us to provide a distinct good or service or a series of distinct goods or services. A good or service that is promised to a customer is distinct if the customer can benefit from the good or service either on its own or together with other resources that are readily available to the customer, and our promise to transfer the good or service to the customer is separately identifiable from other promises in the contract.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Determine the transaction price</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transaction price is the amount of consideration to which we expect to be entitled in exchange for transferring goods or services to a customer, excluding sales taxes that are collected on behalf of government agencies.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Allocate the transaction price to distinct performance obligations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transaction price is allocated to each performance obligation based on the relative standalone selling prices (“SSP”) of the goods or services being provided to the customer. Our contracts typically contain multiple performance obligations, for which we account for individual performance obligations separately, if they are distinct. The standalone selling price reflects the price we would charge for a specific piece of equipment or service if it was sold separately in similar circumstances and to similar customers.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2" w:name="page63"/>
    <w:bookmarkEnd w:id="62"/>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Recognize revenue as the performance obligations are satisfied</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Revenue is recognized when, or as, performance obligations are satisfied by transferring control of a promised product or service to a customer.</w:t>
      </w:r>
    </w:p>
    <w:p>
      <w:pPr>
        <w:spacing w:after="0" w:line="2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Significant Judgments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 into contracts that may include various combinations of equipment, services and construction, which are generally capable of being distinct and accounted for as separate performance obligations. Contracts with customers often include promises to transfer multiple products and services to a customer. Determining whether products and services are considered distinct performance obligations that should be accounted for separately versus together may require significant judgment. Once we determine the performance obligations, it determines the transaction price, which includes estimating the amount of variable consideration to be included in the transaction price, if any. We then allocate the transaction price to each performance obligation in the contract based on the SSP. The corresponding revenue is recognized as the related performance obligations are satisfied.</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Judgment is required to determine the SSP for each distinct performance obligation. We determine SSP based on the price at which the performance obligation is sold separately and the methods of estimating SSP under the guidance of Accounting Standards Codification (“ASC”) 606-10-32-33. If the SSP is not observable through past transactions, we estimate the SSP, taking into account available information such as market conditions, expected margins, and internally approved pricing guidelines related to the performance obligations. We license our software as a SaaS type subscription license, whereby the customer only has a right to access the software over a specified time period. The full value of the contract is recognized ratably over the contractual term of the SaaS subscription, adjusted monthly if tiered pricing is relevant. We typically satisfy our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19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utilize the cost-plus margin method to determine the SSP for equipment and build-out services. This method is based on the cost of the services from third parties, plus a reasonable markup that we believe is reflective of a market-based reseller margin.</w:t>
      </w:r>
    </w:p>
    <w:p>
      <w:pPr>
        <w:spacing w:after="0" w:line="16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determine the SSP for services in time and materials contracts by observable prices in standalone services arrangements.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estimate 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If a contract has payment terms that differ from the timing of revenue recognition, we will assess whether the transaction price for those contracts include a significant financing component. We have elected the practical expedient that permits an entity to not adjust for the effects of a significant financing component if we expect that at the contract inception, the period between when the entity transfers a promised good or service to a customer and when the customer pays for that good or service, will be one year or less. For those contracts in which the period exceeds the one-year threshold, this assessment, as well as the quantitative estimate of the financing component and its relative significance, requires judgment. Accordingly, we impute interest on such contracts at an agreed upon interest rate and will present the financing components separately as financial income. For the three months ended June 30, 2023 and 2022, we did not have any such financial income.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3" w:name="page64"/>
    <w:bookmarkEnd w:id="63"/>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Payment terms with customers typically require payment 30 days from invoice date. Our agreements with customers do not provide for any refunds for services or products and therefore no specific reserve for such is maintained. In the infrequent instances where customers raise a concern over delivered products or services, we have endeavored to remedy the concern and all costs related to such matters have been insignificant in all periods presented.</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elected to treat shipping and handling activities after the customer obtains control of the goods as a fulfillment cost and not as a promised good or service. Accordingly, we will accrue all fulfillment costs related to the shipping and handling of consumer goods at the time of shipment. We have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receive payment from customers based on specified terms that are 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obligations under a contract with a customer by transferring products and services in exchange for consideration from the customer. Accounts receivables are recorded when the customer has been billed or the right to consideration is unconditional. We recognize deferred revenue when consideration has been received or an amount of consideration is due from the customer, and we have a future obligation to transfer certain proprietary products.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accordance with ASC 606-10-50-13, we are required to include disclosure on its remaining performance obligations as of the end of the current reporting period. Due to the nature of our contracts, these reporting requirements are not applicable. The majority of our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generally provide a one-year warranty on our products for materials and workmanship but may provide multiple year warranties as negotiated, and will pass on the warranties from its vendors, if any, which generally covers this one-year period. In accordance with ASC 450-20-25, we accrue for product warranties when the loss is probable and can be reasonably estimated. The reserve for warranty returns is included in accrued expenses and other current liabilities in our consolidated balance sheets.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Business Combinations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allocated the purchase price of acquired companies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18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4" w:name="page65"/>
    <w:bookmarkEnd w:id="64"/>
    <w:p>
      <w:pPr>
        <w:ind w:left="340"/>
        <w:spacing w:after="0"/>
        <w:rPr>
          <w:sz w:val="20"/>
          <w:szCs w:val="20"/>
          <w:color w:val="auto"/>
        </w:rPr>
      </w:pPr>
      <w:r>
        <w:rPr>
          <w:rFonts w:ascii="Times New Roman" w:cs="Times New Roman" w:eastAsia="Times New Roman" w:hAnsi="Times New Roman"/>
          <w:sz w:val="18"/>
          <w:szCs w:val="18"/>
          <w:color w:val="auto"/>
        </w:rPr>
        <w:t>Examples of critical estimates in valuing certain of the intangible assets we have acquired or may acquire in the future include but are not limited to:</w:t>
      </w:r>
    </w:p>
    <w:p>
      <w:pPr>
        <w:spacing w:after="0" w:line="225" w:lineRule="exact"/>
        <w:rPr>
          <w:sz w:val="20"/>
          <w:szCs w:val="20"/>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expected cash flows from software license sales, support agreements, consulting contracts, other customer contracts, and acquired developed technologies;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costs to develop in-process research and development into commercially viable products and estimated cash flows from the projects when completed;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acquired company’s brand and competitive position, as well as assumptions about the period of time the acquired brand will continue to be used in the combined company’s product portfolio;</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 of capital and discount rates;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estimating the useful lives of acquired assets as well as the pattern or manner in which the assets will amortize.</w:t>
      </w:r>
    </w:p>
    <w:p>
      <w:pPr>
        <w:spacing w:after="0" w:line="225" w:lineRule="exact"/>
        <w:rPr>
          <w:sz w:val="20"/>
          <w:szCs w:val="20"/>
          <w:color w:val="auto"/>
        </w:rPr>
      </w:pPr>
    </w:p>
    <w:p>
      <w:pPr>
        <w:jc w:val="both"/>
        <w:ind w:right="20" w:firstLine="324"/>
        <w:spacing w:after="0" w:line="261" w:lineRule="auto"/>
        <w:rPr>
          <w:sz w:val="20"/>
          <w:szCs w:val="20"/>
          <w:color w:val="auto"/>
        </w:rPr>
      </w:pPr>
      <w:r>
        <w:rPr>
          <w:rFonts w:ascii="Times New Roman" w:cs="Times New Roman" w:eastAsia="Times New Roman" w:hAnsi="Times New Roman"/>
          <w:sz w:val="18"/>
          <w:szCs w:val="18"/>
          <w:color w:val="auto"/>
        </w:rPr>
        <w:t>The fair value estimates related to the various identified intangible assets were determined under various valuation approaches including the Income Approach, Relief-from-Royalty Method, and Discounted Cash Flow Method. These valuation methods require management to project revenues, operating expenses, working capital investment, capital spending and cash flows for the reporting unit over a multiyear period, as well as determine the weighted-average cost of capital to be used as a discount rate.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Intangible Assets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Amortization of acquired intangible assets is the result of the acquisition of TriGrow, which occurred in 2020, the acquisition of Sinclair which occurred in 2021, the acquisition of PurePressure, which also occurred in 2021, and the acquisition of Lab Society, which occurred in 2022. As a result of these transactions, customer relationships, acquired developed technology, non-compete agreements and trade names were identified as intangible assets, and are amortized over their estimated useful lives.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recognize the excess of the purchase price over the fair value of identifiable net assets acquired as goodwill. Goodwill is not amortized but is tested for impairment annually on December 2 or more frequently if events or changes in circumstances indicate that the carrying amount of the goodwill may not be recoverable. The Company has determined it is a single reporting unit for the purpose of conducting the goodwill impairment assessment. A goodwill impairment charge is recorded if the amount by which the Company’s carrying value exceeds its fair value, not to exceed the carrying amount of goodwill. Factors that could lead to a future impairment include material uncertainties such as a significant reduction in projected revenues, a deterioration of projected financial performance, future acquisitions and/or mergers, and a decline in the Company’s market value as a result of a significant decline in the Company’s stock price.</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During the three-month period ended June 30, 2022, the Company identified a potential impairment triggering event associated with both a sustained decline in the Company’s stock price and associated market capitalization, as well as a second-quarter slowdown in the cannabis industry as a whole. Due to these factors, the Company deemed that there may be an impairment to the carrying value of its long-lived assets and accordingly performed interim testing to determine the proper fair value of its long-lived assets as of June 30, 2022. Based on its interim testing, the Company noted that the entire carrying value of its goodwill and intangible assets should be impaired. Additional information regarding the Company’s interim testing on goodwill and intangible assets may be found in Note 8 – Intangible Assets, Net and Goodwill, included elsewhere in the notes to the condensed consolidated financial statements. During the three and six months ended June 30, 2023, no impairment charges were recorded.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Capitalization of Internal Software Development Costs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capitalize certain software engineering efforts related to the continued development of Agrify Insights software under ASC 985-20. Costs incurred during the application development phase are only capitalized once technical feasibility has been established and the work performed will result in new or additional functionality. The types of costs capitalized during the application development phase include employee compensation, as well as consulting fees for third-party software developers working on these projects. Costs related to the research and development are expensed as incurred until technical feasibility is established as well as post-implementation activities. Internal-use software is amortized on a straight-line basis over the estimated useful life of the asset, which ranges from two to five years.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180"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9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Stock-Based Compensation</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6" w:name="page67"/>
    <w:bookmarkEnd w:id="66"/>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our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18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It is important that the discussion of our operating results that follows be read in conjunction with the critical accounting policies disclosed above.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and Six Months Ended June 30, 2023 and 2022</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our results of operations for the three and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80" w:type="dxa"/>
            <w:vAlign w:val="bottom"/>
            <w:gridSpan w:val="5"/>
          </w:tcPr>
          <w:p>
            <w:pPr>
              <w:jc w:val="right"/>
              <w:ind w:right="62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40" w:type="dxa"/>
            <w:vAlign w:val="bottom"/>
          </w:tcPr>
          <w:p>
            <w:pPr>
              <w:spacing w:after="0"/>
              <w:rPr>
                <w:sz w:val="18"/>
                <w:szCs w:val="18"/>
                <w:color w:val="auto"/>
              </w:rPr>
            </w:pPr>
          </w:p>
        </w:tc>
        <w:tc>
          <w:tcPr>
            <w:tcW w:w="2300" w:type="dxa"/>
            <w:vAlign w:val="bottom"/>
            <w:gridSpan w:val="5"/>
          </w:tcPr>
          <w:p>
            <w:pPr>
              <w:jc w:val="right"/>
              <w:ind w:right="561"/>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59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4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9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5980" w:type="dxa"/>
            <w:vAlign w:val="bottom"/>
            <w:shd w:val="clear" w:color="auto" w:fill="CCEEFF"/>
          </w:tcPr>
          <w:p>
            <w:pPr>
              <w:spacing w:after="0" w:line="184" w:lineRule="exact"/>
              <w:rPr>
                <w:sz w:val="20"/>
                <w:szCs w:val="20"/>
                <w:color w:val="auto"/>
              </w:rPr>
            </w:pPr>
            <w:r>
              <w:rPr>
                <w:rFonts w:ascii="Times New Roman" w:cs="Times New Roman" w:eastAsia="Times New Roman" w:hAnsi="Times New Roman"/>
                <w:sz w:val="18"/>
                <w:szCs w:val="18"/>
                <w:color w:val="auto"/>
              </w:rPr>
              <w:t>Revenue (including $0, $1,129, $46, and $1,763 from related parties,</w:t>
            </w: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5,066</w:t>
            </w:r>
          </w:p>
        </w:tc>
        <w:tc>
          <w:tcPr>
            <w:tcW w:w="280" w:type="dxa"/>
            <w:vAlign w:val="bottom"/>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19,329</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10,870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45,350</w:t>
            </w: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4,466</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17,717</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9,282</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39,568</w:t>
            </w:r>
          </w:p>
        </w:tc>
        <w:tc>
          <w:tcPr>
            <w:tcW w:w="0" w:type="dxa"/>
            <w:vAlign w:val="bottom"/>
          </w:tcPr>
          <w:p>
            <w:pPr>
              <w:spacing w:after="0"/>
              <w:rPr>
                <w:sz w:val="1"/>
                <w:szCs w:val="1"/>
                <w:color w:val="auto"/>
              </w:rPr>
            </w:pPr>
          </w:p>
        </w:tc>
      </w:tr>
      <w:tr>
        <w:trPr>
          <w:trHeight w:val="223"/>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4,819</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19,378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11,750</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29,137</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2,332</w:t>
            </w:r>
          </w:p>
        </w:tc>
        <w:tc>
          <w:tcPr>
            <w:tcW w:w="240" w:type="dxa"/>
            <w:vAlign w:val="bottom"/>
          </w:tcPr>
          <w:p>
            <w:pPr>
              <w:spacing w:after="0"/>
              <w:rPr>
                <w:sz w:val="18"/>
                <w:szCs w:val="18"/>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2,710</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4,422</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643</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2,438</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1,378</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4,522</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Change in contingent consideration</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(638)</w:t>
            </w:r>
          </w:p>
        </w:tc>
        <w:tc>
          <w:tcPr>
            <w:tcW w:w="280" w:type="dxa"/>
            <w:vAlign w:val="bottom"/>
          </w:tcPr>
          <w:p>
            <w:pPr>
              <w:spacing w:after="0"/>
              <w:rPr>
                <w:sz w:val="18"/>
                <w:szCs w:val="18"/>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(907)</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(1,322)</w:t>
            </w:r>
          </w:p>
        </w:tc>
        <w:tc>
          <w:tcPr>
            <w:tcW w:w="30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w:t>
            </w:r>
          </w:p>
        </w:tc>
        <w:tc>
          <w:tcPr>
            <w:tcW w:w="0" w:type="dxa"/>
            <w:vAlign w:val="bottom"/>
          </w:tcPr>
          <w:p>
            <w:pPr>
              <w:spacing w:after="0"/>
              <w:rPr>
                <w:sz w:val="1"/>
                <w:szCs w:val="1"/>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Impairment of goodwill and intangible assets</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69,904</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69,904</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5,944</w:t>
            </w:r>
          </w:p>
        </w:tc>
        <w:tc>
          <w:tcPr>
            <w:tcW w:w="260" w:type="dxa"/>
            <w:vAlign w:val="bottom"/>
            <w:tcBorders>
              <w:top w:val="single" w:sz="8" w:color="CCEEFF"/>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93,145</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14,516</w:t>
            </w:r>
          </w:p>
        </w:tc>
        <w:tc>
          <w:tcPr>
            <w:tcW w:w="220" w:type="dxa"/>
            <w:vAlign w:val="bottom"/>
            <w:tcBorders>
              <w:top w:val="single" w:sz="8" w:color="CCEEFF"/>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107,078</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2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(91,533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(12,928</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(101,296</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59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(400)</w:t>
            </w: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(3,311)</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(1,199)</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(2,752)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(1,048)</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20,181</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1,624</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30,966</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Gain (loss) on extinguishment of notes payable</w:t>
            </w:r>
          </w:p>
        </w:tc>
        <w:tc>
          <w:tcPr>
            <w:tcW w:w="240" w:type="dxa"/>
            <w:vAlign w:val="bottom"/>
          </w:tcPr>
          <w:p>
            <w:pPr>
              <w:spacing w:after="0"/>
              <w:rPr>
                <w:sz w:val="18"/>
                <w:szCs w:val="18"/>
                <w:color w:val="auto"/>
              </w:rPr>
            </w:pPr>
          </w:p>
        </w:tc>
        <w:tc>
          <w:tcPr>
            <w:tcW w:w="114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8"/>
                <w:szCs w:val="18"/>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08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(4,631)</w:t>
            </w:r>
          </w:p>
        </w:tc>
        <w:tc>
          <w:tcPr>
            <w:tcW w:w="3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net</w:t>
            </w:r>
          </w:p>
        </w:tc>
        <w:tc>
          <w:tcPr>
            <w:tcW w:w="24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Other (expense) income, net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(1,463</w:t>
            </w:r>
          </w:p>
        </w:tc>
        <w:tc>
          <w:tcPr>
            <w:tcW w:w="260" w:type="dxa"/>
            <w:vAlign w:val="bottom"/>
            <w:tcBorders>
              <w:top w:val="single" w:sz="8" w:color="CCEEFF"/>
              <w:bottom w:val="single" w:sz="8" w:color="CCEEFF"/>
            </w:tcBorders>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16,870</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(4,206</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28,214</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before income taxes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(74,663)</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06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62</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262</w:t>
            </w:r>
          </w:p>
        </w:tc>
        <w:tc>
          <w:tcPr>
            <w:tcW w:w="0" w:type="dxa"/>
            <w:vAlign w:val="bottom"/>
          </w:tcPr>
          <w:p>
            <w:pPr>
              <w:spacing w:after="0"/>
              <w:rPr>
                <w:sz w:val="1"/>
                <w:szCs w:val="1"/>
                <w:color w:val="auto"/>
              </w:rPr>
            </w:pPr>
          </w:p>
        </w:tc>
      </w:tr>
      <w:tr>
        <w:trPr>
          <w:trHeight w:val="216"/>
        </w:trPr>
        <w:tc>
          <w:tcPr>
            <w:tcW w:w="59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(6,807)</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(74,601)</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(17,134)</w:t>
            </w: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interests</w:t>
            </w:r>
          </w:p>
        </w:tc>
        <w:tc>
          <w:tcPr>
            <w:tcW w:w="240" w:type="dxa"/>
            <w:vAlign w:val="bottom"/>
          </w:tcPr>
          <w:p>
            <w:pPr>
              <w:spacing w:after="0"/>
              <w:rPr>
                <w:sz w:val="20"/>
                <w:szCs w:val="20"/>
                <w:color w:val="auto"/>
              </w:rPr>
            </w:pPr>
          </w:p>
        </w:tc>
        <w:tc>
          <w:tcPr>
            <w:tcW w:w="114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tcPr>
          <w:p>
            <w:pPr>
              <w:spacing w:after="0"/>
              <w:rPr>
                <w:sz w:val="20"/>
                <w:szCs w:val="20"/>
                <w:color w:val="auto"/>
              </w:rPr>
            </w:pPr>
          </w:p>
        </w:tc>
        <w:tc>
          <w:tcPr>
            <w:tcW w:w="10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tcPr>
          <w:p>
            <w:pPr>
              <w:spacing w:after="0"/>
              <w:rPr>
                <w:sz w:val="20"/>
                <w:szCs w:val="20"/>
                <w:color w:val="auto"/>
              </w:rPr>
            </w:pPr>
          </w:p>
        </w:tc>
        <w:tc>
          <w:tcPr>
            <w:tcW w:w="10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50"/>
        </w:trPr>
        <w:tc>
          <w:tcPr>
            <w:tcW w:w="598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loss attributable to Agrify Corporation</w:t>
            </w: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260" w:type="dxa"/>
            <w:vAlign w:val="bottom"/>
            <w:tcBorders>
              <w:top w:val="single" w:sz="8" w:color="CCEEFF"/>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280" w:type="dxa"/>
            <w:vAlign w:val="bottom"/>
            <w:tcBorders>
              <w:top w:val="single" w:sz="8" w:color="auto"/>
              <w:bottom w:val="single" w:sz="8" w:color="auto"/>
            </w:tcBorders>
            <w:shd w:val="clear" w:color="auto" w:fill="CCEEFF"/>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(74,604</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(17,132</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(72,824</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loss per share attributable to Common Stockholders – basic and diluted</w:t>
            </w:r>
          </w:p>
        </w:tc>
        <w:tc>
          <w:tcPr>
            <w:tcW w:w="24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5980" w:type="dxa"/>
            <w:vAlign w:val="bottom"/>
            <w:tcBorders>
              <w:bottom w:val="single" w:sz="8" w:color="CCEEFF"/>
            </w:tcBorders>
            <w:vMerge w:val="continue"/>
          </w:tcPr>
          <w:p>
            <w:pPr>
              <w:spacing w:after="0"/>
              <w:rPr>
                <w:sz w:val="22"/>
                <w:szCs w:val="22"/>
                <w:color w:val="auto"/>
              </w:rPr>
            </w:pPr>
          </w:p>
        </w:tc>
        <w:tc>
          <w:tcPr>
            <w:tcW w:w="240" w:type="dxa"/>
            <w:vAlign w:val="bottom"/>
            <w:tcBorders>
              <w:top w:val="single" w:sz="8" w:color="auto"/>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(561.31)</w:t>
            </w:r>
          </w:p>
        </w:tc>
        <w:tc>
          <w:tcPr>
            <w:tcW w:w="22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(569.13)</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5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Weighted average common shares outstanding - basic and diluted </w:t>
            </w:r>
            <w:r>
              <w:rPr>
                <w:rFonts w:ascii="Times New Roman" w:cs="Times New Roman" w:eastAsia="Times New Roman" w:hAnsi="Times New Roman"/>
                <w:sz w:val="29"/>
                <w:szCs w:val="29"/>
                <w:color w:val="auto"/>
                <w:vertAlign w:val="superscript"/>
              </w:rPr>
              <w:t>(1)</w:t>
            </w:r>
          </w:p>
        </w:tc>
        <w:tc>
          <w:tcPr>
            <w:tcW w:w="24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1,549,669</w:t>
            </w:r>
          </w:p>
        </w:tc>
        <w:tc>
          <w:tcPr>
            <w:tcW w:w="28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132,911</w:t>
            </w:r>
          </w:p>
        </w:tc>
        <w:tc>
          <w:tcPr>
            <w:tcW w:w="24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1,312,299</w:t>
            </w:r>
          </w:p>
        </w:tc>
        <w:tc>
          <w:tcPr>
            <w:tcW w:w="30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127,956</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340" w:hanging="332"/>
        <w:spacing w:after="0" w:line="266"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Periods presented have been adjusted to reflect the 1-for-20 reverse stock split on July 5, 2023. Additional information regarding reverse stock splits may be found in Note 1 – Overview, Basis of Presentation, and Significant Accounting Policies, included in the notes to the consolidated financial statements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goal is to provide our customers with a variety of products to address their entire indoor agriculture needs. Our core product offering includes our Agrify Vertical Farming Units (or “VFUs”) and Agrify Integrated Grow Racks with our Agrify Insights software, which are supplemented with environmental control products, grow lights, facility build-out services and extraction equipment.</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generate revenue from sales of cultivation solutions, including ancillary products and services, Agrify Insights software, facility build-outs and extraction equipment and solutions. We believe that our product mix forms an integrated ecosystem which allows us to be engaged with our customers from early stages of the grow cycle — first during the facility build-out, to the choice of cultivation solutions, running the grow business with our Agrify Insights software and finally, our extraction, post-processing and testing services to transform harvest into a sellable product. We believe that delivery of each solution in the various stages in the process will generate sales of additional solutions and services.</w:t>
      </w:r>
    </w:p>
    <w:p>
      <w:pPr>
        <w:spacing w:after="0" w:line="18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revenue for the three and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9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198"/>
        </w:trPr>
        <w:tc>
          <w:tcPr>
            <w:tcW w:w="3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Cultivation solutions, including ancillary</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34"/>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326</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w:t>
            </w:r>
          </w:p>
        </w:tc>
        <w:tc>
          <w:tcPr>
            <w:tcW w:w="11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(208)</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Agrify Insights software</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(9)</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9,006</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(8,751)</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22,217</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(21,335)</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r>
      <w:tr>
        <w:trPr>
          <w:trHeight w:val="223"/>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00" w:type="dxa"/>
            <w:vAlign w:val="bottom"/>
          </w:tcPr>
          <w:p>
            <w:pPr>
              <w:spacing w:after="0"/>
              <w:rPr>
                <w:sz w:val="19"/>
                <w:szCs w:val="19"/>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4,450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9,958</w:t>
            </w:r>
          </w:p>
        </w:tc>
        <w:tc>
          <w:tcPr>
            <w:tcW w:w="8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(5,508)</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c>
          <w:tcPr>
            <w:tcW w:w="1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9,428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22,385</w:t>
            </w:r>
          </w:p>
        </w:tc>
        <w:tc>
          <w:tcPr>
            <w:tcW w:w="100" w:type="dxa"/>
            <w:vAlign w:val="bottom"/>
          </w:tcPr>
          <w:p>
            <w:pPr>
              <w:spacing w:after="0"/>
              <w:rPr>
                <w:sz w:val="19"/>
                <w:szCs w:val="19"/>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(12,957)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23"/>
        </w:trPr>
        <w:tc>
          <w:tcPr>
            <w:tcW w:w="3240" w:type="dxa"/>
            <w:vAlign w:val="bottom"/>
            <w:tcBorders>
              <w:top w:val="single" w:sz="8" w:color="CCEEFF"/>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(14,263</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32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45,350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(34,480</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w:t>
            </w:r>
          </w:p>
        </w:tc>
      </w:tr>
      <w:tr>
        <w:trPr>
          <w:trHeight w:val="21"/>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Revenues decreased by $14.3 million, or 74% for the three months ended June 30, 2023 compared to the same period in 2022. Revenues decreased by $34.5 million, or 76%, for the six months ended June 30, 2023 compared to the same period in 2022. The comparative decreases in revenue were generated primarily from decreases in revenue from facility build-outs and extraction solutions. Design and build revenues decreased by $8.8 million and $21.3 million for the three and six months ended June 30, 2023, respectively, due to reduced build-out of facilities under our TTK Solutions. Additionally, extraction division revenues decreased by $5.5 million and $13.0 million for the three and six months ended June 30, 2023,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Cost of goods sold represents a combination of the following: construction-related costs associated with our facility build-outs, internal and outsourced labor and material costs associated with the assembly of both cultivation equipment (primarily VFUs) and extraction equipment, as well as labor and parts costs associated with the sale or provision of other products and services.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69" w:name="page70"/>
    <w:bookmarkEnd w:id="69"/>
    <w:p>
      <w:pPr>
        <w:ind w:left="340"/>
        <w:spacing w:after="0"/>
        <w:rPr>
          <w:sz w:val="20"/>
          <w:szCs w:val="20"/>
          <w:color w:val="auto"/>
        </w:rPr>
      </w:pPr>
      <w:r>
        <w:rPr>
          <w:rFonts w:ascii="Times New Roman" w:cs="Times New Roman" w:eastAsia="Times New Roman" w:hAnsi="Times New Roman"/>
          <w:sz w:val="18"/>
          <w:szCs w:val="18"/>
          <w:color w:val="auto"/>
        </w:rPr>
        <w:t>The following table provides a breakdown of our cost of goods sold for the three and six months ended June 30, 2023 and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98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8"/>
        </w:trPr>
        <w:tc>
          <w:tcPr>
            <w:tcW w:w="3140" w:type="dxa"/>
            <w:vAlign w:val="bottom"/>
            <w:tcBorders>
              <w:top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Cultivation solutions, including ancillary</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4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 and services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(845)</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(717)</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Facility build-outs</w:t>
            </w: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8,712</w:t>
            </w:r>
          </w:p>
        </w:tc>
        <w:tc>
          <w:tcPr>
            <w:tcW w:w="8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(8,464)</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968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21,788</w:t>
            </w: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(20,820)</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0" w:type="dxa"/>
            <w:vAlign w:val="bottom"/>
          </w:tcPr>
          <w:p>
            <w:pPr>
              <w:spacing w:after="0"/>
              <w:rPr>
                <w:sz w:val="1"/>
                <w:szCs w:val="1"/>
                <w:color w:val="auto"/>
              </w:rPr>
            </w:pPr>
          </w:p>
        </w:tc>
      </w:tr>
      <w:tr>
        <w:trPr>
          <w:trHeight w:val="229"/>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Extraction solutions</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3,728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7,670</w:t>
            </w:r>
          </w:p>
        </w:tc>
        <w:tc>
          <w:tcPr>
            <w:tcW w:w="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(3,942)</w:t>
            </w:r>
          </w:p>
        </w:tc>
        <w:tc>
          <w:tcPr>
            <w:tcW w:w="11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16,040</w:t>
            </w: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(8,749)</w:t>
            </w:r>
          </w:p>
        </w:tc>
        <w:tc>
          <w:tcPr>
            <w:tcW w:w="9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gridSpan w:val="2"/>
            <w:vMerge w:val="restart"/>
          </w:tcPr>
          <w:p>
            <w:pPr>
              <w:ind w:left="180"/>
              <w:spacing w:after="0"/>
              <w:rPr>
                <w:sz w:val="20"/>
                <w:szCs w:val="20"/>
                <w:color w:val="auto"/>
              </w:rPr>
            </w:pPr>
            <w:r>
              <w:rPr>
                <w:rFonts w:ascii="Times New Roman" w:cs="Times New Roman" w:eastAsia="Times New Roman" w:hAnsi="Times New Roman"/>
                <w:sz w:val="18"/>
                <w:szCs w:val="18"/>
                <w:color w:val="auto"/>
              </w:rPr>
              <w:t>Total cost of goods sold</w:t>
            </w: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CEEFF"/>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95"/>
              </w:rPr>
              <w:t>)%</w:t>
            </w:r>
          </w:p>
        </w:tc>
        <w:tc>
          <w:tcPr>
            <w:tcW w:w="0" w:type="dxa"/>
            <w:vAlign w:val="bottom"/>
          </w:tcPr>
          <w:p>
            <w:pPr>
              <w:spacing w:after="0" w:line="20" w:lineRule="exact"/>
              <w:rPr>
                <w:sz w:val="1"/>
                <w:szCs w:val="1"/>
                <w:color w:val="auto"/>
              </w:rPr>
            </w:pPr>
          </w:p>
        </w:tc>
      </w:tr>
      <w:tr>
        <w:trPr>
          <w:trHeight w:val="237"/>
        </w:trPr>
        <w:tc>
          <w:tcPr>
            <w:tcW w:w="3240" w:type="dxa"/>
            <w:vAlign w:val="bottom"/>
            <w:gridSpan w:val="2"/>
            <w:vMerge w:val="continue"/>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4,466</w:t>
            </w:r>
          </w:p>
        </w:tc>
        <w:tc>
          <w:tcPr>
            <w:tcW w:w="10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17,717</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(13,251</w:t>
            </w:r>
          </w:p>
        </w:tc>
        <w:tc>
          <w:tcPr>
            <w:tcW w:w="220" w:type="dxa"/>
            <w:vAlign w:val="bottom"/>
            <w:vMerge w:val="continue"/>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vMerge w:val="continue"/>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9,282</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39,568</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(30,286</w:t>
            </w:r>
          </w:p>
        </w:tc>
        <w:tc>
          <w:tcPr>
            <w:tcW w:w="220" w:type="dxa"/>
            <w:vAlign w:val="bottom"/>
            <w:vMerge w:val="continue"/>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3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Cost of goods sold decreased by $13.3 million, or 75%, for the three months ended June 30, 2023 compared to the same period in 2022. Cost of goods sold decreased by $30.3 million, or 77%, for the six months ended June 30, 2023 compared to the same period in 2022. The comparative decreases in cost of goods sold is associated with the decreased amount of subcontractor construction costs related to facility build-outs, internal and outsourced labor and materials costs for the extraction solutions sales and cultivation solutions, including ancillary products and services.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(Loss)</w:t>
            </w: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(1,012)</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5,782</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(4,194)</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Gross profit totaled $600 thousand, or 11.8% of total revenue during the three months ended June 30, 2023 compared to $1.6 million, or 8.3% of total revenue during the three months ended June 30, 2022. Gross profit totaled $1.6 million, or 14.6%, of total revenue during the six months ended June 30, 2023 compared to a gross profit of $5.8 million, or 12.7%, of total revenue during the six months ended June 30, 2022.</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4"/>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980" w:type="dxa"/>
            <w:vAlign w:val="bottom"/>
            <w:tcBorders>
              <w:top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0" w:type="dxa"/>
            <w:vAlign w:val="bottom"/>
            <w:tcBorders>
              <w:top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4,819</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19,378</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  (14,559)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11,750</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29,137</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(17,387)</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 and administrative (“G&amp;A”) expenses consist principally of salaries and related costs for personnel, including stock-based compensation and travel expenses, associated with executive and other administrative functions. Other G&amp;A expenses include, but are not limited to, professional fees for legal, consulting, depreciation and amortization and accounting services, as well as facility-related costs.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G&amp;A expense decreased by $14.6 million, or 75%, for the three months ended June 30, 2023, compared to the same period in 2022. G&amp;A expense decreased by $17.4 million, or 60%, for the six months ended June 30, 2023, compared to the same period in 2022. The decrease is largely attributable to payroll, benefits and related expenses decreases of $2.1 million, a decrease in acquisition-related expenses of $1.3 million, a decrease in bad debt expense of $9.0 million, a decrease in consulting and other related expenses of $0.7 million, a decrease in stock based compensation of $0.9 million, a decrease in insurance expenses of $0.2 million, and a decrease in depreciation and amortization of $0.7 million.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7"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and Marketing</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0"/>
        </w:trPr>
        <w:tc>
          <w:tcPr>
            <w:tcW w:w="3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gridSpan w:val="5"/>
          </w:tcPr>
          <w:p>
            <w:pPr>
              <w:ind w:left="6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80" w:type="dxa"/>
            <w:vAlign w:val="bottom"/>
            <w:gridSpan w:val="5"/>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5"/>
          </w:tcPr>
          <w:p>
            <w:pPr>
              <w:ind w:left="42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1"/>
                <w:szCs w:val="21"/>
                <w:color w:val="auto"/>
              </w:rPr>
            </w:pPr>
          </w:p>
        </w:tc>
      </w:tr>
      <w:tr>
        <w:trPr>
          <w:trHeight w:val="237"/>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7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r>
      <w:tr>
        <w:trPr>
          <w:trHeight w:val="216"/>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1,120</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(1,318)</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4,422</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(1,712)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Selling and marketing expenses consist primarily of salaries and related costs of personnel, travel expenses, trade shows and advertising expenses.</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Selling and marketing expenses decreased by $1.3 million, or 54%, for the three months ended June 30, 2023, compared to the same period in 2022. Selling and marketing expenses decreased by $1.7 million, or 39%, for the six months ended June 30, 2023, compared to the same period in 2022.The decreases are largely attributable to reduced payroll, advertising and trade show expenses.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tc>
        <w:tc>
          <w:tcPr>
            <w:tcW w:w="100" w:type="dxa"/>
            <w:vAlign w:val="bottom"/>
          </w:tcPr>
          <w:p>
            <w:pPr>
              <w:spacing w:after="0"/>
              <w:rPr>
                <w:sz w:val="20"/>
                <w:szCs w:val="20"/>
                <w:color w:val="auto"/>
              </w:rPr>
            </w:pPr>
          </w:p>
        </w:tc>
        <w:tc>
          <w:tcPr>
            <w:tcW w:w="1880" w:type="dxa"/>
            <w:vAlign w:val="bottom"/>
            <w:gridSpan w:val="5"/>
            <w:vMerge w:val="restart"/>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2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80" w:type="dxa"/>
            <w:vAlign w:val="bottom"/>
            <w:gridSpan w:val="5"/>
            <w:vMerge w:val="continue"/>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gridSpan w:val="5"/>
            <w:vMerge w:val="continue"/>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vMerge w:val="continue"/>
          </w:tcPr>
          <w:p>
            <w:pPr>
              <w:spacing w:after="0"/>
              <w:rPr>
                <w:sz w:val="21"/>
                <w:szCs w:val="21"/>
                <w:color w:val="auto"/>
              </w:rPr>
            </w:pP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5"/>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vMerge w:val="continue"/>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100" w:type="dxa"/>
            <w:vAlign w:val="bottom"/>
            <w:gridSpan w:val="2"/>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4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20"/>
                <w:szCs w:val="20"/>
                <w:color w:val="auto"/>
              </w:rPr>
            </w:pPr>
          </w:p>
        </w:tc>
        <w:tc>
          <w:tcPr>
            <w:tcW w:w="10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98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216"/>
        </w:trPr>
        <w:tc>
          <w:tcPr>
            <w:tcW w:w="3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(1,689)</w:t>
            </w:r>
          </w:p>
        </w:tc>
        <w:tc>
          <w:tcPr>
            <w:tcW w:w="2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4,522</w:t>
            </w:r>
          </w:p>
        </w:tc>
        <w:tc>
          <w:tcPr>
            <w:tcW w:w="2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(3,144)</w:t>
            </w:r>
          </w:p>
        </w:tc>
        <w:tc>
          <w:tcPr>
            <w:tcW w:w="2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Research and development (“R&amp;D”) expenses consisted primarily of costs incurred for the development of our Agrify Insights software and next generation VFUs, which include:</w:t>
      </w:r>
    </w:p>
    <w:p>
      <w:pPr>
        <w:spacing w:after="0" w:line="16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employee-related expenses, including salaries, benefits, and travel;</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the subcontractor under agreements to provide engineering work related to the development of our next generation VFUs: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our facilities, depreciation, and other expenses, which include direct and allocated expenses for rent and maintenance of facilities, insurance and other supplies.</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R&amp;D expense decreased by $1.7 million, or 72%, for the three months ended June 30, 2023, compared to the same period in 2022. R&amp;D expense decreased by $3.1 million, or 70%, for the six months ended June 30, 2023, compared to the same period in 2022. The decreases are largely attributable to the personnel and facility costs associated with the continued development of our VFUs, specifically related to improving the individual unit cooling and humidity environments.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 Net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expense, net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 in fair value of warrant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Loss on extinguishment of notes payable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other income,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Pr>
          <w:p>
            <w:pPr>
              <w:spacing w:after="0"/>
              <w:rPr>
                <w:sz w:val="18"/>
                <w:szCs w:val="18"/>
                <w:color w:val="auto"/>
              </w:rPr>
            </w:pPr>
          </w:p>
        </w:tc>
        <w:tc>
          <w:tcPr>
            <w:tcW w:w="1880" w:type="dxa"/>
            <w:vAlign w:val="bottom"/>
            <w:gridSpan w:val="6"/>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6"/>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00" w:type="dxa"/>
            <w:vAlign w:val="bottom"/>
          </w:tcPr>
          <w:p>
            <w:pPr>
              <w:spacing w:after="0"/>
              <w:rPr>
                <w:sz w:val="21"/>
                <w:szCs w:val="21"/>
                <w:color w:val="auto"/>
              </w:rPr>
            </w:pPr>
          </w:p>
        </w:tc>
        <w:tc>
          <w:tcPr>
            <w:tcW w:w="1880" w:type="dxa"/>
            <w:vAlign w:val="bottom"/>
            <w:gridSpan w:val="6"/>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20" w:type="dxa"/>
            <w:vAlign w:val="bottom"/>
            <w:gridSpan w:val="6"/>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10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b w:val="1"/>
                <w:bCs w:val="1"/>
                <w:color w:val="auto"/>
                <w:w w:val="94"/>
              </w:rPr>
              <w:t>Change</w:t>
            </w:r>
          </w:p>
        </w:tc>
        <w:tc>
          <w:tcPr>
            <w:tcW w:w="980" w:type="dxa"/>
            <w:vAlign w:val="bottom"/>
            <w:gridSpan w:val="4"/>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0" w:type="dxa"/>
            <w:vAlign w:val="bottom"/>
          </w:tcPr>
          <w:p>
            <w:pPr>
              <w:spacing w:after="0"/>
              <w:rPr>
                <w:sz w:val="1"/>
                <w:szCs w:val="1"/>
                <w:color w:val="auto"/>
              </w:rPr>
            </w:pPr>
          </w:p>
        </w:tc>
      </w:tr>
      <w:tr>
        <w:trPr>
          <w:trHeight w:val="198"/>
        </w:trPr>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(3,311)</w:t>
            </w:r>
          </w:p>
        </w:tc>
        <w:tc>
          <w:tcPr>
            <w:tcW w:w="22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2,911</w:t>
            </w:r>
          </w:p>
        </w:tc>
        <w:tc>
          <w:tcPr>
            <w:tcW w:w="220" w:type="dxa"/>
            <w:vAlign w:val="bottom"/>
          </w:tcPr>
          <w:p>
            <w:pPr>
              <w:spacing w:after="0"/>
              <w:rPr>
                <w:sz w:val="17"/>
                <w:szCs w:val="17"/>
                <w:color w:val="auto"/>
              </w:rPr>
            </w:pPr>
          </w:p>
        </w:tc>
        <w:tc>
          <w:tcPr>
            <w:tcW w:w="7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(88)</w:t>
            </w:r>
          </w:p>
        </w:tc>
        <w:tc>
          <w:tcPr>
            <w:tcW w:w="320" w:type="dxa"/>
            <w:vAlign w:val="bottom"/>
          </w:tcPr>
          <w:p>
            <w:pPr>
              <w:jc w:val="right"/>
              <w:ind w:right="3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(1,199)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(2,752)</w:t>
            </w:r>
          </w:p>
        </w:tc>
        <w:tc>
          <w:tcPr>
            <w:tcW w:w="200" w:type="dxa"/>
            <w:vAlign w:val="bottom"/>
          </w:tcPr>
          <w:p>
            <w:pPr>
              <w:spacing w:after="0"/>
              <w:rPr>
                <w:sz w:val="17"/>
                <w:szCs w:val="17"/>
                <w:color w:val="auto"/>
              </w:rPr>
            </w:pPr>
          </w:p>
        </w:tc>
        <w:tc>
          <w:tcPr>
            <w:tcW w:w="1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1,553</w:t>
            </w:r>
          </w:p>
        </w:tc>
        <w:tc>
          <w:tcPr>
            <w:tcW w:w="220" w:type="dxa"/>
            <w:vAlign w:val="bottom"/>
          </w:tcPr>
          <w:p>
            <w:pPr>
              <w:spacing w:after="0"/>
              <w:rPr>
                <w:sz w:val="17"/>
                <w:szCs w:val="17"/>
                <w:color w:val="auto"/>
              </w:rPr>
            </w:pPr>
          </w:p>
        </w:tc>
        <w:tc>
          <w:tcPr>
            <w:tcW w:w="7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(56)</w:t>
            </w:r>
          </w:p>
        </w:tc>
        <w:tc>
          <w:tcPr>
            <w:tcW w:w="220" w:type="dxa"/>
            <w:vAlign w:val="bottom"/>
            <w:gridSpan w:val="3"/>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(1,048)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20,181</w:t>
            </w:r>
          </w:p>
        </w:tc>
        <w:tc>
          <w:tcPr>
            <w:tcW w:w="8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(21,229)</w:t>
            </w:r>
          </w:p>
        </w:tc>
        <w:tc>
          <w:tcPr>
            <w:tcW w:w="1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tcPr>
          <w:p>
            <w:pPr>
              <w:spacing w:after="0"/>
              <w:rPr>
                <w:sz w:val="18"/>
                <w:szCs w:val="18"/>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1,624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30,966</w:t>
            </w: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(29,342)</w:t>
            </w:r>
          </w:p>
        </w:tc>
        <w:tc>
          <w:tcPr>
            <w:tcW w:w="9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18"/>
                <w:szCs w:val="18"/>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1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18"/>
                <w:szCs w:val="18"/>
                <w:color w:val="auto"/>
              </w:rPr>
            </w:pPr>
          </w:p>
        </w:tc>
        <w:tc>
          <w:tcPr>
            <w:tcW w:w="76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(4,631)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(4,631)</w:t>
            </w: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p>
        </w:tc>
        <w:tc>
          <w:tcPr>
            <w:tcW w:w="820" w:type="dxa"/>
            <w:vAlign w:val="bottom"/>
            <w:gridSpan w:val="2"/>
          </w:tcPr>
          <w:p>
            <w:pPr>
              <w:jc w:val="right"/>
              <w:ind w:right="1"/>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9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(4)</w:t>
            </w:r>
          </w:p>
        </w:tc>
        <w:tc>
          <w:tcPr>
            <w:tcW w:w="11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N/A</w:t>
            </w:r>
          </w:p>
        </w:tc>
        <w:tc>
          <w:tcPr>
            <w:tcW w:w="140" w:type="dxa"/>
            <w:vAlign w:val="bottom"/>
          </w:tcPr>
          <w:p>
            <w:pPr>
              <w:spacing w:after="0"/>
              <w:rPr>
                <w:sz w:val="20"/>
                <w:szCs w:val="20"/>
                <w:color w:val="auto"/>
              </w:rPr>
            </w:pPr>
          </w:p>
        </w:tc>
        <w:tc>
          <w:tcPr>
            <w:tcW w:w="76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shd w:val="clear" w:color="auto" w:fill="000000"/>
          </w:tcPr>
          <w:p>
            <w:pPr>
              <w:spacing w:after="0"/>
              <w:rPr>
                <w:sz w:val="2"/>
                <w:szCs w:val="2"/>
                <w:color w:val="auto"/>
              </w:rPr>
            </w:pPr>
          </w:p>
        </w:tc>
        <w:tc>
          <w:tcPr>
            <w:tcW w:w="32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5"/>
              </w:rPr>
              <w:t>)%</w:t>
            </w: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vMerge w:val="restart"/>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000000"/>
          </w:tcPr>
          <w:p>
            <w:pPr>
              <w:spacing w:after="0"/>
              <w:rPr>
                <w:sz w:val="2"/>
                <w:szCs w:val="2"/>
                <w:color w:val="auto"/>
              </w:rPr>
            </w:pPr>
          </w:p>
        </w:tc>
        <w:tc>
          <w:tcPr>
            <w:tcW w:w="2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line="20" w:lineRule="exact"/>
              <w:rPr>
                <w:sz w:val="1"/>
                <w:szCs w:val="1"/>
                <w:color w:val="auto"/>
              </w:rPr>
            </w:pPr>
          </w:p>
        </w:tc>
      </w:tr>
      <w:tr>
        <w:trPr>
          <w:trHeight w:val="250"/>
        </w:trPr>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(1,463</w:t>
            </w:r>
          </w:p>
        </w:tc>
        <w:tc>
          <w:tcPr>
            <w:tcW w:w="140" w:type="dxa"/>
            <w:vAlign w:val="bottom"/>
            <w:vMerge w:val="continue"/>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16,870</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(18,333</w:t>
            </w:r>
          </w:p>
        </w:tc>
        <w:tc>
          <w:tcPr>
            <w:tcW w:w="220" w:type="dxa"/>
            <w:vAlign w:val="bottom"/>
            <w:vMerge w:val="continue"/>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320" w:type="dxa"/>
            <w:vAlign w:val="bottom"/>
            <w:vMerge w:val="continue"/>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(4,206</w:t>
            </w:r>
          </w:p>
        </w:tc>
        <w:tc>
          <w:tcPr>
            <w:tcW w:w="140" w:type="dxa"/>
            <w:vAlign w:val="bottom"/>
            <w:vMerge w:val="continue"/>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28,214</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w:t>
            </w:r>
          </w:p>
        </w:tc>
        <w:tc>
          <w:tcPr>
            <w:tcW w:w="220" w:type="dxa"/>
            <w:vAlign w:val="bottom"/>
            <w:vMerge w:val="continue"/>
          </w:tcPr>
          <w:p>
            <w:pPr>
              <w:spacing w:after="0"/>
              <w:rPr>
                <w:sz w:val="21"/>
                <w:szCs w:val="21"/>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20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-2051685</wp:posOffset>
            </wp:positionH>
            <wp:positionV relativeFrom="paragraph">
              <wp:posOffset>-488315</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-205105</wp:posOffset>
            </wp:positionV>
            <wp:extent cx="7132320" cy="1797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-2051685</wp:posOffset>
            </wp:positionH>
            <wp:positionV relativeFrom="paragraph">
              <wp:posOffset>-779145</wp:posOffset>
            </wp:positionV>
            <wp:extent cx="7132320" cy="1543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2980" w:space="260"/>
            <w:col w:w="8000"/>
          </w:cols>
          <w:pgMar w:left="320" w:top="873" w:right="339" w:bottom="1440" w:gutter="0" w:footer="0" w:header="0"/>
        </w:sect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income (expense), net decreased by $2.9 million, or 88%, for the three months ended June 30, 2023, compared to the same period in 2022. Interest income (expense), net decreased by $1.6 million, or 56%, for the six months ended June 30, 2023, compared to the same period in 2022.The decrease in interest expense is attributable mainly to the decrease in principal balance of the debt payable to High Trail Special Situations LLC on which interest in accrued.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change in fair value of warrant liabilities decreased by $21.2 million, or 105% during the three months ended June 30, 2023, compared to the same period in 2022. The change in fair value of warrant liabilities decreased by $29.3 million, or 95% during the six months ended June 30, 2023, compared to the same period in 2022.The decrease is related to a significant decline in the fair value of warrant liabilities during the three and six months ended June 30, 2022 between the initial grant date fair value and the fair value as of June 30, 2022. This decline in fair value was driven by a significant decrease in stock price during that time, which is an input to the valuation calculation. Such a fluctuation in stock price did not exist in the same period in 2023 and therefore there was not a significant change in the fair value of warrant liabilities in the current period.</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loss on extinguishment of notes payable of $4.6 million incurred during the six months ended June 30, 2023 is driven by the modification of the notes payable to High Trail Special Situations LLC through the Securities Exchange Agreement that was entered into on March 8, 2023 which was deemed to be an extinguishment of debt under ASC 470.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As of June 30, 2023, our principal sources of liquidity were cash and cash equivalents totaling $308 thousand. Our current working capital needs are to support revenue growth, to fund construction and equipment financing commitments associated with our TTK Solutions,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we may be forced to cease operations.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Indebtedness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entered into one Loan Agreement and Promissory Note with Bank of America pursuant to the Paycheck Protection Program (the “PPP”) under the Coronavirus Aid, Relief, and Economic Security Act (“CARES Act”) administered by the U.S. Small Business Administration. We received total proceeds of approximately $779 thousand from the unsecured PPP Loan which was originally scheduled to mature in May 2022. We applied for forgiveness on the $779 thousand of our PPP Loan however was denied by the SBA. On June 23, 2022, we received a letter from Bank of America agreeing to extend the maturity date to May 7, 2025 and bears interest at a rate of 1.00% per year. The PPP loan is payable in 34 equal combined monthly principal and interest payments of approximately $24 thousand that commenced on August 7, 2022.</w:t>
      </w:r>
    </w:p>
    <w:p>
      <w:pPr>
        <w:spacing w:after="0" w:line="18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14, 2022, we entered into a Securities Purchase Agreement with an institutional investor. The Purchase Agreement provides for the issuance of the SPA Note in the aggregate amount of $65.0 million and a SPA Warrant to purchase up to an aggregate of 34,406 shares of Common Stock, with the potential for two potential subsequent closings for notes with an original principal amount of $35.0 million each.</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August 18, 2022, we entered into a Securities Exchange Agreement. Pursuant to the August 2022 Exchange Agreement, we partially paid $35.2 million along with approximately $300 thousand in repayments for other fees under the SPA Note and exchanged the remaining balance of the SPA Note for an Exchange Note with an aggregate original principal amount of $35.0 million and a Note Exchange Warrant to purchase 71,139 shares of Common Stock. Additionally, we exchanged the SPA Warrant for a Modified Warrant for the same number of underlying shares but with a reduced exercise price.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8, 2023, the Company entered into a new Securities Exchange Agreement. Pursuant to the March 2023 Exchange Agreement, we prepaid approximately $10.3 million in principal amount under the Exchange Note and exchanged $10.0 million in principal amount of the remaining balance of the Exchange Note for a new senior secured convertible note (the “Convertible Note”).</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Convertible Note is a senior secured obligation and will rank senior to all of our indebtedness. The Convertible Note will mature on August 19, 2025 (the “Maturity Date”) and has a 9.0% annualized interest rate, with interest to be paid monthly, in cash. The principal amount of the Convertible Note will be payable on the maturity date, provided that the lender will be entitled to a cash sweep of 30% of the proceeds of any at-the-market equity offering and 20% of the proceeds received by us in connection with any other equity financing, which will reduce the outstanding principal amount under the Exchange Note. On October 27, 2023, CP Acquisitions LLC, and entity affiliated with and controlled by Raymond Chang, acquired the Exchange Note and the Convertible Note. As of October 30, 2023, there was approximately $6.7 million outstanding under the Exchange Note and $8.8 million outstanding under the Convertible Note.</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At any time, we may prepay all of the Exchange Note by redemption at a price equal to 102.5% of the then-outstanding principal amount under the Note plus accrued but unpaid interest. The holder will also have the option of requiring us to redeem the Exchange Note on the one-year or two-year anniversaries of issuance at a price equal to the then-outstanding principal amount under the Exchange Note plus accrued but unpaid interest, or if we undergo a fundamental change at a price equal to 102.5% of the then-outstanding principal amount under the Exchange Note plus accrued but unpaid interest.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major components of net cash flows from and used in operating, investing, and financing activities for the six months ended June 30, 2023, and 2022:</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41"/>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6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45"/>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1"/>
                <w:szCs w:val="21"/>
                <w:color w:val="auto"/>
              </w:rPr>
            </w:pPr>
          </w:p>
        </w:tc>
      </w:tr>
      <w:tr>
        <w:trPr>
          <w:trHeight w:val="216"/>
        </w:trPr>
        <w:tc>
          <w:tcPr>
            <w:tcW w:w="85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Net cash and cash equivalents (used in) provided by:</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(11,634)</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(50,491)</w:t>
            </w: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160" w:type="dxa"/>
            <w:vAlign w:val="bottom"/>
          </w:tcPr>
          <w:p>
            <w:pPr>
              <w:spacing w:after="0"/>
              <w:rPr>
                <w:sz w:val="18"/>
                <w:szCs w:val="18"/>
                <w:color w:val="auto"/>
              </w:rPr>
            </w:pPr>
          </w:p>
        </w:tc>
        <w:tc>
          <w:tcPr>
            <w:tcW w:w="118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11,358</w:t>
            </w:r>
          </w:p>
        </w:tc>
        <w:tc>
          <w:tcPr>
            <w:tcW w:w="16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(29,637)</w:t>
            </w:r>
          </w:p>
        </w:tc>
      </w:tr>
      <w:tr>
        <w:trPr>
          <w:trHeight w:val="249"/>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160" w:type="dxa"/>
            <w:vAlign w:val="bottom"/>
            <w:shd w:val="clear" w:color="auto" w:fill="CCEEFF"/>
          </w:tcPr>
          <w:p>
            <w:pPr>
              <w:spacing w:after="0"/>
              <w:rPr>
                <w:sz w:val="21"/>
                <w:szCs w:val="21"/>
                <w:color w:val="auto"/>
              </w:rPr>
            </w:pPr>
          </w:p>
        </w:tc>
        <w:tc>
          <w:tcPr>
            <w:tcW w:w="118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(9,873)</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86,722</w:t>
            </w:r>
          </w:p>
        </w:tc>
      </w:tr>
      <w:tr>
        <w:trPr>
          <w:trHeight w:val="237"/>
        </w:trPr>
        <w:tc>
          <w:tcPr>
            <w:tcW w:w="8680" w:type="dxa"/>
            <w:vAlign w:val="bottom"/>
            <w:tcBorders>
              <w:top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(10,149</w:t>
            </w:r>
          </w:p>
        </w:tc>
        <w:tc>
          <w:tcPr>
            <w:tcW w:w="220" w:type="dxa"/>
            <w:vAlign w:val="bottom"/>
            <w:tcBorders>
              <w:top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100" w:type="dxa"/>
            <w:vAlign w:val="bottom"/>
            <w:tcBorders>
              <w:top w:val="single" w:sz="8" w:color="CCEEFF"/>
            </w:tcBorders>
          </w:tcPr>
          <w:p>
            <w:pPr>
              <w:spacing w:after="0"/>
              <w:rPr>
                <w:sz w:val="20"/>
                <w:szCs w:val="20"/>
                <w:color w:val="auto"/>
              </w:rPr>
            </w:pPr>
          </w:p>
        </w:tc>
      </w:tr>
      <w:tr>
        <w:trPr>
          <w:trHeight w:val="21"/>
        </w:trPr>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2023, we incurred a net loss of $17.1 million, which included a $12.9 million loss from operations, a $4.6 million loss on extinguishment of notes payable, and $1.2 million of interest expense, net, partially offset by a $1.6 million credit related to the change in fair value of warrant liabilities. Net cash used in operating activities for the six months ended June 30, 2023 was $11.6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we incurred a net loss of $72.8 million, which included a $101.3 million loss from operations and $2.8 million of interest expense, net, partially offset by a $31.0 million credit related to the change in fair value of warrant liabilities. Net cash used in operating activities for the six months ended June 30, 2022 was $50.5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2023, net cash provided by investing activities was $11.4 million, which included cash inflows of $10.5 million in proceeds from the sale of securities and $1.5 million in proceeds from the repayment of a loan receivable, partially offset by cash outflows of $591 thousand in costs related to the issuance of loans.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net cash used in investing activities was $29.6 million, which included cash outflows of $20.4 million related to the issuance of TTK-related loans receivable, $9.1 million of expenditures for property and equipment, $3.5 million paid in connection with our 2022 acquisition of Lab Society and partially offset by $3.4 million in net sales of marketable securities.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2023, net cash used in financing activities was $9.9 million, which was primarily driven by repayment of debt in a private placement of $10.3 million and payments on insurance financing loans of $999 thousand, partially offset by proceeds from the ATM Program of $1.5 million.</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the six months ended June 30, 2022, net cash provided by financing activities was $86.7 million, which consisted largely of $62.4 million in proceeds from our issuance of debt and warrants in a private placement, and $25.8 million from the issuance of Common Stock and warrants in a private placement, net of fees.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374"/>
        <w:spacing w:after="0" w:line="261" w:lineRule="auto"/>
        <w:rPr>
          <w:sz w:val="20"/>
          <w:szCs w:val="20"/>
          <w:color w:val="auto"/>
        </w:rPr>
      </w:pPr>
      <w:r>
        <w:rPr>
          <w:rFonts w:ascii="Times New Roman" w:cs="Times New Roman" w:eastAsia="Times New Roman" w:hAnsi="Times New Roman"/>
          <w:sz w:val="18"/>
          <w:szCs w:val="18"/>
          <w:color w:val="auto"/>
        </w:rPr>
        <w:t>During the periods presented, we did not have, nor do we currently have, any relationships with unconsolidated entities or financial partnerships, such as entities often referred to as structured finance or special purpose entities, which would have been established for the purpose of facilitating off-balance sheet arrangements or other contractually narrow or limited purposes. We are therefore not exposed to the financing, liquidity, market, or credit risk that could arise if we had engaged in those types of relationships.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consolidated financial statements have been prepared in accordance with GAAP. The preparation of these consolidated financial statements requires management to make estimates and assumptions that affect the reported amounts of assets and liabilities and the disclosure of contingent assets and liabilities at the date of the consolidated financial statements and the reported amounts of revenues and expenses during the reporting period. Actual results may differ from these estimates under different assumptions or conditions.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estimates are based on our knowledge and understanding of current conditions and actions that we may take in the future. Changes in these estimates will occur as a result of the passage of time and the occurrence of future events. Subsequent changes in these estimates may have a significant impact on our financial condition and results of operations and are recorded in the period in which they become known. We have identified the following estimates that, in our opinion, are subjective in nature, require the exercise of judgment and involve complex analysis: the fair value of derivative assets and liabilities, goodwill impairment assessment, revenue recognition and cost of goods sold.</w:t>
      </w:r>
    </w:p>
    <w:p>
      <w:pPr>
        <w:spacing w:after="0" w:line="18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significant accounting policies and estimates that have been adopted and followed in the preparation of our consolidated financial statements are detailed in Note 1 - Overview, Basis of Presentation and Significant Accounting Policies included in our 2022 Annual Report on Form 10-K and in Note 1 - Overview, Basis of Presentation and Significant Accounting Policies to our condensed consolidated financial statements in Part I, Item 1 of this Quarterly Report on Form 10-Q. There have been no changes in these policies and estimates that had a significant impact on the financial condition and results of operations for the periods covered in this Quarterly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 Adopted</w:t>
      </w:r>
    </w:p>
    <w:p>
      <w:pPr>
        <w:spacing w:after="0" w:line="229" w:lineRule="exact"/>
        <w:rPr>
          <w:sz w:val="20"/>
          <w:szCs w:val="20"/>
          <w:color w:val="auto"/>
        </w:rPr>
      </w:pPr>
    </w:p>
    <w:p>
      <w:pPr>
        <w:jc w:val="both"/>
        <w:ind w:firstLine="374"/>
        <w:spacing w:after="0" w:line="282" w:lineRule="auto"/>
        <w:rPr>
          <w:sz w:val="20"/>
          <w:szCs w:val="20"/>
          <w:color w:val="auto"/>
        </w:rPr>
      </w:pPr>
      <w:r>
        <w:rPr>
          <w:rFonts w:ascii="Times New Roman" w:cs="Times New Roman" w:eastAsia="Times New Roman" w:hAnsi="Times New Roman"/>
          <w:sz w:val="18"/>
          <w:szCs w:val="18"/>
          <w:color w:val="auto"/>
        </w:rPr>
        <w:t>Information on recently issued accounting pronouncements is included in Note 1 - Overview, Basis of Presentation and Significant Accounting Policies, included in the notes to condensed consolidated financial statements covered under Part I, Item 1 of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 Not Yet Adopted</w:t>
      </w:r>
    </w:p>
    <w:p>
      <w:pPr>
        <w:spacing w:after="0" w:line="229" w:lineRule="exact"/>
        <w:rPr>
          <w:sz w:val="20"/>
          <w:szCs w:val="20"/>
          <w:color w:val="auto"/>
        </w:rPr>
      </w:pPr>
    </w:p>
    <w:p>
      <w:pPr>
        <w:jc w:val="both"/>
        <w:ind w:firstLine="374"/>
        <w:spacing w:after="0" w:line="266" w:lineRule="auto"/>
        <w:rPr>
          <w:sz w:val="20"/>
          <w:szCs w:val="20"/>
          <w:color w:val="auto"/>
        </w:rPr>
      </w:pPr>
      <w:r>
        <w:rPr>
          <w:rFonts w:ascii="Times New Roman" w:cs="Times New Roman" w:eastAsia="Times New Roman" w:hAnsi="Times New Roman"/>
          <w:sz w:val="18"/>
          <w:szCs w:val="18"/>
          <w:color w:val="auto"/>
        </w:rPr>
        <w:t>More information on new accounting pronouncements not yet adopted by the Company is included within Note 1 - Overview, Basis of Presentation and Significant Accounting Policies, included in the notes to consolidated financial statements covered under Part I, Item 1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a “smaller reporting company” as defined by Item 10 of Regulation S-K, the Company is not required to provide information required by this Item.</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to allow timely decisions regarding required disclosure.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required by paragraph (b) of Rules 13a-15 and 15d-15 under the Exchange Act, our Chief Executive Officer carried out an evaluation of the effectiveness of the design and operation of our disclosure controls and procedures as of June 30, 2023. Based on this evaluation, our Chief Executive Officer concluded that, due to the material weaknesses in our internal control over financial reporting previously identified in Item 9A, “Controls and Procedures” of our Annual Report on Form 10-K for the fiscal year ended December 31, 2022 and filed with the SEC on November 28, 2023, our disclosure controls and procedures were not effective at the reasonable assurance level as of June 30, 2023.</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implementing certain measures to remediate the material weaknesses identified in the design and operation of our internal control over financial reporting, including hiring technically qualified personnel and improving our technical accounting resources and capabilities. Other than those measures, there have been no changes in our internal control over financial reporting (as such term is defined in Rules 13a-15(f) and 15d-15(f) under the Exchange Act) during the quarter ended June 30, 2023 that have materially affected, or are reasonably likely to materially affect, our internal control over financial reporting.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From time to time, we are a party to various legal proceedings or claims arising in the ordinary course of business. For information related to legal proceedings, see the discussion under the caption Legal Matters in Note 15 - Commitments and Contingencies to our condensed consolidated financial statements included in Part I, Item 1 of this Quarterly Report, which information is incorporated by reference into this Part II, Item 1.</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there are no material changes to our risk factors as previously disclosed in Part I, Item 1A of our Annual Report on Form 10-K for the year ended December 31, 2022.</w:t>
      </w:r>
    </w:p>
    <w:p>
      <w:pPr>
        <w:spacing w:after="0" w:line="158" w:lineRule="exact"/>
        <w:rPr>
          <w:sz w:val="20"/>
          <w:szCs w:val="20"/>
          <w:color w:val="auto"/>
        </w:rPr>
      </w:pPr>
    </w:p>
    <w:p>
      <w:pPr>
        <w:jc w:val="both"/>
        <w:ind w:right="20" w:firstLine="324"/>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recently completed reverse stock split is subject to several risks, and we cannot predict whether it will increase the market price for our Common Stock.</w:t>
      </w:r>
    </w:p>
    <w:p>
      <w:pPr>
        <w:spacing w:after="0" w:line="15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cannot predict whether the 1-for-20 reverse stock split completed on July 5, 2023 will increase the market price for our Common Stock. The history of similar stock split combinations for companies in like circumstances is varied, and the market price of our Common Stock will also be based on our performance and other factors, some of which are unrelated to the number of shares outstanding. Further, there are a number of risks associated with the reverse stock split, including:</w:t>
      </w:r>
    </w:p>
    <w:p>
      <w:pPr>
        <w:spacing w:after="0" w:line="180"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price per share of our shares of Common Stock post-split may not remain in excess of the Minimum Bid Requirement, or we may fail to meet the other requirements for continued listing on Nasdaq, resulting in the delisting of our Common Stock.</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the Board of Directors believes that a higher stock price may help generate the interest of new investors, the reverse stock split may not result in a per-share price that will successfully attract certain types of investors and such resulting share price may not satisfy the investing guidelines of institutional investors or investment funds. Further, other factors, such as our financial results, market conditions and the market perception of our business, may adversely affect the interest of new investors in the shares of our Common Stock. As a result, the trading liquidity of the shares of our Common Stock may not improve as a result of the reverse stock split and there can be no assurance that the reverse stock split will result in the intended benefits.</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could be viewed negatively by the market and other factors may adversely affect the market price of the shares of our Common Stock. Consequently, the market price per post-split share may not increase in proportion to the reduction of the number of shares of our Common Stock outstanding before the implementation of the reverse stock split. Accordingly, the total market capitalization of our shares of Common Stock after the reverse stock split may be lower than the total market capitalization before the reverse stock split. Any reduction in total market capitalization as the result of the reverse stock split may make it more difficult for us to meet the Nasdaq Listing Rule regarding minimum value of listed securities, which could result in our shares of Common Stock being delisted from The Nasdaq Capital Market.</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reverse stock split may result in some stockholders owning “odd lots” of less than 100 shares of Common Stock. Odd lot shares may be more difficult to sell, and brokerage commissions and other costs of transactions in odd lots are generally somewhat higher than the costs of transactions in “round lots” of even multiples of 100 shares.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873" w:right="1440"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6. Exhibits</w:t>
            </w:r>
          </w:p>
        </w:tc>
        <w:tc>
          <w:tcPr>
            <w:tcW w:w="74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59"/>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1140" w:type="dxa"/>
            <w:vAlign w:val="bottom"/>
            <w:tcBorders>
              <w:top w:val="single" w:sz="8" w:color="auto"/>
              <w:bottom w:val="single" w:sz="8" w:color="CCEEFF"/>
            </w:tcBorders>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auto"/>
              </w:rPr>
              <w:t>3.1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9880" w:type="dxa"/>
            <w:vAlign w:val="bottom"/>
            <w:tcBorders>
              <w:top w:val="single" w:sz="8" w:color="auto"/>
              <w:bottom w:val="single" w:sz="8" w:color="0000EE"/>
            </w:tcBorders>
            <w:gridSpan w:val="9"/>
            <w:shd w:val="clear" w:color="auto" w:fill="CCEEFF"/>
          </w:tcPr>
          <w:p>
            <w:pPr>
              <w:spacing w:after="0" w:line="169"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Certificate of Amendment to the Articles of Incorporation of the Registrant, filed July 11, 2022 (incorporated by reference to Exhibit 3.1</w:t>
              </w:r>
            </w:hyperlink>
          </w:p>
        </w:tc>
      </w:tr>
      <w:tr>
        <w:trPr>
          <w:trHeight w:val="196"/>
        </w:trPr>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to the Registrant’s Current Report on Form 8-K filed with the Securities and Exchange Commission on July 14, 2022).</w:t>
              </w:r>
            </w:hyperlink>
          </w:p>
        </w:tc>
      </w:tr>
      <w:tr>
        <w:trPr>
          <w:trHeight w:val="21"/>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56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3.2</w:t>
            </w:r>
          </w:p>
        </w:tc>
        <w:tc>
          <w:tcPr>
            <w:tcW w:w="220" w:type="dxa"/>
            <w:vAlign w:val="bottom"/>
          </w:tcPr>
          <w:p>
            <w:pPr>
              <w:spacing w:after="0"/>
              <w:rPr>
                <w:sz w:val="15"/>
                <w:szCs w:val="15"/>
                <w:color w:val="auto"/>
              </w:rPr>
            </w:pPr>
          </w:p>
        </w:tc>
        <w:tc>
          <w:tcPr>
            <w:tcW w:w="988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Certified of Amendment to the Articles of Incorporation of the Registrant, filed October 17, 2022 (incorporated by reference to Exhibit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9"/>
          </w:tcPr>
          <w:p>
            <w:pPr>
              <w:spacing w:after="0" w:line="196"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3.</w:t>
              </w:r>
              <w:r>
                <w:rPr>
                  <w:rFonts w:ascii="Times New Roman" w:cs="Times New Roman" w:eastAsia="Times New Roman" w:hAnsi="Times New Roman"/>
                  <w:sz w:val="18"/>
                  <w:szCs w:val="18"/>
                  <w:u w:val="single" w:color="auto"/>
                  <w:color w:val="0000EE"/>
                </w:rPr>
                <w:t>1</w:t>
              </w:r>
              <w:r>
                <w:rPr>
                  <w:rFonts w:ascii="Times New Roman" w:cs="Times New Roman" w:eastAsia="Times New Roman" w:hAnsi="Times New Roman"/>
                  <w:sz w:val="18"/>
                  <w:szCs w:val="18"/>
                  <w:color w:val="0000EE"/>
                </w:rPr>
                <w:t xml:space="preserve"> to the Registrant’s Current Report on Form 8-K filed with the Securities and Exchange Commission on October 17, 2022).</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56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4.1</w:t>
            </w:r>
          </w:p>
        </w:tc>
        <w:tc>
          <w:tcPr>
            <w:tcW w:w="220" w:type="dxa"/>
            <w:vAlign w:val="bottom"/>
            <w:shd w:val="clear" w:color="auto" w:fill="CCEEFF"/>
          </w:tcPr>
          <w:p>
            <w:pPr>
              <w:spacing w:after="0"/>
              <w:rPr>
                <w:sz w:val="15"/>
                <w:szCs w:val="15"/>
                <w:color w:val="auto"/>
              </w:rPr>
            </w:pPr>
          </w:p>
        </w:tc>
        <w:tc>
          <w:tcPr>
            <w:tcW w:w="9880" w:type="dxa"/>
            <w:vAlign w:val="bottom"/>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Form of Senior Secured Note (incorporated by reference to Exhibit 4.1 to the Registrant’s Current Report on Form 8-K filed with the</w:t>
              </w:r>
            </w:hyperlink>
          </w:p>
        </w:tc>
      </w:tr>
      <w:tr>
        <w:trPr>
          <w:trHeight w:val="217"/>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4300" w:type="dxa"/>
            <w:vAlign w:val="bottom"/>
            <w:tcBorders>
              <w:top w:val="single" w:sz="8" w:color="0000EE"/>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94">
              <w:r>
                <w:rPr>
                  <w:rFonts w:ascii="Times New Roman" w:cs="Times New Roman" w:eastAsia="Times New Roman" w:hAnsi="Times New Roman"/>
                  <w:sz w:val="18"/>
                  <w:szCs w:val="18"/>
                  <w:color w:val="0000EE"/>
                  <w:w w:val="99"/>
                </w:rPr>
                <w:t>Securities and Exchange Commission on August 19, 2022).</w:t>
              </w:r>
            </w:hyperlink>
          </w:p>
        </w:tc>
        <w:tc>
          <w:tcPr>
            <w:tcW w:w="5560" w:type="dxa"/>
            <w:vAlign w:val="bottom"/>
            <w:tcBorders>
              <w:top w:val="single" w:sz="8" w:color="0000EE"/>
              <w:bottom w:val="single" w:sz="8" w:color="CCEEFF"/>
            </w:tcBorders>
            <w:gridSpan w:val="6"/>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4.2</w:t>
            </w:r>
          </w:p>
        </w:tc>
        <w:tc>
          <w:tcPr>
            <w:tcW w:w="220" w:type="dxa"/>
            <w:vAlign w:val="bottom"/>
          </w:tcPr>
          <w:p>
            <w:pPr>
              <w:spacing w:after="0"/>
              <w:rPr>
                <w:sz w:val="15"/>
                <w:szCs w:val="15"/>
                <w:color w:val="auto"/>
              </w:rPr>
            </w:pPr>
          </w:p>
        </w:tc>
        <w:tc>
          <w:tcPr>
            <w:tcW w:w="988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Form of Warrant Exchange Note (incorporated by reference to Exhibit 4.2 to the Registrant’s Current Report on Form 8-K filed with the</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9"/>
          </w:tcPr>
          <w:p>
            <w:pPr>
              <w:spacing w:after="0" w:line="196"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Securities and Exchange Commission on August 19, 2022).</w:t>
              </w:r>
            </w:hyperlink>
          </w:p>
        </w:tc>
      </w:tr>
      <w:tr>
        <w:trPr>
          <w:trHeight w:val="20"/>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560" w:type="dxa"/>
            <w:vAlign w:val="bottom"/>
            <w:tcBorders>
              <w:top w:val="single" w:sz="8" w:color="0000EE"/>
            </w:tcBorders>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4.3</w:t>
            </w:r>
          </w:p>
        </w:tc>
        <w:tc>
          <w:tcPr>
            <w:tcW w:w="220" w:type="dxa"/>
            <w:vAlign w:val="bottom"/>
            <w:tcBorders>
              <w:bottom w:val="single" w:sz="8" w:color="CCEEFF"/>
            </w:tcBorders>
            <w:shd w:val="clear" w:color="auto" w:fill="CCEEFF"/>
          </w:tcPr>
          <w:p>
            <w:pPr>
              <w:spacing w:after="0"/>
              <w:rPr>
                <w:sz w:val="15"/>
                <w:szCs w:val="15"/>
                <w:color w:val="auto"/>
              </w:rPr>
            </w:pPr>
          </w:p>
        </w:tc>
        <w:tc>
          <w:tcPr>
            <w:tcW w:w="988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Form of Note Exchange Note (incorporated by reference to Exhibit 4.3 to the Registrant’s Current Report on Form 8-K filed with the</w:t>
              </w:r>
            </w:hyperlink>
          </w:p>
        </w:tc>
      </w:tr>
      <w:tr>
        <w:trPr>
          <w:trHeight w:val="217"/>
        </w:trPr>
        <w:tc>
          <w:tcPr>
            <w:tcW w:w="1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4300" w:type="dxa"/>
            <w:vAlign w:val="bottom"/>
            <w:tcBorders>
              <w:bottom w:val="single" w:sz="8" w:color="0000EE"/>
            </w:tcBorders>
            <w:gridSpan w:val="2"/>
            <w:shd w:val="clear" w:color="auto" w:fill="CCEEFF"/>
          </w:tcPr>
          <w:p>
            <w:pPr>
              <w:spacing w:after="0" w:line="196" w:lineRule="exact"/>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Securities and Exchange Commission on August 19, 2022).</w:t>
              </w:r>
            </w:hyperlink>
          </w:p>
        </w:tc>
        <w:tc>
          <w:tcPr>
            <w:tcW w:w="5580" w:type="dxa"/>
            <w:vAlign w:val="bottom"/>
            <w:tcBorders>
              <w:bottom w:val="single" w:sz="8" w:color="CCEEFF"/>
            </w:tcBorders>
            <w:gridSpan w:val="7"/>
            <w:shd w:val="clear" w:color="auto" w:fill="CCEEFF"/>
          </w:tcPr>
          <w:p>
            <w:pPr>
              <w:spacing w:after="0"/>
              <w:rPr>
                <w:sz w:val="18"/>
                <w:szCs w:val="18"/>
                <w:color w:val="auto"/>
              </w:rPr>
            </w:pPr>
          </w:p>
        </w:tc>
      </w:tr>
      <w:tr>
        <w:trPr>
          <w:trHeight w:val="175"/>
        </w:trPr>
        <w:tc>
          <w:tcPr>
            <w:tcW w:w="13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988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Separation Agreement of Thomas Massie, dated as of July 8, 2022 (incorporated by reference to Exhibit 10.2 to the Registrant’s Current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gridSpan w:val="9"/>
          </w:tcPr>
          <w:p>
            <w:pPr>
              <w:spacing w:after="0" w:line="196" w:lineRule="exact"/>
              <w:rPr>
                <w:rFonts w:ascii="Times New Roman" w:cs="Times New Roman" w:eastAsia="Times New Roman" w:hAnsi="Times New Roman"/>
                <w:sz w:val="18"/>
                <w:szCs w:val="18"/>
                <w:color w:val="0000EE"/>
              </w:rPr>
            </w:pPr>
            <w:hyperlink r:id="rId97">
              <w:r>
                <w:rPr>
                  <w:rFonts w:ascii="Times New Roman" w:cs="Times New Roman" w:eastAsia="Times New Roman" w:hAnsi="Times New Roman"/>
                  <w:sz w:val="18"/>
                  <w:szCs w:val="18"/>
                  <w:color w:val="0000EE"/>
                </w:rPr>
                <w:t>Report on Form 8-K filed with the Securities and Exchange Commission on July 14, 2022).</w:t>
              </w:r>
            </w:hyperlink>
          </w:p>
        </w:tc>
      </w:tr>
      <w:tr>
        <w:trPr>
          <w:trHeight w:val="21"/>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56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988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Employment Agreement, dated as of July 14, 2022, between the Registrant and Stuart Wilcox (incorporated by reference to Exhibit 10.1</w:t>
              </w:r>
            </w:hyperlink>
          </w:p>
        </w:tc>
      </w:tr>
      <w:tr>
        <w:trPr>
          <w:trHeight w:val="196"/>
        </w:trPr>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to the Registrant’s Current Report on Form 8-K filed with the Securities and Exchange Commission on July 14, 2022).</w:t>
              </w:r>
            </w:hyperlink>
          </w:p>
        </w:tc>
      </w:tr>
      <w:tr>
        <w:trPr>
          <w:trHeight w:val="20"/>
        </w:trPr>
        <w:tc>
          <w:tcPr>
            <w:tcW w:w="11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3560" w:type="dxa"/>
            <w:vAlign w:val="bottom"/>
            <w:tcBorders>
              <w:top w:val="single" w:sz="8" w:color="0000EE"/>
            </w:tcBorders>
            <w:shd w:val="clear" w:color="auto" w:fill="CCEEFF"/>
          </w:tcPr>
          <w:p>
            <w:pPr>
              <w:spacing w:after="0" w:line="20" w:lineRule="exact"/>
              <w:rPr>
                <w:sz w:val="1"/>
                <w:szCs w:val="1"/>
                <w:color w:val="auto"/>
              </w:rPr>
            </w:pPr>
          </w:p>
        </w:tc>
        <w:tc>
          <w:tcPr>
            <w:tcW w:w="230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9880" w:type="dxa"/>
            <w:vAlign w:val="bottom"/>
            <w:tcBorders>
              <w:bottom w:val="single" w:sz="8" w:color="0000EE"/>
            </w:tcBorders>
            <w:gridSpan w:val="9"/>
          </w:tcPr>
          <w:p>
            <w:pPr>
              <w:spacing w:after="0" w:line="17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Exchange Agreement, dated as of August 18, 2022, between Agrify Corporation and the investor listed therein (incorporated by</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8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reference to Exhibit 10.1 to the Registrant’s Current Report on Form 8-K filed with the Securities and Exchange Commission on August</w:t>
              </w:r>
            </w:hyperlink>
          </w:p>
        </w:tc>
      </w:tr>
      <w:tr>
        <w:trPr>
          <w:trHeight w:val="196"/>
        </w:trPr>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00" w:type="dxa"/>
            <w:vAlign w:val="bottom"/>
            <w:gridSpan w:val="2"/>
          </w:tcPr>
          <w:p>
            <w:pPr>
              <w:spacing w:after="0" w:line="196" w:lineRule="exact"/>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19, 2022).</w:t>
              </w:r>
            </w:hyperlink>
          </w:p>
        </w:tc>
        <w:tc>
          <w:tcPr>
            <w:tcW w:w="2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360" w:type="dxa"/>
            <w:vAlign w:val="bottom"/>
            <w:tcBorders>
              <w:bottom w:val="single" w:sz="8" w:color="CCEEFF"/>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9880" w:type="dxa"/>
            <w:vAlign w:val="bottom"/>
            <w:tcBorders>
              <w:bottom w:val="single" w:sz="8" w:color="0000EE"/>
            </w:tcBorders>
            <w:gridSpan w:val="9"/>
            <w:shd w:val="clear" w:color="auto" w:fill="CCEEFF"/>
          </w:tcPr>
          <w:p>
            <w:pPr>
              <w:spacing w:after="0" w:line="17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Equity Distribution Agreement, dated as of October 18, 2022, between the Registrant and Canaccord Genuity LLC (incorporated by</w:t>
              </w:r>
            </w:hyperlink>
          </w:p>
        </w:tc>
      </w:tr>
      <w:tr>
        <w:trPr>
          <w:trHeight w:val="196"/>
        </w:trPr>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80" w:type="dxa"/>
            <w:vAlign w:val="bottom"/>
            <w:gridSpan w:val="9"/>
            <w:shd w:val="clear" w:color="auto" w:fill="CCEEFF"/>
          </w:tcPr>
          <w:p>
            <w:pPr>
              <w:spacing w:after="0" w:line="196" w:lineRule="exact"/>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reference to Exhibit 1.1 to the Registrant’s Current Report on Form 8-K filed with the Securities and Exchange Commission on October</w:t>
              </w:r>
            </w:hyperlink>
          </w:p>
        </w:tc>
      </w:tr>
      <w:tr>
        <w:trPr>
          <w:trHeight w:val="216"/>
        </w:trPr>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0000EE"/>
              <w:bottom w:val="single" w:sz="8" w:color="0000EE"/>
            </w:tcBorders>
            <w:shd w:val="clear" w:color="auto" w:fill="CCEEFF"/>
          </w:tcPr>
          <w:p>
            <w:pPr>
              <w:spacing w:after="0" w:line="196" w:lineRule="exact"/>
              <w:rPr>
                <w:rFonts w:ascii="Times New Roman" w:cs="Times New Roman" w:eastAsia="Times New Roman" w:hAnsi="Times New Roman"/>
                <w:sz w:val="18"/>
                <w:szCs w:val="18"/>
                <w:color w:val="0000EE"/>
                <w:w w:val="97"/>
              </w:rPr>
            </w:pPr>
            <w:hyperlink r:id="rId100">
              <w:r>
                <w:rPr>
                  <w:rFonts w:ascii="Times New Roman" w:cs="Times New Roman" w:eastAsia="Times New Roman" w:hAnsi="Times New Roman"/>
                  <w:sz w:val="18"/>
                  <w:szCs w:val="18"/>
                  <w:color w:val="0000EE"/>
                  <w:w w:val="97"/>
                </w:rPr>
                <w:t>18, 2022).</w:t>
              </w:r>
            </w:hyperlink>
          </w:p>
        </w:tc>
        <w:tc>
          <w:tcPr>
            <w:tcW w:w="3560" w:type="dxa"/>
            <w:vAlign w:val="bottom"/>
            <w:tcBorders>
              <w:top w:val="single" w:sz="8" w:color="0000EE"/>
              <w:bottom w:val="single" w:sz="8" w:color="CCEEFF"/>
            </w:tcBorders>
            <w:shd w:val="clear" w:color="auto" w:fill="CCEEFF"/>
          </w:tcPr>
          <w:p>
            <w:pPr>
              <w:spacing w:after="0"/>
              <w:rPr>
                <w:sz w:val="18"/>
                <w:szCs w:val="18"/>
                <w:color w:val="auto"/>
              </w:rPr>
            </w:pPr>
          </w:p>
        </w:tc>
        <w:tc>
          <w:tcPr>
            <w:tcW w:w="2300" w:type="dxa"/>
            <w:vAlign w:val="bottom"/>
            <w:tcBorders>
              <w:top w:val="single" w:sz="8" w:color="0000EE"/>
              <w:bottom w:val="single" w:sz="8" w:color="CCEEFF"/>
            </w:tcBorders>
            <w:shd w:val="clear" w:color="auto" w:fill="CCEEFF"/>
          </w:tcPr>
          <w:p>
            <w:pPr>
              <w:spacing w:after="0"/>
              <w:rPr>
                <w:sz w:val="18"/>
                <w:szCs w:val="18"/>
                <w:color w:val="auto"/>
              </w:rPr>
            </w:pPr>
          </w:p>
        </w:tc>
        <w:tc>
          <w:tcPr>
            <w:tcW w:w="760" w:type="dxa"/>
            <w:vAlign w:val="bottom"/>
            <w:tcBorders>
              <w:top w:val="single" w:sz="8" w:color="0000EE"/>
              <w:bottom w:val="single" w:sz="8" w:color="CCEEFF"/>
            </w:tcBorders>
            <w:shd w:val="clear" w:color="auto" w:fill="CCEEFF"/>
          </w:tcPr>
          <w:p>
            <w:pPr>
              <w:spacing w:after="0"/>
              <w:rPr>
                <w:sz w:val="18"/>
                <w:szCs w:val="18"/>
                <w:color w:val="auto"/>
              </w:rPr>
            </w:pPr>
          </w:p>
        </w:tc>
        <w:tc>
          <w:tcPr>
            <w:tcW w:w="114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560" w:type="dxa"/>
            <w:vAlign w:val="bottom"/>
            <w:tcBorders>
              <w:top w:val="single" w:sz="8" w:color="0000EE"/>
              <w:bottom w:val="single" w:sz="8" w:color="CCEEFF"/>
            </w:tcBorders>
            <w:shd w:val="clear" w:color="auto" w:fill="CCEEFF"/>
          </w:tcPr>
          <w:p>
            <w:pPr>
              <w:spacing w:after="0"/>
              <w:rPr>
                <w:sz w:val="18"/>
                <w:szCs w:val="18"/>
                <w:color w:val="auto"/>
              </w:rPr>
            </w:pPr>
          </w:p>
        </w:tc>
        <w:tc>
          <w:tcPr>
            <w:tcW w:w="7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6"/>
        </w:trPr>
        <w:tc>
          <w:tcPr>
            <w:tcW w:w="114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31.1*</w:t>
            </w:r>
          </w:p>
        </w:tc>
        <w:tc>
          <w:tcPr>
            <w:tcW w:w="220" w:type="dxa"/>
            <w:vAlign w:val="bottom"/>
          </w:tcPr>
          <w:p>
            <w:pPr>
              <w:spacing w:after="0"/>
              <w:rPr>
                <w:sz w:val="15"/>
                <w:szCs w:val="15"/>
                <w:color w:val="auto"/>
              </w:rPr>
            </w:pPr>
          </w:p>
        </w:tc>
        <w:tc>
          <w:tcPr>
            <w:tcW w:w="9880" w:type="dxa"/>
            <w:vAlign w:val="bottom"/>
            <w:gridSpan w:val="9"/>
          </w:tcPr>
          <w:p>
            <w:pPr>
              <w:spacing w:after="0" w:line="176" w:lineRule="exact"/>
              <w:rPr>
                <w:sz w:val="20"/>
                <w:szCs w:val="20"/>
                <w:color w:val="auto"/>
              </w:rPr>
            </w:pPr>
            <w:r>
              <w:rPr>
                <w:rFonts w:ascii="Times New Roman" w:cs="Times New Roman" w:eastAsia="Times New Roman" w:hAnsi="Times New Roman"/>
                <w:sz w:val="18"/>
                <w:szCs w:val="18"/>
                <w:color w:val="0000EE"/>
              </w:rPr>
              <w:t>Rule 13(a)-14(a)/15(d)-14(a) Certification of principal executive officer and principal financial and accounting officer</w:t>
            </w:r>
          </w:p>
        </w:tc>
      </w:tr>
      <w:tr>
        <w:trPr>
          <w:trHeight w:val="21"/>
        </w:trPr>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40" w:type="dxa"/>
            <w:vAlign w:val="bottom"/>
            <w:tcBorders>
              <w:top w:val="single" w:sz="8" w:color="0000EE"/>
            </w:tcBorders>
          </w:tcPr>
          <w:p>
            <w:pPr>
              <w:spacing w:after="0" w:line="20" w:lineRule="exact"/>
              <w:rPr>
                <w:sz w:val="1"/>
                <w:szCs w:val="1"/>
                <w:color w:val="auto"/>
              </w:rPr>
            </w:pPr>
          </w:p>
        </w:tc>
        <w:tc>
          <w:tcPr>
            <w:tcW w:w="3560" w:type="dxa"/>
            <w:vAlign w:val="bottom"/>
            <w:tcBorders>
              <w:top w:val="single" w:sz="8" w:color="0000EE"/>
            </w:tcBorders>
          </w:tcPr>
          <w:p>
            <w:pPr>
              <w:spacing w:after="0" w:line="20" w:lineRule="exact"/>
              <w:rPr>
                <w:sz w:val="1"/>
                <w:szCs w:val="1"/>
                <w:color w:val="auto"/>
              </w:rPr>
            </w:pPr>
          </w:p>
        </w:tc>
        <w:tc>
          <w:tcPr>
            <w:tcW w:w="230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32.1**</w:t>
            </w:r>
          </w:p>
        </w:tc>
        <w:tc>
          <w:tcPr>
            <w:tcW w:w="220" w:type="dxa"/>
            <w:vAlign w:val="bottom"/>
            <w:tcBorders>
              <w:bottom w:val="single" w:sz="8" w:color="CCEEFF"/>
            </w:tcBorders>
            <w:shd w:val="clear" w:color="auto" w:fill="CCEEFF"/>
          </w:tcPr>
          <w:p>
            <w:pPr>
              <w:spacing w:after="0"/>
              <w:rPr>
                <w:sz w:val="17"/>
                <w:szCs w:val="17"/>
                <w:color w:val="auto"/>
              </w:rPr>
            </w:pPr>
          </w:p>
        </w:tc>
        <w:tc>
          <w:tcPr>
            <w:tcW w:w="736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Section 1350 Certification of principal executive officer and principal financial and accounting officer</w:t>
            </w:r>
          </w:p>
        </w:tc>
        <w:tc>
          <w:tcPr>
            <w:tcW w:w="2520" w:type="dxa"/>
            <w:vAlign w:val="bottom"/>
            <w:tcBorders>
              <w:bottom w:val="single" w:sz="8" w:color="CCEEFF"/>
            </w:tcBorders>
            <w:gridSpan w:val="5"/>
            <w:shd w:val="clear" w:color="auto" w:fill="CCEEFF"/>
          </w:tcPr>
          <w:p>
            <w:pPr>
              <w:spacing w:after="0"/>
              <w:rPr>
                <w:sz w:val="17"/>
                <w:szCs w:val="17"/>
                <w:color w:val="auto"/>
              </w:rPr>
            </w:pP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101.INS</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101.SCH</w:t>
            </w:r>
          </w:p>
        </w:tc>
        <w:tc>
          <w:tcPr>
            <w:tcW w:w="98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101.CAL</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101.DEF</w:t>
            </w:r>
          </w:p>
        </w:tc>
        <w:tc>
          <w:tcPr>
            <w:tcW w:w="98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101.LAB</w:t>
            </w:r>
          </w:p>
        </w:tc>
        <w:tc>
          <w:tcPr>
            <w:tcW w:w="988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13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101.PRE</w:t>
            </w:r>
          </w:p>
        </w:tc>
        <w:tc>
          <w:tcPr>
            <w:tcW w:w="9880" w:type="dxa"/>
            <w:vAlign w:val="bottom"/>
            <w:gridSpan w:val="9"/>
            <w:shd w:val="clear" w:color="auto" w:fill="CCEEFF"/>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right="3300" w:firstLine="8"/>
        <w:spacing w:after="0" w:line="490" w:lineRule="auto"/>
        <w:tabs>
          <w:tab w:leader="none" w:pos="135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Filed herewith.</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 in accordance with Item 601 (b)(32) of Regulation S-K.</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a management contract, compensatory plan, or arrangement.</w:t>
      </w:r>
    </w:p>
    <w:p>
      <w:pPr>
        <w:spacing w:after="0" w:line="225" w:lineRule="exact"/>
        <w:rPr>
          <w:sz w:val="20"/>
          <w:szCs w:val="20"/>
          <w:color w:val="auto"/>
        </w:rPr>
      </w:pPr>
    </w:p>
    <w:p>
      <w:pPr>
        <w:ind w:left="340" w:hanging="332"/>
        <w:spacing w:after="0" w:line="282"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The registrant hereby undertakes to furnish copies of any of the omitted schedules and exhibits upon request by the U.S. Securities and Exchange Commission.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79" w:name="page80"/>
    <w:bookmarkEnd w:id="7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AGRIFY CORPORATION</w:t>
      </w:r>
    </w:p>
    <w:p>
      <w:pPr>
        <w:spacing w:after="0" w:line="229"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By:</w:t>
        <w:tab/>
        <w:t>/s/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17145</wp:posOffset>
            </wp:positionV>
            <wp:extent cx="256286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2">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Raymond Chang</w:t>
      </w:r>
    </w:p>
    <w:p>
      <w:pPr>
        <w:spacing w:after="0" w:line="27"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(Principal Executive Officer and Principal Financial</w:t>
      </w:r>
    </w:p>
    <w:p>
      <w:pPr>
        <w:spacing w:after="0" w:line="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and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11, 2023</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left="1320" w:right="152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Raymond Chang, certify that:</w:t>
      </w:r>
    </w:p>
    <w:p>
      <w:pPr>
        <w:spacing w:after="0" w:line="225"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Agrify Corporation (the “Company”) for the quarterly period ended June 30, 2023;</w:t>
      </w:r>
    </w:p>
    <w:p>
      <w:pPr>
        <w:spacing w:after="0" w:line="225" w:lineRule="exact"/>
        <w:rPr>
          <w:rFonts w:ascii="Times New Roman" w:cs="Times New Roman" w:eastAsia="Times New Roman" w:hAnsi="Times New Roman"/>
          <w:sz w:val="18"/>
          <w:szCs w:val="18"/>
          <w:color w:val="auto"/>
        </w:rPr>
      </w:pPr>
    </w:p>
    <w:p>
      <w:pPr>
        <w:jc w:val="both"/>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7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2023</w:t>
            </w: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300" w:type="dxa"/>
            <w:vAlign w:val="bottom"/>
          </w:tcPr>
          <w:p>
            <w:pPr>
              <w:spacing w:after="0"/>
              <w:rPr>
                <w:sz w:val="17"/>
                <w:szCs w:val="17"/>
                <w:color w:val="auto"/>
              </w:rPr>
            </w:pPr>
          </w:p>
        </w:tc>
        <w:tc>
          <w:tcPr>
            <w:tcW w:w="3020" w:type="dxa"/>
            <w:vAlign w:val="bottom"/>
          </w:tcPr>
          <w:p>
            <w:pPr>
              <w:ind w:left="24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300" w:type="dxa"/>
            <w:vAlign w:val="bottom"/>
          </w:tcPr>
          <w:p>
            <w:pPr>
              <w:spacing w:after="0"/>
              <w:rPr>
                <w:sz w:val="18"/>
                <w:szCs w:val="18"/>
                <w:color w:val="auto"/>
              </w:rPr>
            </w:pP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234"/>
        </w:trPr>
        <w:tc>
          <w:tcPr>
            <w:tcW w:w="4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and Principal Financial and Accounting Officer)</w:t>
            </w:r>
          </w:p>
        </w:tc>
      </w:tr>
    </w:tbl>
    <w:p>
      <w:pPr>
        <w:sectPr>
          <w:pgSz w:w="11900" w:h="16838" w:orient="portrait"/>
          <w:cols w:equalWidth="0" w:num="1">
            <w:col w:w="11240"/>
          </w:cols>
          <w:pgMar w:left="320" w:top="117"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Agrify Corporation (the “Company”) for the quarterly period ended June 30, 2023 as filed with the Securities and Exchange Commission on the date hereof (the “Report”), the undersigned, in the capacity and on the date indicated below, hereby certifies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 of operations of the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11, 2023</w:t>
            </w: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Raymond Chang</w:t>
            </w:r>
          </w:p>
        </w:tc>
      </w:tr>
      <w:tr>
        <w:trPr>
          <w:trHeight w:val="198"/>
        </w:trPr>
        <w:tc>
          <w:tcPr>
            <w:tcW w:w="4300" w:type="dxa"/>
            <w:vAlign w:val="bottom"/>
          </w:tcPr>
          <w:p>
            <w:pPr>
              <w:spacing w:after="0"/>
              <w:rPr>
                <w:sz w:val="17"/>
                <w:szCs w:val="17"/>
                <w:color w:val="auto"/>
              </w:rPr>
            </w:pPr>
          </w:p>
        </w:tc>
        <w:tc>
          <w:tcPr>
            <w:tcW w:w="3020" w:type="dxa"/>
            <w:vAlign w:val="bottom"/>
          </w:tcPr>
          <w:p>
            <w:pPr>
              <w:ind w:left="246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Raymond Chang</w:t>
            </w:r>
          </w:p>
        </w:tc>
      </w:tr>
      <w:tr>
        <w:trPr>
          <w:trHeight w:val="216"/>
        </w:trPr>
        <w:tc>
          <w:tcPr>
            <w:tcW w:w="4300" w:type="dxa"/>
            <w:vAlign w:val="bottom"/>
          </w:tcPr>
          <w:p>
            <w:pPr>
              <w:spacing w:after="0"/>
              <w:rPr>
                <w:sz w:val="18"/>
                <w:szCs w:val="18"/>
                <w:color w:val="auto"/>
              </w:rPr>
            </w:pPr>
          </w:p>
        </w:tc>
        <w:tc>
          <w:tcPr>
            <w:tcW w:w="3020" w:type="dxa"/>
            <w:vAlign w:val="bottom"/>
          </w:tcPr>
          <w:p>
            <w:pPr>
              <w:ind w:left="246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r>
      <w:tr>
        <w:trPr>
          <w:trHeight w:val="234"/>
        </w:trPr>
        <w:tc>
          <w:tcPr>
            <w:tcW w:w="430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and Principal Financial and Accounting Officer)</w:t>
            </w:r>
          </w:p>
        </w:tc>
      </w:tr>
    </w:tbl>
    <w:p>
      <w:pPr>
        <w:spacing w:after="0" w:line="1" w:lineRule="exact"/>
        <w:rPr>
          <w:sz w:val="20"/>
          <w:szCs w:val="20"/>
          <w:color w:val="auto"/>
        </w:rPr>
      </w:pP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amp;"/>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
      <w:numFmt w:val="bullet"/>
      <w:start w:val="1"/>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101" Type="http://schemas.openxmlformats.org/officeDocument/2006/relationships/image" Target="media/image85.png"/><Relationship Id="rId102" Type="http://schemas.openxmlformats.org/officeDocument/2006/relationships/image" Target="media/image86.png"/><Relationship Id="rId103" Type="http://schemas.openxmlformats.org/officeDocument/2006/relationships/image" Target="media/image87.png"/><Relationship Id="rId92" Type="http://schemas.openxmlformats.org/officeDocument/2006/relationships/hyperlink" Target="https://www.sec.gov/Archives/edgar/data/1800637/000121390022039420/ea162872ex3-1_agrify.htm" TargetMode="External"/><Relationship Id="rId93" Type="http://schemas.openxmlformats.org/officeDocument/2006/relationships/hyperlink" Target="https://www.sec.gov/Archives/edgar/data/1800637/000121390022064269/ea167213ex3-1agrifycorp.htm" TargetMode="External"/><Relationship Id="rId94" Type="http://schemas.openxmlformats.org/officeDocument/2006/relationships/hyperlink" Target="https://www.sec.gov/Archives/edgar/data/1800637/000121390022049494/ea164681ex4-1_agrify.htm" TargetMode="External"/><Relationship Id="rId95" Type="http://schemas.openxmlformats.org/officeDocument/2006/relationships/hyperlink" Target="https://www.sec.gov/Archives/edgar/data/1800637/000121390022049494/ea164681ex4-2_agrify.htm" TargetMode="External"/><Relationship Id="rId96" Type="http://schemas.openxmlformats.org/officeDocument/2006/relationships/hyperlink" Target="https://www.sec.gov/Archives/edgar/data/1800637/000121390022049494/ea164681ex4-3_agrify.htm" TargetMode="External"/><Relationship Id="rId97" Type="http://schemas.openxmlformats.org/officeDocument/2006/relationships/hyperlink" Target="https://www.sec.gov/Archives/edgar/data/1800637/000121390022039420/ea162872ex10-2_agrify.htm" TargetMode="External"/><Relationship Id="rId98" Type="http://schemas.openxmlformats.org/officeDocument/2006/relationships/hyperlink" Target="https://www.sec.gov/Archives/edgar/data/1800637/000121390022039420/ea162872ex10-1_agrify.htm" TargetMode="External"/><Relationship Id="rId99" Type="http://schemas.openxmlformats.org/officeDocument/2006/relationships/hyperlink" Target="https://www.sec.gov/Archives/edgar/data/1800637/000121390022049494/ea164681ex10-1_agrify.htm" TargetMode="External"/><Relationship Id="rId100" Type="http://schemas.openxmlformats.org/officeDocument/2006/relationships/hyperlink" Target="https://www.sec.gov/Archives/edgar/data/1800637/000121390022064592/ea167238ex1-1_agrifycorp.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2023-12-12T06:22:09Z</dcterms:created>
  <dcterms:modified xsi:type="dcterms:W3CDTF">2023-12-12T06:22:09Z</dcterms:modified>
</cp:coreProperties>
</file>