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20741-10q_agrify.htm"/>
      <w:bookmarkStart w:id="1" w:name="ksea022074110q_agrify"/>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September 30,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 to 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001-39946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9144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7620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b/>
                <w:sz w:val="20"/>
              </w:rPr>
            </w:pPr>
            <w:r>
              <w:rPr>
                <w:b/>
                <w:sz w:val="20"/>
              </w:rPr>
              <w:t>Nevada</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30-0943453</w:t>
            </w:r>
          </w:p>
        </w:tc>
      </w:tr>
      <w:tr>
        <w:trPr/>
        <w:tc>
          <w:tcPr>
            <w:tcW w:w="2495" w:type="dxa"/>
            <w:tcBorders/>
            <w:tcMar>
              <w:bottom w:w="0" w:type="dxa"/>
            </w:tcMar>
            <w:vAlign w:val="center"/>
          </w:tcPr>
          <w:p>
            <w:pPr>
              <w:pStyle w:val="TableContents"/>
              <w:bidi w:val="0"/>
              <w:spacing w:before="0" w:after="283"/>
              <w:jc w:val="center"/>
              <w:rPr>
                <w:sz w:val="20"/>
              </w:rPr>
            </w:pPr>
            <w:r>
              <w:rPr>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2468 Industrial Row Dr.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Troy, Michigan 48084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(855) 420-0020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sz w:val="20"/>
              </w:rPr>
            </w:pPr>
            <w:r>
              <w:rPr>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r>
              <w:rPr>
                <w:sz w:val="20"/>
              </w:rPr>
              <w:t>AGFY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14, 2024, the registrant had 1,529,747 shares of Common Stock, $0.001 par value per share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2"/>
        <w:gridCol w:w="8978"/>
        <w:gridCol w:w="485"/>
      </w:tblGrid>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Page </w:t>
            </w:r>
          </w:p>
        </w:tc>
      </w:tr>
      <w:tr>
        <w:trPr/>
        <w:tc>
          <w:tcPr>
            <w:tcW w:w="742" w:type="dxa"/>
            <w:tcBorders/>
            <w:shd w:fill="CCEEFF" w:val="clear"/>
            <w:vAlign w:val="center"/>
          </w:tcPr>
          <w:p>
            <w:pPr>
              <w:pStyle w:val="TableContents"/>
              <w:bidi w:val="0"/>
              <w:spacing w:before="0" w:after="283"/>
              <w:jc w:val="both"/>
              <w:rPr/>
            </w:pPr>
            <w:hyperlink w:anchor="a_019">
              <w:r>
                <w:rPr>
                  <w:rStyle w:val="InternetLink"/>
                  <w:b/>
                  <w:sz w:val="20"/>
                </w:rPr>
                <w:t>PART I</w:t>
              </w:r>
            </w:hyperlink>
          </w:p>
        </w:tc>
        <w:tc>
          <w:tcPr>
            <w:tcW w:w="8978" w:type="dxa"/>
            <w:tcBorders/>
            <w:shd w:fill="CCEEFF" w:val="clear"/>
            <w:vAlign w:val="center"/>
          </w:tcPr>
          <w:p>
            <w:pPr>
              <w:pStyle w:val="TableContents"/>
              <w:bidi w:val="0"/>
              <w:spacing w:before="0" w:after="283"/>
              <w:jc w:val="both"/>
              <w:rPr/>
            </w:pPr>
            <w:hyperlink w:anchor="a_019">
              <w:r>
                <w:rPr>
                  <w:rStyle w:val="InternetLink"/>
                  <w:b/>
                  <w:sz w:val="20"/>
                </w:rPr>
                <w:t>FINANCIAL INFORMATION</w:t>
              </w:r>
            </w:hyperlink>
          </w:p>
        </w:tc>
        <w:tc>
          <w:tcPr>
            <w:tcW w:w="485" w:type="dxa"/>
            <w:tcBorders/>
            <w:shd w:fill="CCEEFF" w:val="clear"/>
            <w:vAlign w:val="center"/>
          </w:tcPr>
          <w:p>
            <w:pPr>
              <w:pStyle w:val="TableContents"/>
              <w:bidi w:val="0"/>
              <w:spacing w:before="0" w:after="283"/>
              <w:jc w:val="center"/>
              <w:rPr>
                <w:sz w:val="20"/>
              </w:rPr>
            </w:pPr>
            <w:r>
              <w:rPr>
                <w:sz w:val="20"/>
              </w:rPr>
              <w:t>1</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both"/>
              <w:rPr>
                <w:sz w:val="20"/>
              </w:rPr>
            </w:pPr>
            <w:r>
              <w:rPr>
                <w:sz w:val="20"/>
              </w:rPr>
              <w:t>ITEM 1.</w:t>
            </w:r>
          </w:p>
        </w:tc>
        <w:tc>
          <w:tcPr>
            <w:tcW w:w="8978" w:type="dxa"/>
            <w:tcBorders/>
            <w:shd w:fill="CCEEFF" w:val="clear"/>
            <w:vAlign w:val="center"/>
          </w:tcPr>
          <w:p>
            <w:pPr>
              <w:pStyle w:val="TableContents"/>
              <w:bidi w:val="0"/>
              <w:spacing w:before="0" w:after="283"/>
              <w:jc w:val="left"/>
              <w:rPr/>
            </w:pPr>
            <w:hyperlink w:anchor="a_001">
              <w:r>
                <w:rPr>
                  <w:rStyle w:val="InternetLink"/>
                  <w:sz w:val="20"/>
                </w:rPr>
                <w:t>FINANCIAL STATEMENTS</w:t>
              </w:r>
            </w:hyperlink>
          </w:p>
        </w:tc>
        <w:tc>
          <w:tcPr>
            <w:tcW w:w="485" w:type="dxa"/>
            <w:tcBorders/>
            <w:shd w:fill="CCEEFF" w:val="clear"/>
            <w:vAlign w:val="center"/>
          </w:tcPr>
          <w:p>
            <w:pPr>
              <w:pStyle w:val="TableContents"/>
              <w:bidi w:val="0"/>
              <w:spacing w:before="0" w:after="283"/>
              <w:jc w:val="center"/>
              <w:rPr/>
            </w:pPr>
            <w:r>
              <w:rPr/>
              <w:t>1</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left"/>
              <w:rPr/>
            </w:pPr>
            <w:r>
              <w:rPr/>
              <w:t> </w:t>
            </w:r>
          </w:p>
        </w:tc>
        <w:tc>
          <w:tcPr>
            <w:tcW w:w="8978" w:type="dxa"/>
            <w:tcBorders/>
            <w:shd w:fill="CCEEFF" w:val="clear"/>
            <w:vAlign w:val="center"/>
          </w:tcPr>
          <w:p>
            <w:pPr>
              <w:pStyle w:val="TableContents"/>
              <w:bidi w:val="0"/>
              <w:spacing w:before="0" w:after="283"/>
              <w:jc w:val="left"/>
              <w:rPr/>
            </w:pPr>
            <w:hyperlink w:anchor="a_002">
              <w:r>
                <w:rPr>
                  <w:rStyle w:val="InternetLink"/>
                  <w:sz w:val="20"/>
                </w:rPr>
                <w:t>Condensed Consolidated Balance Sheets as of September 30, 2024 (unaudited) and December 31, 2023</w:t>
              </w:r>
            </w:hyperlink>
          </w:p>
        </w:tc>
        <w:tc>
          <w:tcPr>
            <w:tcW w:w="485" w:type="dxa"/>
            <w:tcBorders/>
            <w:shd w:fill="CCEEFF" w:val="clear"/>
            <w:vAlign w:val="center"/>
          </w:tcPr>
          <w:p>
            <w:pPr>
              <w:pStyle w:val="TableContents"/>
              <w:bidi w:val="0"/>
              <w:spacing w:before="0" w:after="283"/>
              <w:jc w:val="center"/>
              <w:rPr>
                <w:sz w:val="20"/>
              </w:rPr>
            </w:pPr>
            <w:r>
              <w:rPr>
                <w:sz w:val="20"/>
              </w:rPr>
              <w:t>1</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left"/>
              <w:rPr/>
            </w:pPr>
            <w:r>
              <w:rPr/>
              <w:t> </w:t>
            </w:r>
          </w:p>
        </w:tc>
        <w:tc>
          <w:tcPr>
            <w:tcW w:w="8978" w:type="dxa"/>
            <w:tcBorders/>
            <w:shd w:fill="CCEEFF" w:val="clear"/>
            <w:vAlign w:val="center"/>
          </w:tcPr>
          <w:p>
            <w:pPr>
              <w:pStyle w:val="TableContents"/>
              <w:bidi w:val="0"/>
              <w:spacing w:before="0" w:after="283"/>
              <w:jc w:val="both"/>
              <w:rPr/>
            </w:pPr>
            <w:hyperlink w:anchor="a_003">
              <w:r>
                <w:rPr>
                  <w:rStyle w:val="InternetLink"/>
                  <w:sz w:val="20"/>
                </w:rPr>
                <w:t>Condensed Consolidated Statements of Operations for the three and nine months ended September 30, 2024 (unaudited) and 2023 (unaudited)</w:t>
              </w:r>
            </w:hyperlink>
          </w:p>
        </w:tc>
        <w:tc>
          <w:tcPr>
            <w:tcW w:w="485" w:type="dxa"/>
            <w:tcBorders/>
            <w:shd w:fill="CCEEFF" w:val="clear"/>
            <w:vAlign w:val="center"/>
          </w:tcPr>
          <w:p>
            <w:pPr>
              <w:pStyle w:val="TableContents"/>
              <w:bidi w:val="0"/>
              <w:spacing w:before="0" w:after="283"/>
              <w:jc w:val="center"/>
              <w:rPr>
                <w:sz w:val="20"/>
              </w:rPr>
            </w:pPr>
            <w:r>
              <w:rPr>
                <w:sz w:val="20"/>
              </w:rPr>
              <w:t>2</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left"/>
              <w:rPr/>
            </w:pPr>
            <w:r>
              <w:rPr/>
              <w:t> </w:t>
            </w:r>
          </w:p>
        </w:tc>
        <w:tc>
          <w:tcPr>
            <w:tcW w:w="8978" w:type="dxa"/>
            <w:tcBorders/>
            <w:shd w:fill="CCEEFF" w:val="clear"/>
            <w:vAlign w:val="center"/>
          </w:tcPr>
          <w:p>
            <w:pPr>
              <w:pStyle w:val="TableContents"/>
              <w:bidi w:val="0"/>
              <w:spacing w:before="0" w:after="283"/>
              <w:jc w:val="both"/>
              <w:rPr/>
            </w:pPr>
            <w:hyperlink w:anchor="a_004">
              <w:r>
                <w:rPr>
                  <w:rStyle w:val="InternetLink"/>
                  <w:sz w:val="20"/>
                </w:rPr>
                <w:t>Condensed Consolidated Statements of Stockholders’ Equity (Deficit) for the three and nine months ended September 30, 2024 (unaudited) and 2023 (unaudited)</w:t>
              </w:r>
            </w:hyperlink>
          </w:p>
        </w:tc>
        <w:tc>
          <w:tcPr>
            <w:tcW w:w="485" w:type="dxa"/>
            <w:tcBorders/>
            <w:shd w:fill="CCEEFF" w:val="clear"/>
            <w:vAlign w:val="center"/>
          </w:tcPr>
          <w:p>
            <w:pPr>
              <w:pStyle w:val="TableContents"/>
              <w:bidi w:val="0"/>
              <w:spacing w:before="0" w:after="283"/>
              <w:jc w:val="center"/>
              <w:rPr>
                <w:sz w:val="20"/>
              </w:rPr>
            </w:pPr>
            <w:r>
              <w:rPr>
                <w:sz w:val="20"/>
              </w:rPr>
              <w:t>3</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left"/>
              <w:rPr/>
            </w:pPr>
            <w:r>
              <w:rPr/>
              <w:t> </w:t>
            </w:r>
          </w:p>
        </w:tc>
        <w:tc>
          <w:tcPr>
            <w:tcW w:w="8978" w:type="dxa"/>
            <w:tcBorders/>
            <w:shd w:fill="CCEEFF" w:val="clear"/>
            <w:vAlign w:val="center"/>
          </w:tcPr>
          <w:p>
            <w:pPr>
              <w:pStyle w:val="TableContents"/>
              <w:bidi w:val="0"/>
              <w:spacing w:before="0" w:after="283"/>
              <w:jc w:val="both"/>
              <w:rPr/>
            </w:pPr>
            <w:hyperlink w:anchor="a_005">
              <w:r>
                <w:rPr>
                  <w:rStyle w:val="InternetLink"/>
                  <w:sz w:val="20"/>
                </w:rPr>
                <w:t>Condensed Consolidated Statements of Cash Flows for the nine months ended September 30, 2024 (unaudited) and 2023 (unaudited)</w:t>
              </w:r>
            </w:hyperlink>
          </w:p>
        </w:tc>
        <w:tc>
          <w:tcPr>
            <w:tcW w:w="485" w:type="dxa"/>
            <w:tcBorders/>
            <w:shd w:fill="CCEEFF" w:val="clear"/>
            <w:vAlign w:val="center"/>
          </w:tcPr>
          <w:p>
            <w:pPr>
              <w:pStyle w:val="TableContents"/>
              <w:bidi w:val="0"/>
              <w:spacing w:before="0" w:after="283"/>
              <w:jc w:val="center"/>
              <w:rPr>
                <w:sz w:val="20"/>
              </w:rPr>
            </w:pPr>
            <w:r>
              <w:rPr>
                <w:sz w:val="20"/>
              </w:rPr>
              <w:t>5</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left"/>
              <w:rPr/>
            </w:pPr>
            <w:r>
              <w:rPr/>
              <w:t> </w:t>
            </w:r>
          </w:p>
        </w:tc>
        <w:tc>
          <w:tcPr>
            <w:tcW w:w="8978" w:type="dxa"/>
            <w:tcBorders/>
            <w:shd w:fill="CCEEFF" w:val="clear"/>
            <w:vAlign w:val="center"/>
          </w:tcPr>
          <w:p>
            <w:pPr>
              <w:pStyle w:val="TableContents"/>
              <w:bidi w:val="0"/>
              <w:spacing w:before="0" w:after="283"/>
              <w:jc w:val="both"/>
              <w:rPr/>
            </w:pPr>
            <w:hyperlink w:anchor="a_006">
              <w:r>
                <w:rPr>
                  <w:rStyle w:val="InternetLink"/>
                  <w:sz w:val="20"/>
                </w:rPr>
                <w:t>Notes to the Condensed Consolidated Financial Statements</w:t>
              </w:r>
            </w:hyperlink>
          </w:p>
        </w:tc>
        <w:tc>
          <w:tcPr>
            <w:tcW w:w="485" w:type="dxa"/>
            <w:tcBorders/>
            <w:shd w:fill="CCEEFF" w:val="clear"/>
            <w:vAlign w:val="center"/>
          </w:tcPr>
          <w:p>
            <w:pPr>
              <w:pStyle w:val="TableContents"/>
              <w:bidi w:val="0"/>
              <w:spacing w:before="0" w:after="283"/>
              <w:jc w:val="center"/>
              <w:rPr>
                <w:sz w:val="20"/>
              </w:rPr>
            </w:pPr>
            <w:r>
              <w:rPr>
                <w:sz w:val="20"/>
              </w:rPr>
              <w:t>6</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left"/>
              <w:rPr>
                <w:sz w:val="20"/>
              </w:rPr>
            </w:pPr>
            <w:r>
              <w:rPr>
                <w:sz w:val="20"/>
              </w:rPr>
              <w:t>ITEM 2.</w:t>
            </w:r>
          </w:p>
        </w:tc>
        <w:tc>
          <w:tcPr>
            <w:tcW w:w="8978" w:type="dxa"/>
            <w:tcBorders/>
            <w:shd w:fill="CCEEFF" w:val="clear"/>
            <w:vAlign w:val="center"/>
          </w:tcPr>
          <w:p>
            <w:pPr>
              <w:pStyle w:val="TableContents"/>
              <w:bidi w:val="0"/>
              <w:spacing w:before="0" w:after="283"/>
              <w:jc w:val="left"/>
              <w:rPr/>
            </w:pPr>
            <w:hyperlink w:anchor="a_007">
              <w:r>
                <w:rPr>
                  <w:rStyle w:val="InternetLink"/>
                  <w:sz w:val="20"/>
                </w:rPr>
                <w:t>MANAGEMENT’S DISCUSSION AND ANALYSIS OF FINANCIAL CONDITION AND RESULTS OF OPERATIONS</w:t>
              </w:r>
            </w:hyperlink>
          </w:p>
        </w:tc>
        <w:tc>
          <w:tcPr>
            <w:tcW w:w="485" w:type="dxa"/>
            <w:tcBorders/>
            <w:shd w:fill="CCEEFF" w:val="clear"/>
            <w:vAlign w:val="center"/>
          </w:tcPr>
          <w:p>
            <w:pPr>
              <w:pStyle w:val="TableContents"/>
              <w:bidi w:val="0"/>
              <w:spacing w:before="0" w:after="283"/>
              <w:jc w:val="center"/>
              <w:rPr>
                <w:sz w:val="20"/>
              </w:rPr>
            </w:pPr>
            <w:r>
              <w:rPr>
                <w:sz w:val="20"/>
              </w:rPr>
              <w:t>37</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both"/>
              <w:rPr>
                <w:sz w:val="20"/>
              </w:rPr>
            </w:pPr>
            <w:r>
              <w:rPr>
                <w:sz w:val="20"/>
              </w:rPr>
              <w:t>ITEM 3.</w:t>
            </w:r>
          </w:p>
        </w:tc>
        <w:tc>
          <w:tcPr>
            <w:tcW w:w="8978" w:type="dxa"/>
            <w:tcBorders/>
            <w:shd w:fill="CCEEFF" w:val="clear"/>
            <w:vAlign w:val="center"/>
          </w:tcPr>
          <w:p>
            <w:pPr>
              <w:pStyle w:val="TableContents"/>
              <w:bidi w:val="0"/>
              <w:spacing w:before="0" w:after="283"/>
              <w:jc w:val="left"/>
              <w:rPr/>
            </w:pPr>
            <w:hyperlink w:anchor="a_008">
              <w:r>
                <w:rPr>
                  <w:rStyle w:val="InternetLink"/>
                  <w:sz w:val="20"/>
                </w:rPr>
                <w:t>QUANTITATIVE AND QUALITATIVE DISCLOSURES ABOUT MARKET RISK</w:t>
              </w:r>
            </w:hyperlink>
          </w:p>
        </w:tc>
        <w:tc>
          <w:tcPr>
            <w:tcW w:w="485" w:type="dxa"/>
            <w:tcBorders/>
            <w:shd w:fill="CCEEFF" w:val="clear"/>
            <w:vAlign w:val="center"/>
          </w:tcPr>
          <w:p>
            <w:pPr>
              <w:pStyle w:val="TableContents"/>
              <w:bidi w:val="0"/>
              <w:spacing w:before="0" w:after="283"/>
              <w:jc w:val="center"/>
              <w:rPr>
                <w:sz w:val="20"/>
              </w:rPr>
            </w:pPr>
            <w:r>
              <w:rPr>
                <w:sz w:val="20"/>
              </w:rPr>
              <w:t>55</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both"/>
              <w:rPr>
                <w:sz w:val="20"/>
              </w:rPr>
            </w:pPr>
            <w:r>
              <w:rPr>
                <w:sz w:val="20"/>
              </w:rPr>
              <w:t>ITEM 4.</w:t>
            </w:r>
          </w:p>
        </w:tc>
        <w:tc>
          <w:tcPr>
            <w:tcW w:w="8978" w:type="dxa"/>
            <w:tcBorders/>
            <w:shd w:fill="CCEEFF" w:val="clear"/>
            <w:vAlign w:val="center"/>
          </w:tcPr>
          <w:p>
            <w:pPr>
              <w:pStyle w:val="TableContents"/>
              <w:bidi w:val="0"/>
              <w:spacing w:before="0" w:after="283"/>
              <w:jc w:val="left"/>
              <w:rPr/>
            </w:pPr>
            <w:hyperlink w:anchor="a_009">
              <w:r>
                <w:rPr>
                  <w:rStyle w:val="InternetLink"/>
                  <w:sz w:val="20"/>
                </w:rPr>
                <w:t>CONTROLS AND PROCEDURES</w:t>
              </w:r>
            </w:hyperlink>
          </w:p>
        </w:tc>
        <w:tc>
          <w:tcPr>
            <w:tcW w:w="485" w:type="dxa"/>
            <w:tcBorders/>
            <w:shd w:fill="CCEEFF" w:val="clear"/>
            <w:vAlign w:val="center"/>
          </w:tcPr>
          <w:p>
            <w:pPr>
              <w:pStyle w:val="TableContents"/>
              <w:bidi w:val="0"/>
              <w:spacing w:before="0" w:after="283"/>
              <w:jc w:val="center"/>
              <w:rPr>
                <w:sz w:val="20"/>
              </w:rPr>
            </w:pPr>
            <w:r>
              <w:rPr>
                <w:sz w:val="20"/>
              </w:rPr>
              <w:t>55</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9720" w:type="dxa"/>
            <w:gridSpan w:val="2"/>
            <w:tcBorders/>
            <w:shd w:fill="CCEEFF" w:val="clear"/>
            <w:vAlign w:val="center"/>
          </w:tcPr>
          <w:p>
            <w:pPr>
              <w:pStyle w:val="TableContents"/>
              <w:bidi w:val="0"/>
              <w:spacing w:before="0" w:after="283"/>
              <w:jc w:val="left"/>
              <w:rPr/>
            </w:pPr>
            <w:hyperlink w:anchor="a_010">
              <w:r>
                <w:rPr>
                  <w:rStyle w:val="InternetLink"/>
                  <w:b/>
                  <w:sz w:val="20"/>
                </w:rPr>
                <w:t>PART II</w:t>
              </w:r>
            </w:hyperlink>
            <w:r>
              <w:rPr>
                <w:b/>
                <w:sz w:val="20"/>
              </w:rPr>
              <w:t xml:space="preserve"> </w:t>
            </w:r>
            <w:hyperlink w:anchor="a_010">
              <w:r>
                <w:rPr>
                  <w:rStyle w:val="InternetLink"/>
                  <w:b/>
                  <w:sz w:val="20"/>
                </w:rPr>
                <w:t>OTHER INFORMATION</w:t>
              </w:r>
            </w:hyperlink>
          </w:p>
        </w:tc>
        <w:tc>
          <w:tcPr>
            <w:tcW w:w="485" w:type="dxa"/>
            <w:tcBorders/>
            <w:shd w:fill="CCEEFF" w:val="clear"/>
            <w:vAlign w:val="center"/>
          </w:tcPr>
          <w:p>
            <w:pPr>
              <w:pStyle w:val="TableContents"/>
              <w:bidi w:val="0"/>
              <w:spacing w:before="0" w:after="283"/>
              <w:jc w:val="center"/>
              <w:rPr>
                <w:sz w:val="20"/>
              </w:rPr>
            </w:pPr>
            <w:r>
              <w:rPr>
                <w:sz w:val="20"/>
              </w:rPr>
              <w:t>56</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left"/>
              <w:rPr>
                <w:sz w:val="20"/>
              </w:rPr>
            </w:pPr>
            <w:r>
              <w:rPr>
                <w:sz w:val="20"/>
              </w:rPr>
              <w:t>ITEM 1.</w:t>
            </w:r>
          </w:p>
        </w:tc>
        <w:tc>
          <w:tcPr>
            <w:tcW w:w="8978" w:type="dxa"/>
            <w:tcBorders/>
            <w:shd w:fill="CCEEFF" w:val="clear"/>
            <w:vAlign w:val="center"/>
          </w:tcPr>
          <w:p>
            <w:pPr>
              <w:pStyle w:val="TableContents"/>
              <w:bidi w:val="0"/>
              <w:spacing w:before="0" w:after="283"/>
              <w:jc w:val="left"/>
              <w:rPr/>
            </w:pPr>
            <w:hyperlink w:anchor="a_011">
              <w:r>
                <w:rPr>
                  <w:rStyle w:val="InternetLink"/>
                  <w:sz w:val="20"/>
                </w:rPr>
                <w:t>LEGAL PROCEEDINGS</w:t>
              </w:r>
            </w:hyperlink>
          </w:p>
        </w:tc>
        <w:tc>
          <w:tcPr>
            <w:tcW w:w="485" w:type="dxa"/>
            <w:tcBorders/>
            <w:shd w:fill="CCEEFF" w:val="clear"/>
            <w:vAlign w:val="center"/>
          </w:tcPr>
          <w:p>
            <w:pPr>
              <w:pStyle w:val="TableContents"/>
              <w:bidi w:val="0"/>
              <w:spacing w:before="0" w:after="283"/>
              <w:jc w:val="center"/>
              <w:rPr>
                <w:sz w:val="20"/>
              </w:rPr>
            </w:pPr>
            <w:r>
              <w:rPr>
                <w:sz w:val="20"/>
              </w:rPr>
              <w:t>56</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left"/>
              <w:rPr>
                <w:sz w:val="20"/>
              </w:rPr>
            </w:pPr>
            <w:r>
              <w:rPr>
                <w:sz w:val="20"/>
              </w:rPr>
              <w:t>ITEM 1A.</w:t>
            </w:r>
          </w:p>
        </w:tc>
        <w:tc>
          <w:tcPr>
            <w:tcW w:w="8978" w:type="dxa"/>
            <w:tcBorders/>
            <w:shd w:fill="CCEEFF" w:val="clear"/>
            <w:vAlign w:val="center"/>
          </w:tcPr>
          <w:p>
            <w:pPr>
              <w:pStyle w:val="TableContents"/>
              <w:bidi w:val="0"/>
              <w:spacing w:before="0" w:after="283"/>
              <w:jc w:val="left"/>
              <w:rPr/>
            </w:pPr>
            <w:hyperlink w:anchor="a_012">
              <w:r>
                <w:rPr>
                  <w:rStyle w:val="InternetLink"/>
                  <w:sz w:val="20"/>
                </w:rPr>
                <w:t>RISK FACTORS</w:t>
              </w:r>
            </w:hyperlink>
          </w:p>
        </w:tc>
        <w:tc>
          <w:tcPr>
            <w:tcW w:w="485" w:type="dxa"/>
            <w:tcBorders/>
            <w:shd w:fill="CCEEFF" w:val="clear"/>
            <w:vAlign w:val="center"/>
          </w:tcPr>
          <w:p>
            <w:pPr>
              <w:pStyle w:val="TableContents"/>
              <w:bidi w:val="0"/>
              <w:spacing w:before="0" w:after="283"/>
              <w:jc w:val="center"/>
              <w:rPr>
                <w:sz w:val="20"/>
              </w:rPr>
            </w:pPr>
            <w:r>
              <w:rPr>
                <w:sz w:val="20"/>
              </w:rPr>
              <w:t>56</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left"/>
              <w:rPr>
                <w:sz w:val="20"/>
              </w:rPr>
            </w:pPr>
            <w:r>
              <w:rPr>
                <w:sz w:val="20"/>
              </w:rPr>
              <w:t>ITEM 2.</w:t>
            </w:r>
          </w:p>
        </w:tc>
        <w:tc>
          <w:tcPr>
            <w:tcW w:w="8978" w:type="dxa"/>
            <w:tcBorders/>
            <w:shd w:fill="CCEEFF" w:val="clear"/>
            <w:vAlign w:val="center"/>
          </w:tcPr>
          <w:p>
            <w:pPr>
              <w:pStyle w:val="TableContents"/>
              <w:bidi w:val="0"/>
              <w:spacing w:before="0" w:after="283"/>
              <w:jc w:val="left"/>
              <w:rPr/>
            </w:pPr>
            <w:hyperlink w:anchor="a_013">
              <w:r>
                <w:rPr>
                  <w:rStyle w:val="InternetLink"/>
                  <w:sz w:val="20"/>
                </w:rPr>
                <w:t>UNREGISTERED SALES OF EQUITY SECURITIES AND USE OF PROCEEDS</w:t>
              </w:r>
            </w:hyperlink>
          </w:p>
        </w:tc>
        <w:tc>
          <w:tcPr>
            <w:tcW w:w="485" w:type="dxa"/>
            <w:tcBorders/>
            <w:shd w:fill="CCEEFF" w:val="clear"/>
            <w:vAlign w:val="center"/>
          </w:tcPr>
          <w:p>
            <w:pPr>
              <w:pStyle w:val="TableContents"/>
              <w:bidi w:val="0"/>
              <w:spacing w:before="0" w:after="283"/>
              <w:jc w:val="center"/>
              <w:rPr>
                <w:sz w:val="20"/>
              </w:rPr>
            </w:pPr>
            <w:r>
              <w:rPr>
                <w:sz w:val="20"/>
              </w:rPr>
              <w:t>56</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left"/>
              <w:rPr>
                <w:sz w:val="20"/>
              </w:rPr>
            </w:pPr>
            <w:r>
              <w:rPr>
                <w:sz w:val="20"/>
              </w:rPr>
              <w:t>ITEM 3.</w:t>
            </w:r>
          </w:p>
        </w:tc>
        <w:tc>
          <w:tcPr>
            <w:tcW w:w="8978" w:type="dxa"/>
            <w:tcBorders/>
            <w:shd w:fill="CCEEFF" w:val="clear"/>
            <w:vAlign w:val="center"/>
          </w:tcPr>
          <w:p>
            <w:pPr>
              <w:pStyle w:val="TableContents"/>
              <w:bidi w:val="0"/>
              <w:spacing w:before="0" w:after="283"/>
              <w:jc w:val="left"/>
              <w:rPr/>
            </w:pPr>
            <w:hyperlink w:anchor="a_014">
              <w:r>
                <w:rPr>
                  <w:rStyle w:val="InternetLink"/>
                  <w:sz w:val="20"/>
                </w:rPr>
                <w:t>DEFAULTS UPON SENIOR SECURITIES</w:t>
              </w:r>
            </w:hyperlink>
          </w:p>
        </w:tc>
        <w:tc>
          <w:tcPr>
            <w:tcW w:w="485" w:type="dxa"/>
            <w:tcBorders/>
            <w:shd w:fill="CCEEFF" w:val="clear"/>
            <w:vAlign w:val="center"/>
          </w:tcPr>
          <w:p>
            <w:pPr>
              <w:pStyle w:val="TableContents"/>
              <w:bidi w:val="0"/>
              <w:spacing w:before="0" w:after="283"/>
              <w:jc w:val="center"/>
              <w:rPr>
                <w:sz w:val="20"/>
              </w:rPr>
            </w:pPr>
            <w:r>
              <w:rPr>
                <w:sz w:val="20"/>
              </w:rPr>
              <w:t>56</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left"/>
              <w:rPr>
                <w:sz w:val="20"/>
              </w:rPr>
            </w:pPr>
            <w:r>
              <w:rPr>
                <w:sz w:val="20"/>
              </w:rPr>
              <w:t>ITEM 4.</w:t>
            </w:r>
          </w:p>
        </w:tc>
        <w:tc>
          <w:tcPr>
            <w:tcW w:w="8978" w:type="dxa"/>
            <w:tcBorders/>
            <w:shd w:fill="CCEEFF" w:val="clear"/>
            <w:vAlign w:val="center"/>
          </w:tcPr>
          <w:p>
            <w:pPr>
              <w:pStyle w:val="TableContents"/>
              <w:bidi w:val="0"/>
              <w:spacing w:before="0" w:after="283"/>
              <w:jc w:val="left"/>
              <w:rPr/>
            </w:pPr>
            <w:hyperlink w:anchor="a_015">
              <w:r>
                <w:rPr>
                  <w:rStyle w:val="InternetLink"/>
                  <w:sz w:val="20"/>
                </w:rPr>
                <w:t>MINE SAFETY DISCLOSURES</w:t>
              </w:r>
            </w:hyperlink>
          </w:p>
        </w:tc>
        <w:tc>
          <w:tcPr>
            <w:tcW w:w="485" w:type="dxa"/>
            <w:tcBorders/>
            <w:shd w:fill="CCEEFF" w:val="clear"/>
            <w:vAlign w:val="center"/>
          </w:tcPr>
          <w:p>
            <w:pPr>
              <w:pStyle w:val="TableContents"/>
              <w:bidi w:val="0"/>
              <w:spacing w:before="0" w:after="283"/>
              <w:jc w:val="center"/>
              <w:rPr>
                <w:sz w:val="20"/>
              </w:rPr>
            </w:pPr>
            <w:r>
              <w:rPr>
                <w:sz w:val="20"/>
              </w:rPr>
              <w:t>56</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left"/>
              <w:rPr>
                <w:sz w:val="20"/>
              </w:rPr>
            </w:pPr>
            <w:r>
              <w:rPr>
                <w:sz w:val="20"/>
              </w:rPr>
              <w:t>ITEM 5.</w:t>
            </w:r>
          </w:p>
        </w:tc>
        <w:tc>
          <w:tcPr>
            <w:tcW w:w="8978" w:type="dxa"/>
            <w:tcBorders/>
            <w:shd w:fill="CCEEFF" w:val="clear"/>
            <w:vAlign w:val="center"/>
          </w:tcPr>
          <w:p>
            <w:pPr>
              <w:pStyle w:val="TableContents"/>
              <w:bidi w:val="0"/>
              <w:spacing w:before="0" w:after="283"/>
              <w:jc w:val="left"/>
              <w:rPr/>
            </w:pPr>
            <w:hyperlink w:anchor="a_016">
              <w:r>
                <w:rPr>
                  <w:rStyle w:val="InternetLink"/>
                  <w:sz w:val="20"/>
                </w:rPr>
                <w:t>OTHER INFORMATION</w:t>
              </w:r>
            </w:hyperlink>
          </w:p>
        </w:tc>
        <w:tc>
          <w:tcPr>
            <w:tcW w:w="485" w:type="dxa"/>
            <w:tcBorders/>
            <w:shd w:fill="CCEEFF" w:val="clear"/>
            <w:vAlign w:val="center"/>
          </w:tcPr>
          <w:p>
            <w:pPr>
              <w:pStyle w:val="TableContents"/>
              <w:bidi w:val="0"/>
              <w:spacing w:before="0" w:after="283"/>
              <w:jc w:val="center"/>
              <w:rPr>
                <w:sz w:val="20"/>
              </w:rPr>
            </w:pPr>
            <w:r>
              <w:rPr>
                <w:sz w:val="20"/>
              </w:rPr>
              <w:t>56</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42" w:type="dxa"/>
            <w:tcBorders/>
            <w:shd w:fill="CCEEFF" w:val="clear"/>
            <w:vAlign w:val="center"/>
          </w:tcPr>
          <w:p>
            <w:pPr>
              <w:pStyle w:val="TableContents"/>
              <w:bidi w:val="0"/>
              <w:spacing w:before="0" w:after="283"/>
              <w:jc w:val="left"/>
              <w:rPr>
                <w:sz w:val="20"/>
              </w:rPr>
            </w:pPr>
            <w:r>
              <w:rPr>
                <w:sz w:val="20"/>
              </w:rPr>
              <w:t>ITEM 6.</w:t>
            </w:r>
          </w:p>
        </w:tc>
        <w:tc>
          <w:tcPr>
            <w:tcW w:w="8978" w:type="dxa"/>
            <w:tcBorders/>
            <w:shd w:fill="CCEEFF" w:val="clear"/>
            <w:vAlign w:val="center"/>
          </w:tcPr>
          <w:p>
            <w:pPr>
              <w:pStyle w:val="TableContents"/>
              <w:bidi w:val="0"/>
              <w:spacing w:before="0" w:after="283"/>
              <w:jc w:val="left"/>
              <w:rPr/>
            </w:pPr>
            <w:hyperlink w:anchor="a_017">
              <w:r>
                <w:rPr>
                  <w:rStyle w:val="InternetLink"/>
                  <w:sz w:val="20"/>
                </w:rPr>
                <w:t>EXHIBITS</w:t>
              </w:r>
            </w:hyperlink>
          </w:p>
        </w:tc>
        <w:tc>
          <w:tcPr>
            <w:tcW w:w="485" w:type="dxa"/>
            <w:tcBorders/>
            <w:shd w:fill="CCEEFF" w:val="clear"/>
            <w:vAlign w:val="center"/>
          </w:tcPr>
          <w:p>
            <w:pPr>
              <w:pStyle w:val="TableContents"/>
              <w:bidi w:val="0"/>
              <w:spacing w:before="0" w:after="283"/>
              <w:jc w:val="center"/>
              <w:rPr>
                <w:sz w:val="20"/>
              </w:rPr>
            </w:pPr>
            <w:r>
              <w:rPr>
                <w:sz w:val="20"/>
              </w:rPr>
              <w:t>57</w:t>
            </w:r>
          </w:p>
        </w:tc>
      </w:tr>
      <w:tr>
        <w:trPr/>
        <w:tc>
          <w:tcPr>
            <w:tcW w:w="74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9720" w:type="dxa"/>
            <w:gridSpan w:val="2"/>
            <w:tcBorders/>
            <w:shd w:fill="CCEEFF" w:val="clear"/>
            <w:vAlign w:val="center"/>
          </w:tcPr>
          <w:p>
            <w:pPr>
              <w:pStyle w:val="TableContents"/>
              <w:bidi w:val="0"/>
              <w:spacing w:before="0" w:after="283"/>
              <w:jc w:val="left"/>
              <w:rPr/>
            </w:pPr>
            <w:hyperlink w:anchor="a_018">
              <w:r>
                <w:rPr>
                  <w:rStyle w:val="InternetLink"/>
                  <w:sz w:val="20"/>
                </w:rPr>
                <w:t>SIGNATURES</w:t>
              </w:r>
            </w:hyperlink>
          </w:p>
        </w:tc>
        <w:tc>
          <w:tcPr>
            <w:tcW w:w="485" w:type="dxa"/>
            <w:tcBorders/>
            <w:shd w:fill="CCEEFF" w:val="clear"/>
            <w:vAlign w:val="center"/>
          </w:tcPr>
          <w:p>
            <w:pPr>
              <w:pStyle w:val="TableContents"/>
              <w:bidi w:val="0"/>
              <w:spacing w:before="0" w:after="283"/>
              <w:jc w:val="center"/>
              <w:rPr>
                <w:sz w:val="20"/>
              </w:rPr>
            </w:pPr>
            <w:r>
              <w:rPr>
                <w:sz w:val="20"/>
              </w:rPr>
              <w:t>58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19"/>
      <w:bookmarkEnd w:id="2"/>
      <w:r>
        <w:rPr>
          <w:rFonts w:ascii="Times New Roman;Times;Serif" w:hAnsi="Times New Roman;Times;Serif"/>
          <w:b/>
          <w:i w:val="false"/>
          <w:caps w:val="false"/>
          <w:smallCaps w:val="false"/>
          <w:sz w:val="20"/>
        </w:rPr>
        <w:t>PART I - FINANCIAL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77"/>
        <w:gridCol w:w="60"/>
        <w:gridCol w:w="197"/>
        <w:gridCol w:w="1233"/>
        <w:gridCol w:w="95"/>
        <w:gridCol w:w="60"/>
        <w:gridCol w:w="188"/>
        <w:gridCol w:w="1182"/>
        <w:gridCol w:w="113"/>
      </w:tblGrid>
      <w:tr>
        <w:trPr/>
        <w:tc>
          <w:tcPr>
            <w:tcW w:w="70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December 31,</w:t>
            </w:r>
          </w:p>
        </w:tc>
        <w:tc>
          <w:tcPr>
            <w:tcW w:w="113" w:type="dxa"/>
            <w:tcBorders/>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3" w:type="dxa"/>
            <w:tcBorders/>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07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430</w:t>
            </w:r>
          </w:p>
        </w:tc>
        <w:tc>
          <w:tcPr>
            <w:tcW w:w="113" w:type="dxa"/>
            <w:tcBorders/>
            <w:shd w:fill="CCEEFF" w:val="clear"/>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Marketable securities</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4</w:t>
            </w:r>
          </w:p>
        </w:tc>
        <w:tc>
          <w:tcPr>
            <w:tcW w:w="113" w:type="dxa"/>
            <w:tcBorders/>
            <w:vAlign w:val="center"/>
          </w:tcPr>
          <w:p>
            <w:pPr>
              <w:pStyle w:val="TableContents"/>
              <w:bidi w:val="0"/>
              <w:spacing w:before="0" w:after="283"/>
              <w:ind w:left="0" w:right="0" w:hanging="180"/>
              <w:jc w:val="left"/>
              <w:rPr/>
            </w:pPr>
            <w:r>
              <w:rPr/>
              <w:t> </w:t>
            </w:r>
          </w:p>
        </w:tc>
      </w:tr>
      <w:tr>
        <w:trPr/>
        <w:tc>
          <w:tcPr>
            <w:tcW w:w="7077" w:type="dxa"/>
            <w:tcBorders/>
            <w:shd w:fill="CCEEFF" w:val="clear"/>
            <w:vAlign w:val="center"/>
          </w:tcPr>
          <w:p>
            <w:pPr>
              <w:pStyle w:val="TableContents"/>
              <w:bidi w:val="0"/>
              <w:spacing w:before="0" w:after="283"/>
              <w:jc w:val="left"/>
              <w:rPr/>
            </w:pPr>
            <w:r>
              <w:rPr/>
              <w:t>Accounts receivable, net of allowance for credit losses of $2,626 and $1,887 at September 30, 2024 and December 31, 2023, respectively</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1,149</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7077" w:type="dxa"/>
            <w:tcBorders/>
            <w:vAlign w:val="center"/>
          </w:tcPr>
          <w:p>
            <w:pPr>
              <w:pStyle w:val="TableContents"/>
              <w:bidi w:val="0"/>
              <w:spacing w:before="0" w:after="283"/>
              <w:jc w:val="left"/>
              <w:rPr/>
            </w:pPr>
            <w:r>
              <w:rPr/>
              <w:t>Inventory, net of reserves of $15,766 and $17,599 at September 30, 2024 and December 31, 2023, respectively</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18,085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19,094</w:t>
            </w:r>
          </w:p>
        </w:tc>
        <w:tc>
          <w:tcPr>
            <w:tcW w:w="113" w:type="dxa"/>
            <w:tcBorders/>
            <w:vAlign w:val="center"/>
          </w:tcPr>
          <w:p>
            <w:pPr>
              <w:pStyle w:val="TableContents"/>
              <w:bidi w:val="0"/>
              <w:spacing w:before="0" w:after="283"/>
              <w:jc w:val="left"/>
              <w:rPr/>
            </w:pPr>
            <w:r>
              <w:rPr/>
              <w:t> </w:t>
            </w:r>
          </w:p>
        </w:tc>
      </w:tr>
      <w:tr>
        <w:trPr/>
        <w:tc>
          <w:tcPr>
            <w:tcW w:w="7077" w:type="dxa"/>
            <w:tcBorders/>
            <w:shd w:fill="CCEEFF" w:val="clear"/>
            <w:vAlign w:val="center"/>
          </w:tcPr>
          <w:p>
            <w:pPr>
              <w:pStyle w:val="TableContents"/>
              <w:bidi w:val="0"/>
              <w:spacing w:before="0" w:after="283"/>
              <w:jc w:val="left"/>
              <w:rPr/>
            </w:pPr>
            <w:r>
              <w:rPr/>
              <w:t>Loans receivable, current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Prepaid expenses and other current assets</w:t>
            </w:r>
          </w:p>
        </w:tc>
        <w:tc>
          <w:tcPr>
            <w:tcW w:w="6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tcMar>
              <w:bottom w:w="28" w:type="dxa"/>
            </w:tcMar>
            <w:vAlign w:val="center"/>
          </w:tcPr>
          <w:p>
            <w:pPr>
              <w:pStyle w:val="TableContents"/>
              <w:bidi w:val="0"/>
              <w:spacing w:before="0" w:after="283"/>
              <w:jc w:val="right"/>
              <w:rPr/>
            </w:pPr>
            <w:r>
              <w:rPr/>
              <w:t>410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3,332</w:t>
            </w:r>
          </w:p>
        </w:tc>
        <w:tc>
          <w:tcPr>
            <w:tcW w:w="113" w:type="dxa"/>
            <w:tcBorders/>
            <w:vAlign w:val="center"/>
          </w:tcPr>
          <w:p>
            <w:pPr>
              <w:pStyle w:val="TableContents"/>
              <w:bidi w:val="0"/>
              <w:spacing w:before="0" w:after="283"/>
              <w:jc w:val="left"/>
              <w:rPr/>
            </w:pPr>
            <w:r>
              <w:rPr/>
              <w:t> </w:t>
            </w:r>
          </w:p>
        </w:tc>
      </w:tr>
      <w:tr>
        <w:trPr/>
        <w:tc>
          <w:tcPr>
            <w:tcW w:w="7077"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20,770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24,009</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7077" w:type="dxa"/>
            <w:tcBorders/>
            <w:vAlign w:val="center"/>
          </w:tcPr>
          <w:p>
            <w:pPr>
              <w:pStyle w:val="TableContents"/>
              <w:bidi w:val="0"/>
              <w:spacing w:before="0" w:after="283"/>
              <w:jc w:val="left"/>
              <w:rPr/>
            </w:pPr>
            <w:r>
              <w:rPr/>
              <w:t>Loans receivable, net of allowance for credit losses of $18,885 and $19,215 at September 30, 2024 and December 31, 2023, respectively, net of current</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9,903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11,583</w:t>
            </w:r>
          </w:p>
        </w:tc>
        <w:tc>
          <w:tcPr>
            <w:tcW w:w="113" w:type="dxa"/>
            <w:tcBorders/>
            <w:vAlign w:val="center"/>
          </w:tcPr>
          <w:p>
            <w:pPr>
              <w:pStyle w:val="TableContents"/>
              <w:bidi w:val="0"/>
              <w:spacing w:before="0" w:after="283"/>
              <w:jc w:val="left"/>
              <w:rPr/>
            </w:pPr>
            <w:r>
              <w:rPr/>
              <w:t> </w:t>
            </w:r>
          </w:p>
        </w:tc>
      </w:tr>
      <w:tr>
        <w:trPr/>
        <w:tc>
          <w:tcPr>
            <w:tcW w:w="7077"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6,596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7,734</w:t>
            </w:r>
          </w:p>
        </w:tc>
        <w:tc>
          <w:tcPr>
            <w:tcW w:w="113" w:type="dxa"/>
            <w:tcBorders/>
            <w:shd w:fill="CCEEFF" w:val="clear"/>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Operating lease right-of-use assets</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1,573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1,803</w:t>
            </w:r>
          </w:p>
        </w:tc>
        <w:tc>
          <w:tcPr>
            <w:tcW w:w="113" w:type="dxa"/>
            <w:tcBorders/>
            <w:vAlign w:val="center"/>
          </w:tcPr>
          <w:p>
            <w:pPr>
              <w:pStyle w:val="TableContents"/>
              <w:bidi w:val="0"/>
              <w:spacing w:before="0" w:after="283"/>
              <w:jc w:val="left"/>
              <w:rPr/>
            </w:pPr>
            <w:r>
              <w:rPr/>
              <w:t> </w:t>
            </w:r>
          </w:p>
        </w:tc>
      </w:tr>
      <w:tr>
        <w:trPr/>
        <w:tc>
          <w:tcPr>
            <w:tcW w:w="7077"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141</w:t>
            </w:r>
          </w:p>
        </w:tc>
        <w:tc>
          <w:tcPr>
            <w:tcW w:w="113" w:type="dxa"/>
            <w:tcBorders/>
            <w:shd w:fill="CCEEFF" w:val="clear"/>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Total assets</w:t>
            </w:r>
          </w:p>
        </w:tc>
        <w:tc>
          <w:tcPr>
            <w:tcW w:w="60" w:type="dxa"/>
            <w:tcBorders/>
            <w:vAlign w:val="center"/>
          </w:tcPr>
          <w:p>
            <w:pPr>
              <w:pStyle w:val="TableContents"/>
              <w:bidi w:val="0"/>
              <w:spacing w:before="0" w:after="283"/>
              <w:jc w:val="left"/>
              <w:rPr/>
            </w:pPr>
            <w:r>
              <w:rPr/>
              <w:t> </w:t>
            </w:r>
          </w:p>
        </w:tc>
        <w:tc>
          <w:tcPr>
            <w:tcW w:w="197" w:type="dxa"/>
            <w:tcBorders>
              <w:bottom w:val="double" w:sz="10" w:space="0" w:color="000000"/>
            </w:tcBorders>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tcMar>
              <w:bottom w:w="28" w:type="dxa"/>
            </w:tcMar>
            <w:vAlign w:val="center"/>
          </w:tcPr>
          <w:p>
            <w:pPr>
              <w:pStyle w:val="TableContents"/>
              <w:bidi w:val="0"/>
              <w:spacing w:before="0" w:after="283"/>
              <w:jc w:val="right"/>
              <w:rPr/>
            </w:pPr>
            <w:r>
              <w:rPr/>
              <w:t>38,952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tcMar>
              <w:bottom w:w="28" w:type="dxa"/>
            </w:tcMar>
            <w:vAlign w:val="center"/>
          </w:tcPr>
          <w:p>
            <w:pPr>
              <w:pStyle w:val="TableContents"/>
              <w:bidi w:val="0"/>
              <w:spacing w:before="0" w:after="283"/>
              <w:jc w:val="right"/>
              <w:rPr/>
            </w:pPr>
            <w:r>
              <w:rPr/>
              <w:t>45,270</w:t>
            </w:r>
          </w:p>
        </w:tc>
        <w:tc>
          <w:tcPr>
            <w:tcW w:w="113" w:type="dxa"/>
            <w:tcBorders/>
            <w:vAlign w:val="center"/>
          </w:tcPr>
          <w:p>
            <w:pPr>
              <w:pStyle w:val="TableContents"/>
              <w:bidi w:val="0"/>
              <w:spacing w:before="0" w:after="283"/>
              <w:jc w:val="left"/>
              <w:rPr/>
            </w:pPr>
            <w:r>
              <w:rPr/>
              <w:t> </w:t>
            </w:r>
          </w:p>
        </w:tc>
      </w:tr>
      <w:tr>
        <w:trPr/>
        <w:tc>
          <w:tcPr>
            <w:tcW w:w="7077"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Current liabilities:</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07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12,034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20,766</w:t>
            </w:r>
          </w:p>
        </w:tc>
        <w:tc>
          <w:tcPr>
            <w:tcW w:w="113" w:type="dxa"/>
            <w:tcBorders/>
            <w:shd w:fill="CCEEFF" w:val="clear"/>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Accrued expenses and other current liabilities</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7,473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10,655</w:t>
            </w:r>
          </w:p>
        </w:tc>
        <w:tc>
          <w:tcPr>
            <w:tcW w:w="113" w:type="dxa"/>
            <w:tcBorders/>
            <w:vAlign w:val="center"/>
          </w:tcPr>
          <w:p>
            <w:pPr>
              <w:pStyle w:val="TableContents"/>
              <w:bidi w:val="0"/>
              <w:spacing w:before="0" w:after="283"/>
              <w:jc w:val="left"/>
              <w:rPr/>
            </w:pPr>
            <w:r>
              <w:rPr/>
              <w:t> </w:t>
            </w:r>
          </w:p>
        </w:tc>
      </w:tr>
      <w:tr>
        <w:trPr/>
        <w:tc>
          <w:tcPr>
            <w:tcW w:w="7077"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599</w:t>
            </w:r>
          </w:p>
        </w:tc>
        <w:tc>
          <w:tcPr>
            <w:tcW w:w="113" w:type="dxa"/>
            <w:tcBorders/>
            <w:shd w:fill="CCEEFF" w:val="clear"/>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Long-term debt, current</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525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766</w:t>
            </w:r>
          </w:p>
        </w:tc>
        <w:tc>
          <w:tcPr>
            <w:tcW w:w="113" w:type="dxa"/>
            <w:tcBorders/>
            <w:vAlign w:val="center"/>
          </w:tcPr>
          <w:p>
            <w:pPr>
              <w:pStyle w:val="TableContents"/>
              <w:bidi w:val="0"/>
              <w:spacing w:before="0" w:after="283"/>
              <w:jc w:val="left"/>
              <w:rPr/>
            </w:pPr>
            <w:r>
              <w:rPr/>
              <w:t> </w:t>
            </w:r>
          </w:p>
        </w:tc>
      </w:tr>
      <w:tr>
        <w:trPr/>
        <w:tc>
          <w:tcPr>
            <w:tcW w:w="7077" w:type="dxa"/>
            <w:tcBorders/>
            <w:shd w:fill="CCEEFF" w:val="clear"/>
            <w:vAlign w:val="center"/>
          </w:tcPr>
          <w:p>
            <w:pPr>
              <w:pStyle w:val="TableContents"/>
              <w:bidi w:val="0"/>
              <w:spacing w:before="0" w:after="283"/>
              <w:jc w:val="left"/>
              <w:rPr/>
            </w:pPr>
            <w:r>
              <w:rPr/>
              <w:t>Related party debt, current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4,444</w:t>
            </w:r>
          </w:p>
        </w:tc>
        <w:tc>
          <w:tcPr>
            <w:tcW w:w="113" w:type="dxa"/>
            <w:tcBorders/>
            <w:shd w:fill="CCEEFF" w:val="clear"/>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Contract liabilities</w:t>
            </w:r>
          </w:p>
        </w:tc>
        <w:tc>
          <w:tcPr>
            <w:tcW w:w="6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tcMar>
              <w:bottom w:w="28" w:type="dxa"/>
            </w:tcMar>
            <w:vAlign w:val="center"/>
          </w:tcPr>
          <w:p>
            <w:pPr>
              <w:pStyle w:val="TableContents"/>
              <w:bidi w:val="0"/>
              <w:spacing w:before="0" w:after="283"/>
              <w:jc w:val="right"/>
              <w:rPr/>
            </w:pPr>
            <w:r>
              <w:rPr/>
              <w:t>4,724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4,019</w:t>
            </w:r>
          </w:p>
        </w:tc>
        <w:tc>
          <w:tcPr>
            <w:tcW w:w="113" w:type="dxa"/>
            <w:tcBorders/>
            <w:vAlign w:val="center"/>
          </w:tcPr>
          <w:p>
            <w:pPr>
              <w:pStyle w:val="TableContents"/>
              <w:bidi w:val="0"/>
              <w:spacing w:before="0" w:after="283"/>
              <w:jc w:val="left"/>
              <w:rPr/>
            </w:pPr>
            <w:r>
              <w:rPr/>
              <w:t> </w:t>
            </w:r>
          </w:p>
        </w:tc>
      </w:tr>
      <w:tr>
        <w:trPr/>
        <w:tc>
          <w:tcPr>
            <w:tcW w:w="7077"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27,766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41,249</w:t>
            </w:r>
          </w:p>
        </w:tc>
        <w:tc>
          <w:tcPr>
            <w:tcW w:w="113" w:type="dxa"/>
            <w:tcBorders/>
            <w:shd w:fill="CCEEFF" w:val="clear"/>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Warrant liabilities</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277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1,290</w:t>
            </w:r>
          </w:p>
        </w:tc>
        <w:tc>
          <w:tcPr>
            <w:tcW w:w="113" w:type="dxa"/>
            <w:tcBorders/>
            <w:vAlign w:val="center"/>
          </w:tcPr>
          <w:p>
            <w:pPr>
              <w:pStyle w:val="TableContents"/>
              <w:bidi w:val="0"/>
              <w:spacing w:before="0" w:after="283"/>
              <w:jc w:val="left"/>
              <w:rPr/>
            </w:pPr>
            <w:r>
              <w:rPr/>
              <w:t> </w:t>
            </w:r>
          </w:p>
        </w:tc>
      </w:tr>
      <w:tr>
        <w:trPr/>
        <w:tc>
          <w:tcPr>
            <w:tcW w:w="7077" w:type="dxa"/>
            <w:tcBorders/>
            <w:shd w:fill="CCEEFF" w:val="clear"/>
            <w:vAlign w:val="center"/>
          </w:tcPr>
          <w:p>
            <w:pPr>
              <w:pStyle w:val="TableContents"/>
              <w:bidi w:val="0"/>
              <w:spacing w:before="0" w:after="283"/>
              <w:jc w:val="left"/>
              <w:rPr/>
            </w:pPr>
            <w:r>
              <w:rPr/>
              <w:t>Operating lease liabilities, net of current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1,090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1,394</w:t>
            </w:r>
          </w:p>
        </w:tc>
        <w:tc>
          <w:tcPr>
            <w:tcW w:w="113" w:type="dxa"/>
            <w:tcBorders/>
            <w:shd w:fill="CCEEFF" w:val="clear"/>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Related party debt, net of current</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4,360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13" w:type="dxa"/>
            <w:tcBorders/>
            <w:vAlign w:val="center"/>
          </w:tcPr>
          <w:p>
            <w:pPr>
              <w:pStyle w:val="TableContents"/>
              <w:bidi w:val="0"/>
              <w:spacing w:before="0" w:after="283"/>
              <w:jc w:val="left"/>
              <w:rPr/>
            </w:pPr>
            <w:r>
              <w:rPr/>
              <w:t> </w:t>
            </w:r>
          </w:p>
        </w:tc>
      </w:tr>
      <w:tr>
        <w:trPr/>
        <w:tc>
          <w:tcPr>
            <w:tcW w:w="7077" w:type="dxa"/>
            <w:tcBorders/>
            <w:shd w:fill="CCEEFF" w:val="clear"/>
            <w:vAlign w:val="center"/>
          </w:tcPr>
          <w:p>
            <w:pPr>
              <w:pStyle w:val="TableContents"/>
              <w:bidi w:val="0"/>
              <w:spacing w:before="0" w:after="283"/>
              <w:jc w:val="left"/>
              <w:rPr/>
            </w:pPr>
            <w:r>
              <w:rPr/>
              <w:t>Long-term debt, net of current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16,047</w:t>
            </w:r>
          </w:p>
        </w:tc>
        <w:tc>
          <w:tcPr>
            <w:tcW w:w="113" w:type="dxa"/>
            <w:tcBorders/>
            <w:shd w:fill="CCEEFF" w:val="clear"/>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Total liabilities</w:t>
            </w:r>
          </w:p>
        </w:tc>
        <w:tc>
          <w:tcPr>
            <w:tcW w:w="6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tcMar>
              <w:bottom w:w="28" w:type="dxa"/>
            </w:tcMar>
            <w:vAlign w:val="center"/>
          </w:tcPr>
          <w:p>
            <w:pPr>
              <w:pStyle w:val="TableContents"/>
              <w:bidi w:val="0"/>
              <w:spacing w:before="0" w:after="283"/>
              <w:jc w:val="right"/>
              <w:rPr/>
            </w:pPr>
            <w:r>
              <w:rPr/>
              <w:t>33,495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59,980</w:t>
            </w:r>
          </w:p>
        </w:tc>
        <w:tc>
          <w:tcPr>
            <w:tcW w:w="113" w:type="dxa"/>
            <w:tcBorders/>
            <w:vAlign w:val="center"/>
          </w:tcPr>
          <w:p>
            <w:pPr>
              <w:pStyle w:val="TableContents"/>
              <w:bidi w:val="0"/>
              <w:spacing w:before="0" w:after="283"/>
              <w:jc w:val="left"/>
              <w:rPr/>
            </w:pPr>
            <w:r>
              <w:rPr/>
              <w:t> </w:t>
            </w:r>
          </w:p>
        </w:tc>
      </w:tr>
      <w:tr>
        <w:trPr/>
        <w:tc>
          <w:tcPr>
            <w:tcW w:w="70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b/>
              </w:rPr>
            </w:pPr>
            <w:r>
              <w:rPr>
                <w:b/>
              </w:rPr>
              <w:t>Commitments and contingencies (Note 14)</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 </w:t>
            </w:r>
          </w:p>
        </w:tc>
        <w:tc>
          <w:tcPr>
            <w:tcW w:w="113" w:type="dxa"/>
            <w:tcBorders/>
            <w:vAlign w:val="center"/>
          </w:tcPr>
          <w:p>
            <w:pPr>
              <w:pStyle w:val="TableContents"/>
              <w:bidi w:val="0"/>
              <w:spacing w:before="0" w:after="283"/>
              <w:jc w:val="left"/>
              <w:rPr/>
            </w:pPr>
            <w:r>
              <w:rPr/>
              <w:t> </w:t>
            </w:r>
          </w:p>
        </w:tc>
      </w:tr>
      <w:tr>
        <w:trPr/>
        <w:tc>
          <w:tcPr>
            <w:tcW w:w="70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Stockholders’ equity (deficit):</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ind w:left="0" w:right="0" w:hanging="180"/>
              <w:jc w:val="left"/>
              <w:rPr/>
            </w:pPr>
            <w:r>
              <w:rPr/>
              <w:t> </w:t>
            </w:r>
          </w:p>
        </w:tc>
      </w:tr>
      <w:tr>
        <w:trPr/>
        <w:tc>
          <w:tcPr>
            <w:tcW w:w="7077" w:type="dxa"/>
            <w:tcBorders/>
            <w:shd w:fill="CCEEFF" w:val="clear"/>
            <w:vAlign w:val="center"/>
          </w:tcPr>
          <w:p>
            <w:pPr>
              <w:pStyle w:val="TableContents"/>
              <w:bidi w:val="0"/>
              <w:spacing w:before="0" w:after="283"/>
              <w:jc w:val="left"/>
              <w:rPr>
                <w:sz w:val="20"/>
              </w:rPr>
            </w:pPr>
            <w:r>
              <w:rPr>
                <w:sz w:val="20"/>
              </w:rPr>
              <w:t xml:space="preserve">Common Stock, $0.001 par value per share, 35,000,000 and 10,000,000 shares authorized at September 30, 2024 and December 31, 2023, respectively, 1,331,823 and 113,416 shares issued and outstanding at September 30, 2024 and December 31, 2023, respectively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7077" w:type="dxa"/>
            <w:tcBorders/>
            <w:vAlign w:val="center"/>
          </w:tcPr>
          <w:p>
            <w:pPr>
              <w:pStyle w:val="TableContents"/>
              <w:bidi w:val="0"/>
              <w:spacing w:before="0" w:after="283"/>
              <w:jc w:val="left"/>
              <w:rPr/>
            </w:pPr>
            <w:r>
              <w:rPr/>
              <w:t>Preferred Stock, $0.001 par value per share, 2,895,000 shares authorized, no shares issued or outstanding</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13" w:type="dxa"/>
            <w:tcBorders/>
            <w:vAlign w:val="center"/>
          </w:tcPr>
          <w:p>
            <w:pPr>
              <w:pStyle w:val="TableContents"/>
              <w:bidi w:val="0"/>
              <w:spacing w:before="0" w:after="283"/>
              <w:ind w:left="0" w:right="0" w:hanging="180"/>
              <w:jc w:val="left"/>
              <w:rPr/>
            </w:pPr>
            <w:r>
              <w:rPr/>
              <w:t> </w:t>
            </w:r>
          </w:p>
        </w:tc>
      </w:tr>
      <w:tr>
        <w:trPr/>
        <w:tc>
          <w:tcPr>
            <w:tcW w:w="7077" w:type="dxa"/>
            <w:tcBorders/>
            <w:shd w:fill="CCEEFF" w:val="clear"/>
            <w:vAlign w:val="center"/>
          </w:tcPr>
          <w:p>
            <w:pPr>
              <w:pStyle w:val="TableContents"/>
              <w:bidi w:val="0"/>
              <w:spacing w:before="0" w:after="283"/>
              <w:jc w:val="left"/>
              <w:rPr/>
            </w:pPr>
            <w:r>
              <w:rPr/>
              <w:t>Preferred A Stock, $0.001 par value per share, 105,000 shares authorized, no shares issued or outstanding</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Additional paid-in capital</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288,410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250,857</w:t>
            </w:r>
          </w:p>
        </w:tc>
        <w:tc>
          <w:tcPr>
            <w:tcW w:w="113" w:type="dxa"/>
            <w:tcBorders/>
            <w:vAlign w:val="center"/>
          </w:tcPr>
          <w:p>
            <w:pPr>
              <w:pStyle w:val="TableContents"/>
              <w:bidi w:val="0"/>
              <w:spacing w:before="0" w:after="283"/>
              <w:jc w:val="left"/>
              <w:rPr/>
            </w:pPr>
            <w:r>
              <w:rPr/>
              <w:t> </w:t>
            </w:r>
          </w:p>
        </w:tc>
      </w:tr>
      <w:tr>
        <w:trPr/>
        <w:tc>
          <w:tcPr>
            <w:tcW w:w="7077"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(283,184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(265,797</w:t>
            </w:r>
          </w:p>
        </w:tc>
        <w:tc>
          <w:tcPr>
            <w:tcW w:w="113" w:type="dxa"/>
            <w:tcBorders/>
            <w:shd w:fill="CCEEFF" w:val="clear"/>
            <w:vAlign w:val="center"/>
          </w:tcPr>
          <w:p>
            <w:pPr>
              <w:pStyle w:val="TableContents"/>
              <w:bidi w:val="0"/>
              <w:spacing w:before="0" w:after="283"/>
              <w:jc w:val="left"/>
              <w:rPr/>
            </w:pPr>
            <w:r>
              <w:rPr/>
              <w:t>)</w:t>
            </w:r>
          </w:p>
        </w:tc>
      </w:tr>
      <w:tr>
        <w:trPr/>
        <w:tc>
          <w:tcPr>
            <w:tcW w:w="7077" w:type="dxa"/>
            <w:tcBorders/>
            <w:vAlign w:val="center"/>
          </w:tcPr>
          <w:p>
            <w:pPr>
              <w:pStyle w:val="TableContents"/>
              <w:bidi w:val="0"/>
              <w:spacing w:before="0" w:after="283"/>
              <w:jc w:val="left"/>
              <w:rPr/>
            </w:pPr>
            <w:r>
              <w:rPr/>
              <w:t>Total stockholders’ equity (deficit) attributable to Agrify</w:t>
            </w:r>
          </w:p>
        </w:tc>
        <w:tc>
          <w:tcPr>
            <w:tcW w:w="6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tcMar>
              <w:bottom w:w="28" w:type="dxa"/>
            </w:tcMar>
            <w:vAlign w:val="center"/>
          </w:tcPr>
          <w:p>
            <w:pPr>
              <w:pStyle w:val="TableContents"/>
              <w:bidi w:val="0"/>
              <w:spacing w:before="0" w:after="283"/>
              <w:jc w:val="right"/>
              <w:rPr/>
            </w:pPr>
            <w:r>
              <w:rPr/>
              <w:t>5,227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(14,940</w:t>
            </w:r>
          </w:p>
        </w:tc>
        <w:tc>
          <w:tcPr>
            <w:tcW w:w="113" w:type="dxa"/>
            <w:tcBorders/>
            <w:vAlign w:val="center"/>
          </w:tcPr>
          <w:p>
            <w:pPr>
              <w:pStyle w:val="TableContents"/>
              <w:bidi w:val="0"/>
              <w:spacing w:before="0" w:after="283"/>
              <w:jc w:val="left"/>
              <w:rPr/>
            </w:pPr>
            <w:r>
              <w:rPr/>
              <w:t>)</w:t>
            </w:r>
          </w:p>
        </w:tc>
      </w:tr>
      <w:tr>
        <w:trPr/>
        <w:tc>
          <w:tcPr>
            <w:tcW w:w="7077"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230</w:t>
            </w:r>
          </w:p>
        </w:tc>
        <w:tc>
          <w:tcPr>
            <w:tcW w:w="113" w:type="dxa"/>
            <w:tcBorders/>
            <w:shd w:fill="CCEEFF" w:val="clear"/>
            <w:vAlign w:val="center"/>
          </w:tcPr>
          <w:p>
            <w:pPr>
              <w:pStyle w:val="TableContents"/>
              <w:bidi w:val="0"/>
              <w:spacing w:before="0" w:after="283"/>
              <w:jc w:val="left"/>
              <w:rPr/>
            </w:pPr>
            <w:r>
              <w:rPr/>
              <w:t> </w:t>
            </w:r>
          </w:p>
        </w:tc>
      </w:tr>
      <w:tr>
        <w:trPr/>
        <w:tc>
          <w:tcPr>
            <w:tcW w:w="7077" w:type="dxa"/>
            <w:tcBorders/>
            <w:vAlign w:val="center"/>
          </w:tcPr>
          <w:p>
            <w:pPr>
              <w:pStyle w:val="TableContents"/>
              <w:bidi w:val="0"/>
              <w:spacing w:before="0" w:after="283"/>
              <w:jc w:val="left"/>
              <w:rPr/>
            </w:pPr>
            <w:r>
              <w:rPr/>
              <w:t>Total stockholders’ equity (deficit)</w:t>
            </w:r>
          </w:p>
        </w:tc>
        <w:tc>
          <w:tcPr>
            <w:tcW w:w="6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tcMar>
              <w:bottom w:w="28" w:type="dxa"/>
            </w:tcMar>
            <w:vAlign w:val="center"/>
          </w:tcPr>
          <w:p>
            <w:pPr>
              <w:pStyle w:val="TableContents"/>
              <w:bidi w:val="0"/>
              <w:spacing w:before="0" w:after="283"/>
              <w:jc w:val="right"/>
              <w:rPr/>
            </w:pPr>
            <w:r>
              <w:rPr/>
              <w:t>5,457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(14,710</w:t>
            </w:r>
          </w:p>
        </w:tc>
        <w:tc>
          <w:tcPr>
            <w:tcW w:w="113" w:type="dxa"/>
            <w:tcBorders/>
            <w:vAlign w:val="center"/>
          </w:tcPr>
          <w:p>
            <w:pPr>
              <w:pStyle w:val="TableContents"/>
              <w:bidi w:val="0"/>
              <w:spacing w:before="0" w:after="283"/>
              <w:jc w:val="left"/>
              <w:rPr/>
            </w:pPr>
            <w:r>
              <w:rPr/>
              <w:t>)</w:t>
            </w:r>
          </w:p>
        </w:tc>
      </w:tr>
      <w:tr>
        <w:trPr/>
        <w:tc>
          <w:tcPr>
            <w:tcW w:w="7077"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38,952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pPr>
            <w:r>
              <w:rPr/>
              <w:t>45,270</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283"/>
              <w:jc w:val="both"/>
              <w:rPr/>
            </w:pPr>
            <w:r>
              <w:rPr/>
              <w:t>Periods presented have been adjusted to retroactively reflect the 1-for-20 reverse stock split on July 5, 2023, and for the 1-for-15 reverse stock split on October 8, 2024. Additional information regarding the reverse stock splits may be found in Note 1 – Overview, Basis of Presentation, and Significant Accounting Policies, included in the notes to the consolidated financial statements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95"/>
        <w:gridCol w:w="60"/>
        <w:gridCol w:w="140"/>
        <w:gridCol w:w="980"/>
        <w:gridCol w:w="95"/>
        <w:gridCol w:w="60"/>
        <w:gridCol w:w="140"/>
        <w:gridCol w:w="800"/>
        <w:gridCol w:w="95"/>
        <w:gridCol w:w="60"/>
        <w:gridCol w:w="140"/>
        <w:gridCol w:w="980"/>
        <w:gridCol w:w="95"/>
        <w:gridCol w:w="60"/>
        <w:gridCol w:w="140"/>
        <w:gridCol w:w="755"/>
        <w:gridCol w:w="110"/>
      </w:tblGrid>
      <w:tr>
        <w:trPr/>
        <w:tc>
          <w:tcPr>
            <w:tcW w:w="549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Nine months ended </w:t>
              <w:br/>
              <w:t>September 30,</w:t>
            </w:r>
          </w:p>
        </w:tc>
        <w:tc>
          <w:tcPr>
            <w:tcW w:w="110" w:type="dxa"/>
            <w:tcBorders/>
            <w:vAlign w:val="center"/>
          </w:tcPr>
          <w:p>
            <w:pPr>
              <w:pStyle w:val="TableContents"/>
              <w:bidi w:val="0"/>
              <w:spacing w:before="0" w:after="283"/>
              <w:ind w:left="0" w:right="0" w:hanging="0"/>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180"/>
              <w:jc w:val="left"/>
              <w:rPr/>
            </w:pPr>
            <w:r>
              <w:rPr/>
              <w:t> </w:t>
            </w:r>
          </w:p>
        </w:tc>
      </w:tr>
      <w:tr>
        <w:trPr/>
        <w:tc>
          <w:tcPr>
            <w:tcW w:w="5495" w:type="dxa"/>
            <w:tcBorders/>
            <w:shd w:fill="CCEEFF" w:val="clear"/>
            <w:vAlign w:val="center"/>
          </w:tcPr>
          <w:p>
            <w:pPr>
              <w:pStyle w:val="TableContents"/>
              <w:bidi w:val="0"/>
              <w:spacing w:before="0" w:after="283"/>
              <w:jc w:val="left"/>
              <w:rPr/>
            </w:pPr>
            <w:r>
              <w:rPr/>
              <w:t>Revenue (including $0, $0, $0, and $46 from related parties,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14,009</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5495" w:type="dxa"/>
            <w:tcBorders/>
            <w:vAlign w:val="center"/>
          </w:tcPr>
          <w:p>
            <w:pPr>
              <w:pStyle w:val="TableContents"/>
              <w:bidi w:val="0"/>
              <w:spacing w:before="0" w:after="283"/>
              <w:jc w:val="left"/>
              <w:rPr/>
            </w:pPr>
            <w:r>
              <w:rPr/>
              <w:t>Cost of goods sold</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1,709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2,165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6,009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11,447</w:t>
            </w:r>
          </w:p>
        </w:tc>
        <w:tc>
          <w:tcPr>
            <w:tcW w:w="110" w:type="dxa"/>
            <w:tcBorders/>
            <w:vAlign w:val="center"/>
          </w:tcPr>
          <w:p>
            <w:pPr>
              <w:pStyle w:val="TableContents"/>
              <w:bidi w:val="0"/>
              <w:spacing w:before="0" w:after="283"/>
              <w:ind w:left="0" w:right="0" w:hanging="0"/>
              <w:jc w:val="left"/>
              <w:rPr/>
            </w:pPr>
            <w:r>
              <w:rPr/>
              <w:t> </w:t>
            </w:r>
          </w:p>
        </w:tc>
      </w:tr>
      <w:tr>
        <w:trPr/>
        <w:tc>
          <w:tcPr>
            <w:tcW w:w="549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2,562</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0"/>
              <w:jc w:val="left"/>
              <w:rPr/>
            </w:pPr>
            <w:r>
              <w:rPr/>
              <w:t> </w:t>
            </w:r>
          </w:p>
        </w:tc>
      </w:tr>
      <w:tr>
        <w:trPr/>
        <w:tc>
          <w:tcPr>
            <w:tcW w:w="549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16,066</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5495" w:type="dxa"/>
            <w:tcBorders/>
            <w:vAlign w:val="center"/>
          </w:tcPr>
          <w:p>
            <w:pPr>
              <w:pStyle w:val="TableContents"/>
              <w:bidi w:val="0"/>
              <w:spacing w:before="0" w:after="283"/>
              <w:jc w:val="left"/>
              <w:rPr/>
            </w:pPr>
            <w:r>
              <w:rPr/>
              <w:t>Selling and marketing</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812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3,522</w:t>
            </w:r>
          </w:p>
        </w:tc>
        <w:tc>
          <w:tcPr>
            <w:tcW w:w="110" w:type="dxa"/>
            <w:tcBorders/>
            <w:vAlign w:val="center"/>
          </w:tcPr>
          <w:p>
            <w:pPr>
              <w:pStyle w:val="TableContents"/>
              <w:bidi w:val="0"/>
              <w:spacing w:before="0" w:after="283"/>
              <w:ind w:left="0" w:right="0" w:hanging="0"/>
              <w:jc w:val="left"/>
              <w:rPr/>
            </w:pPr>
            <w:r>
              <w:rPr/>
              <w:t> </w:t>
            </w:r>
          </w:p>
        </w:tc>
      </w:tr>
      <w:tr>
        <w:trPr/>
        <w:tc>
          <w:tcPr>
            <w:tcW w:w="549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1,864</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5495" w:type="dxa"/>
            <w:tcBorders/>
            <w:vAlign w:val="center"/>
          </w:tcPr>
          <w:p>
            <w:pPr>
              <w:pStyle w:val="TableContents"/>
              <w:bidi w:val="0"/>
              <w:spacing w:before="0" w:after="283"/>
              <w:jc w:val="left"/>
              <w:rPr/>
            </w:pPr>
            <w:r>
              <w:rPr/>
              <w:t>Gain on settlement of contingent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(5,935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ind w:left="0" w:right="0" w:hanging="0"/>
              <w:jc w:val="left"/>
              <w:rPr/>
            </w:pPr>
            <w:r>
              <w:rPr/>
              <w:t> </w:t>
            </w:r>
          </w:p>
        </w:tc>
      </w:tr>
      <w:tr>
        <w:trPr/>
        <w:tc>
          <w:tcPr>
            <w:tcW w:w="5495" w:type="dxa"/>
            <w:tcBorders/>
            <w:shd w:fill="CCEEFF" w:val="clear"/>
            <w:vAlign w:val="center"/>
          </w:tcPr>
          <w:p>
            <w:pPr>
              <w:pStyle w:val="TableContents"/>
              <w:bidi w:val="0"/>
              <w:spacing w:before="0" w:after="283"/>
              <w:jc w:val="left"/>
              <w:rPr/>
            </w:pPr>
            <w:r>
              <w:rPr/>
              <w:t>Gain on early termination of lease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5495" w:type="dxa"/>
            <w:tcBorders/>
            <w:vAlign w:val="center"/>
          </w:tcPr>
          <w:p>
            <w:pPr>
              <w:pStyle w:val="TableContents"/>
              <w:bidi w:val="0"/>
              <w:spacing w:before="0" w:after="283"/>
              <w:jc w:val="left"/>
              <w:rPr/>
            </w:pPr>
            <w:r>
              <w:rPr/>
              <w:t>(Gain) loss on disposal of property and equipment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(62</w:t>
            </w:r>
          </w:p>
        </w:tc>
        <w:tc>
          <w:tcPr>
            <w:tcW w:w="110" w:type="dxa"/>
            <w:tcBorders/>
            <w:vAlign w:val="center"/>
          </w:tcPr>
          <w:p>
            <w:pPr>
              <w:pStyle w:val="TableContents"/>
              <w:bidi w:val="0"/>
              <w:spacing w:before="0" w:after="283"/>
              <w:ind w:left="0" w:right="0" w:hanging="0"/>
              <w:jc w:val="left"/>
              <w:rPr/>
            </w:pPr>
            <w:r>
              <w:rPr/>
              <w:t>)</w:t>
            </w:r>
          </w:p>
        </w:tc>
      </w:tr>
      <w:tr>
        <w:trPr/>
        <w:tc>
          <w:tcPr>
            <w:tcW w:w="5495" w:type="dxa"/>
            <w:tcBorders/>
            <w:shd w:fill="CCEEFF" w:val="clear"/>
            <w:vAlign w:val="center"/>
          </w:tcPr>
          <w:p>
            <w:pPr>
              <w:pStyle w:val="TableContents"/>
              <w:bidi w:val="0"/>
              <w:spacing w:before="0" w:after="283"/>
              <w:jc w:val="left"/>
              <w:rPr/>
            </w:pPr>
            <w:r>
              <w:rPr/>
              <w:t>Change in contingent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(2,180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(1,322</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5495" w:type="dxa"/>
            <w:tcBorders/>
            <w:vAlign w:val="center"/>
          </w:tcPr>
          <w:p>
            <w:pPr>
              <w:pStyle w:val="TableContents"/>
              <w:bidi w:val="0"/>
              <w:spacing w:before="0" w:after="283"/>
              <w:jc w:val="left"/>
              <w:rPr/>
            </w:pPr>
            <w:r>
              <w:rPr/>
              <w:t>Total operating expenses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3,890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5,552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3,405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20,068</w:t>
            </w:r>
          </w:p>
        </w:tc>
        <w:tc>
          <w:tcPr>
            <w:tcW w:w="110" w:type="dxa"/>
            <w:tcBorders/>
            <w:vAlign w:val="center"/>
          </w:tcPr>
          <w:p>
            <w:pPr>
              <w:pStyle w:val="TableContents"/>
              <w:bidi w:val="0"/>
              <w:spacing w:before="0" w:after="283"/>
              <w:ind w:left="0" w:right="0" w:hanging="0"/>
              <w:jc w:val="left"/>
              <w:rPr/>
            </w:pPr>
            <w:r>
              <w:rPr/>
              <w:t> </w:t>
            </w:r>
          </w:p>
        </w:tc>
      </w:tr>
      <w:tr>
        <w:trPr/>
        <w:tc>
          <w:tcPr>
            <w:tcW w:w="5495"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(3,665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(4,578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(17,506</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5495" w:type="dxa"/>
            <w:tcBorders/>
            <w:vAlign w:val="center"/>
          </w:tcPr>
          <w:p>
            <w:pPr>
              <w:pStyle w:val="TableContents"/>
              <w:bidi w:val="0"/>
              <w:spacing w:before="0" w:after="283"/>
              <w:jc w:val="left"/>
              <w:rPr/>
            </w:pPr>
            <w:r>
              <w:rPr/>
              <w:t>Interest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(1,562</w:t>
            </w:r>
          </w:p>
        </w:tc>
        <w:tc>
          <w:tcPr>
            <w:tcW w:w="110" w:type="dxa"/>
            <w:tcBorders/>
            <w:vAlign w:val="center"/>
          </w:tcPr>
          <w:p>
            <w:pPr>
              <w:pStyle w:val="TableContents"/>
              <w:bidi w:val="0"/>
              <w:spacing w:before="0" w:after="283"/>
              <w:ind w:left="0" w:right="0" w:hanging="0"/>
              <w:jc w:val="left"/>
              <w:rPr/>
            </w:pPr>
            <w:r>
              <w:rPr/>
              <w:t>)</w:t>
            </w:r>
          </w:p>
        </w:tc>
      </w:tr>
      <w:tr>
        <w:trPr/>
        <w:tc>
          <w:tcPr>
            <w:tcW w:w="5495"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3,599</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5495" w:type="dxa"/>
            <w:tcBorders/>
            <w:vAlign w:val="center"/>
          </w:tcPr>
          <w:p>
            <w:pPr>
              <w:pStyle w:val="TableContents"/>
              <w:bidi w:val="0"/>
              <w:spacing w:before="0" w:after="283"/>
              <w:jc w:val="left"/>
              <w:rPr/>
            </w:pPr>
            <w:r>
              <w:rPr/>
              <w:t>Loss on extinguishment of long-term debt,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(4,631</w:t>
            </w:r>
          </w:p>
        </w:tc>
        <w:tc>
          <w:tcPr>
            <w:tcW w:w="110" w:type="dxa"/>
            <w:tcBorders/>
            <w:vAlign w:val="center"/>
          </w:tcPr>
          <w:p>
            <w:pPr>
              <w:pStyle w:val="TableContents"/>
              <w:bidi w:val="0"/>
              <w:spacing w:before="0" w:after="283"/>
              <w:ind w:left="0" w:right="0" w:hanging="0"/>
              <w:jc w:val="left"/>
              <w:rPr/>
            </w:pPr>
            <w:r>
              <w:rPr/>
              <w:t>)</w:t>
            </w:r>
          </w:p>
        </w:tc>
      </w:tr>
      <w:tr>
        <w:trPr/>
        <w:tc>
          <w:tcPr>
            <w:tcW w:w="549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874</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5495" w:type="dxa"/>
            <w:tcBorders/>
            <w:vAlign w:val="center"/>
          </w:tcPr>
          <w:p>
            <w:pPr>
              <w:pStyle w:val="TableContents"/>
              <w:bidi w:val="0"/>
              <w:spacing w:before="0" w:after="283"/>
              <w:jc w:val="left"/>
              <w:rPr/>
            </w:pPr>
            <w:r>
              <w:rPr/>
              <w:t>Total other income (expense), net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(14,986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2,486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(15,499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(1,720</w:t>
            </w:r>
          </w:p>
        </w:tc>
        <w:tc>
          <w:tcPr>
            <w:tcW w:w="110" w:type="dxa"/>
            <w:tcBorders/>
            <w:vAlign w:val="center"/>
          </w:tcPr>
          <w:p>
            <w:pPr>
              <w:pStyle w:val="TableContents"/>
              <w:bidi w:val="0"/>
              <w:spacing w:before="0" w:after="283"/>
              <w:ind w:left="0" w:right="0" w:hanging="0"/>
              <w:jc w:val="left"/>
              <w:rPr/>
            </w:pPr>
            <w:r>
              <w:rPr/>
              <w:t>)</w:t>
            </w:r>
          </w:p>
        </w:tc>
      </w:tr>
      <w:tr>
        <w:trPr/>
        <w:tc>
          <w:tcPr>
            <w:tcW w:w="549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(18,651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(19,226</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5495" w:type="dxa"/>
            <w:tcBorders/>
            <w:vAlign w:val="center"/>
          </w:tcPr>
          <w:p>
            <w:pPr>
              <w:pStyle w:val="TableContents"/>
              <w:bidi w:val="0"/>
              <w:spacing w:before="0" w:after="283"/>
              <w:jc w:val="left"/>
              <w:rPr/>
            </w:pPr>
            <w:r>
              <w:rPr/>
              <w:t>Loss attributable to non-controlling interest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2</w:t>
            </w:r>
          </w:p>
        </w:tc>
        <w:tc>
          <w:tcPr>
            <w:tcW w:w="110" w:type="dxa"/>
            <w:tcBorders/>
            <w:vAlign w:val="center"/>
          </w:tcPr>
          <w:p>
            <w:pPr>
              <w:pStyle w:val="TableContents"/>
              <w:bidi w:val="0"/>
              <w:spacing w:before="0" w:after="283"/>
              <w:ind w:left="0" w:right="0" w:hanging="0"/>
              <w:jc w:val="left"/>
              <w:rPr/>
            </w:pPr>
            <w:r>
              <w:rPr/>
              <w:t> </w:t>
            </w:r>
          </w:p>
        </w:tc>
      </w:tr>
      <w:tr>
        <w:trPr/>
        <w:tc>
          <w:tcPr>
            <w:tcW w:w="5495" w:type="dxa"/>
            <w:tcBorders/>
            <w:shd w:fill="CCEEFF" w:val="clear"/>
            <w:vAlign w:val="center"/>
          </w:tcPr>
          <w:p>
            <w:pPr>
              <w:pStyle w:val="TableContents"/>
              <w:bidi w:val="0"/>
              <w:spacing w:before="0" w:after="283"/>
              <w:jc w:val="left"/>
              <w:rPr/>
            </w:pPr>
            <w:r>
              <w:rPr/>
              <w:t>Net loss attributable to Agrify Corporation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(18,651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(17,387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(19,224</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5495" w:type="dxa"/>
            <w:tcBorders/>
            <w:vAlign w:val="center"/>
          </w:tcPr>
          <w:p>
            <w:pPr>
              <w:pStyle w:val="TableContents"/>
              <w:bidi w:val="0"/>
              <w:spacing w:before="0" w:after="283"/>
              <w:jc w:val="left"/>
              <w:rPr/>
            </w:pPr>
            <w:r>
              <w:rPr/>
              <w:t>Net loss per share attributable to Common Stockholders – basic and diluted (1)</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(17.31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(19.02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(16.82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tcMar>
              <w:bottom w:w="28" w:type="dxa"/>
            </w:tcMar>
            <w:vAlign w:val="center"/>
          </w:tcPr>
          <w:p>
            <w:pPr>
              <w:pStyle w:val="TableContents"/>
              <w:bidi w:val="0"/>
              <w:spacing w:before="0" w:after="283"/>
              <w:jc w:val="right"/>
              <w:rPr/>
            </w:pPr>
            <w:r>
              <w:rPr/>
              <w:t>(202.21</w:t>
            </w:r>
          </w:p>
        </w:tc>
        <w:tc>
          <w:tcPr>
            <w:tcW w:w="110" w:type="dxa"/>
            <w:tcBorders/>
            <w:vAlign w:val="center"/>
          </w:tcPr>
          <w:p>
            <w:pPr>
              <w:pStyle w:val="TableContents"/>
              <w:bidi w:val="0"/>
              <w:spacing w:before="0" w:after="283"/>
              <w:ind w:left="0" w:right="0" w:hanging="0"/>
              <w:jc w:val="left"/>
              <w:rPr/>
            </w:pPr>
            <w:r>
              <w:rPr/>
              <w:t>)</w:t>
            </w:r>
          </w:p>
        </w:tc>
      </w:tr>
      <w:tr>
        <w:trPr/>
        <w:tc>
          <w:tcPr>
            <w:tcW w:w="5495" w:type="dxa"/>
            <w:tcBorders/>
            <w:shd w:fill="CCEEFF" w:val="clear"/>
            <w:vAlign w:val="center"/>
          </w:tcPr>
          <w:p>
            <w:pPr>
              <w:pStyle w:val="TableContents"/>
              <w:bidi w:val="0"/>
              <w:spacing w:before="0" w:after="283"/>
              <w:jc w:val="left"/>
              <w:rPr/>
            </w:pPr>
            <w:r>
              <w:rPr/>
              <w:t>Weighted average common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1,077,780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109,983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1,033,582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95,068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283"/>
              <w:jc w:val="both"/>
              <w:rPr/>
            </w:pPr>
            <w:r>
              <w:rPr/>
              <w:t>Periods presented have been adjusted to retroactively reflect the 1-for-20 reverse stock split on July 5, 2023, and for the 1-for-15 reverse stock split on October 8, 2024. Additional information regarding reverse stock splits may be found in Note 1 – Overview, Basis of Presentation, and Significant Accounting Policies, included elsewhere in the notes to the consolidated financial statements.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1935" w:type="dxa"/>
        <w:jc w:val="left"/>
        <w:tblInd w:w="0" w:type="dxa"/>
        <w:tblLayout w:type="fixed"/>
        <w:tblCellMar>
          <w:top w:w="0" w:type="dxa"/>
          <w:left w:w="0" w:type="dxa"/>
          <w:bottom w:w="0" w:type="dxa"/>
          <w:right w:w="0" w:type="dxa"/>
        </w:tblCellMar>
      </w:tblPr>
      <w:tblGrid>
        <w:gridCol w:w="995"/>
        <w:gridCol w:w="60"/>
        <w:gridCol w:w="60"/>
        <w:gridCol w:w="605"/>
        <w:gridCol w:w="60"/>
        <w:gridCol w:w="60"/>
        <w:gridCol w:w="110"/>
        <w:gridCol w:w="605"/>
        <w:gridCol w:w="60"/>
        <w:gridCol w:w="60"/>
        <w:gridCol w:w="60"/>
        <w:gridCol w:w="500"/>
        <w:gridCol w:w="60"/>
        <w:gridCol w:w="60"/>
        <w:gridCol w:w="110"/>
        <w:gridCol w:w="605"/>
        <w:gridCol w:w="60"/>
        <w:gridCol w:w="60"/>
        <w:gridCol w:w="60"/>
        <w:gridCol w:w="500"/>
        <w:gridCol w:w="60"/>
        <w:gridCol w:w="60"/>
        <w:gridCol w:w="110"/>
        <w:gridCol w:w="605"/>
        <w:gridCol w:w="60"/>
        <w:gridCol w:w="60"/>
        <w:gridCol w:w="110"/>
        <w:gridCol w:w="785"/>
        <w:gridCol w:w="60"/>
        <w:gridCol w:w="60"/>
        <w:gridCol w:w="110"/>
        <w:gridCol w:w="965"/>
        <w:gridCol w:w="80"/>
        <w:gridCol w:w="60"/>
        <w:gridCol w:w="110"/>
        <w:gridCol w:w="1085"/>
        <w:gridCol w:w="80"/>
        <w:gridCol w:w="60"/>
        <w:gridCol w:w="110"/>
        <w:gridCol w:w="1220"/>
        <w:gridCol w:w="60"/>
        <w:gridCol w:w="60"/>
        <w:gridCol w:w="110"/>
        <w:gridCol w:w="1010"/>
        <w:gridCol w:w="95"/>
      </w:tblGrid>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40"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5"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5"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Preferred A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Additional</w:t>
              <w:b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965" w:type="dxa"/>
            <w:tcBorders/>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Accumulated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Total</w:t>
              <w:br/>
              <w:t>Stockholders’</w:t>
              <w:br/>
              <w:t>Equity</w:t>
              <w:br/>
              <w:t>(Deficit)</w:t>
              <w:br/>
              <w:t>attributable to</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Non-Controlling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1010" w:type="dxa"/>
            <w:tcBorders/>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Total</w:t>
              <w:br/>
              <w:t>Stockholders’</w:t>
              <w:br/>
              <w:t>Equity</w:t>
            </w:r>
          </w:p>
        </w:tc>
        <w:tc>
          <w:tcPr>
            <w:tcW w:w="95" w:type="dxa"/>
            <w:tcBorders/>
            <w:vAlign w:val="center"/>
          </w:tcPr>
          <w:p>
            <w:pPr>
              <w:pStyle w:val="TableContents"/>
              <w:bidi w:val="0"/>
              <w:spacing w:before="0" w:after="283"/>
              <w:jc w:val="center"/>
              <w:rPr/>
            </w:pPr>
            <w:r>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6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10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Agrify</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Interests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(Deficit)</w:t>
            </w:r>
          </w:p>
        </w:tc>
        <w:tc>
          <w:tcPr>
            <w:tcW w:w="95" w:type="dxa"/>
            <w:tcBorders/>
            <w:vAlign w:val="center"/>
          </w:tcPr>
          <w:p>
            <w:pPr>
              <w:pStyle w:val="TableContents"/>
              <w:bidi w:val="0"/>
              <w:spacing w:before="0" w:after="283"/>
              <w:ind w:left="0" w:right="0" w:hanging="180"/>
              <w:jc w:val="center"/>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Balance at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69,220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237,876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96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(247,148</w:t>
            </w:r>
          </w:p>
        </w:tc>
        <w:tc>
          <w:tcPr>
            <w:tcW w:w="8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(9,272</w:t>
            </w:r>
          </w:p>
        </w:tc>
        <w:tc>
          <w:tcPr>
            <w:tcW w:w="8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(9,041</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17"/>
              </w:rPr>
            </w:pPr>
            <w:r>
              <w:rPr>
                <w:rFonts w:ascii="Times New Roman;Times;Serif" w:hAnsi="Times New Roman;Times;Serif"/>
                <w:sz w:val="17"/>
              </w:rPr>
              <w:t>)</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859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859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859</w:t>
            </w:r>
          </w:p>
        </w:tc>
        <w:tc>
          <w:tcPr>
            <w:tcW w:w="9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Issuance of Common Stock through an at the market offering, net of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21,539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1,545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1,545</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Issuance of Common Stock to Pure Pressure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Proceeds from Employee Stock Purchase Plan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25</w:t>
            </w:r>
          </w:p>
        </w:tc>
        <w:tc>
          <w:tcPr>
            <w:tcW w:w="9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(10,327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(10,327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(10,327</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17"/>
              </w:rPr>
            </w:pPr>
            <w:r>
              <w:rPr>
                <w:rFonts w:ascii="Times New Roman;Times;Serif" w:hAnsi="Times New Roman;Times;Serif"/>
                <w:sz w:val="17"/>
              </w:rPr>
              <w:t>)</w:t>
            </w:r>
          </w:p>
        </w:tc>
      </w:tr>
      <w:tr>
        <w:trPr/>
        <w:tc>
          <w:tcPr>
            <w:tcW w:w="995" w:type="dxa"/>
            <w:tcBorders/>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Balance 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90,951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240,305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(257,475</w:t>
            </w:r>
          </w:p>
        </w:tc>
        <w:tc>
          <w:tcPr>
            <w:tcW w:w="80" w:type="dxa"/>
            <w:tcBorders/>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(17,170</w:t>
            </w:r>
          </w:p>
        </w:tc>
        <w:tc>
          <w:tcPr>
            <w:tcW w:w="80" w:type="dxa"/>
            <w:tcBorders/>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(16,939</w:t>
            </w:r>
          </w:p>
        </w:tc>
        <w:tc>
          <w:tcPr>
            <w:tcW w:w="95" w:type="dxa"/>
            <w:tcBorders/>
            <w:vAlign w:val="center"/>
          </w:tcPr>
          <w:p>
            <w:pPr>
              <w:pStyle w:val="TableContents"/>
              <w:bidi w:val="0"/>
              <w:spacing w:before="0" w:after="283"/>
              <w:ind w:left="0" w:right="0" w:hanging="180"/>
              <w:jc w:val="left"/>
              <w:rPr>
                <w:rFonts w:ascii="Times New Roman;Times;Serif" w:hAnsi="Times New Roman;Times;Serif"/>
                <w:b/>
                <w:sz w:val="17"/>
              </w:rPr>
            </w:pPr>
            <w:r>
              <w:rPr>
                <w:rFonts w:ascii="Times New Roman;Times;Serif" w:hAnsi="Times New Roman;Times;Serif"/>
                <w:b/>
                <w:sz w:val="17"/>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752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Issuance of held-back shares to Lab Society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Exercise of Pre-Funded Warrants in private placement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Conversion of Exchange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4,638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2,146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2,146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2,146</w:t>
            </w:r>
          </w:p>
        </w:tc>
        <w:tc>
          <w:tcPr>
            <w:tcW w:w="9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Conversion of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10,241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1,172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Net loss (income)</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(6,807</w:t>
            </w:r>
          </w:p>
        </w:tc>
        <w:tc>
          <w:tcPr>
            <w:tcW w:w="80"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(6,807</w:t>
            </w:r>
          </w:p>
        </w:tc>
        <w:tc>
          <w:tcPr>
            <w:tcW w:w="80"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(6,805</w:t>
            </w:r>
          </w:p>
        </w:tc>
        <w:tc>
          <w:tcPr>
            <w:tcW w:w="95" w:type="dxa"/>
            <w:tcBorders/>
            <w:vAlign w:val="center"/>
          </w:tcPr>
          <w:p>
            <w:pPr>
              <w:pStyle w:val="TableContents"/>
              <w:bidi w:val="0"/>
              <w:spacing w:before="0" w:after="283"/>
              <w:ind w:left="0" w:right="0" w:hanging="180"/>
              <w:jc w:val="left"/>
              <w:rPr>
                <w:rFonts w:ascii="Times New Roman;Times;Serif" w:hAnsi="Times New Roman;Times;Serif"/>
                <w:sz w:val="17"/>
              </w:rPr>
            </w:pPr>
            <w:r>
              <w:rPr>
                <w:rFonts w:ascii="Times New Roman;Times;Serif" w:hAnsi="Times New Roman;Times;Serif"/>
                <w:sz w:val="17"/>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Balance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108,196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244,375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965" w:type="dxa"/>
            <w:tcBorders/>
            <w:shd w:fill="CCEEFF" w:val="cle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(264,282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(19,907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(19,674</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17"/>
              </w:rPr>
            </w:pPr>
            <w:r>
              <w:rPr>
                <w:rFonts w:ascii="Times New Roman;Times;Serif" w:hAnsi="Times New Roman;Times;Serif"/>
                <w:b/>
                <w:sz w:val="17"/>
              </w:rPr>
              <w:t>)</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525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525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525</w:t>
            </w:r>
          </w:p>
        </w:tc>
        <w:tc>
          <w:tcPr>
            <w:tcW w:w="9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Reverse stock split fractional share settlement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Net loss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(2,092</w:t>
            </w:r>
          </w:p>
        </w:tc>
        <w:tc>
          <w:tcPr>
            <w:tcW w:w="80"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(2,092</w:t>
            </w:r>
          </w:p>
        </w:tc>
        <w:tc>
          <w:tcPr>
            <w:tcW w:w="80"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(2,092</w:t>
            </w:r>
          </w:p>
        </w:tc>
        <w:tc>
          <w:tcPr>
            <w:tcW w:w="95" w:type="dxa"/>
            <w:tcBorders/>
            <w:vAlign w:val="center"/>
          </w:tcPr>
          <w:p>
            <w:pPr>
              <w:pStyle w:val="TableContents"/>
              <w:bidi w:val="0"/>
              <w:spacing w:before="0" w:after="283"/>
              <w:ind w:left="0" w:right="0" w:hanging="180"/>
              <w:jc w:val="left"/>
              <w:rPr>
                <w:rFonts w:ascii="Times New Roman;Times;Serif" w:hAnsi="Times New Roman;Times;Serif"/>
                <w:sz w:val="17"/>
              </w:rPr>
            </w:pPr>
            <w:r>
              <w:rPr>
                <w:rFonts w:ascii="Times New Roman;Times;Serif" w:hAnsi="Times New Roman;Times;Serif"/>
                <w:sz w:val="17"/>
              </w:rPr>
              <w:t>)</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Balance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110,085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244,900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9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(266,374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(21,474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(21,241</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2070" w:type="dxa"/>
        <w:jc w:val="left"/>
        <w:tblInd w:w="0" w:type="dxa"/>
        <w:tblLayout w:type="fixed"/>
        <w:tblCellMar>
          <w:top w:w="0" w:type="dxa"/>
          <w:left w:w="0" w:type="dxa"/>
          <w:bottom w:w="0" w:type="dxa"/>
          <w:right w:w="0" w:type="dxa"/>
        </w:tblCellMar>
      </w:tblPr>
      <w:tblGrid>
        <w:gridCol w:w="995"/>
        <w:gridCol w:w="60"/>
        <w:gridCol w:w="60"/>
        <w:gridCol w:w="740"/>
        <w:gridCol w:w="60"/>
        <w:gridCol w:w="60"/>
        <w:gridCol w:w="110"/>
        <w:gridCol w:w="605"/>
        <w:gridCol w:w="60"/>
        <w:gridCol w:w="60"/>
        <w:gridCol w:w="60"/>
        <w:gridCol w:w="500"/>
        <w:gridCol w:w="60"/>
        <w:gridCol w:w="60"/>
        <w:gridCol w:w="110"/>
        <w:gridCol w:w="605"/>
        <w:gridCol w:w="60"/>
        <w:gridCol w:w="60"/>
        <w:gridCol w:w="60"/>
        <w:gridCol w:w="500"/>
        <w:gridCol w:w="60"/>
        <w:gridCol w:w="60"/>
        <w:gridCol w:w="110"/>
        <w:gridCol w:w="605"/>
        <w:gridCol w:w="60"/>
        <w:gridCol w:w="60"/>
        <w:gridCol w:w="110"/>
        <w:gridCol w:w="785"/>
        <w:gridCol w:w="80"/>
        <w:gridCol w:w="60"/>
        <w:gridCol w:w="110"/>
        <w:gridCol w:w="965"/>
        <w:gridCol w:w="80"/>
        <w:gridCol w:w="60"/>
        <w:gridCol w:w="110"/>
        <w:gridCol w:w="1085"/>
        <w:gridCol w:w="80"/>
        <w:gridCol w:w="60"/>
        <w:gridCol w:w="110"/>
        <w:gridCol w:w="1220"/>
        <w:gridCol w:w="60"/>
        <w:gridCol w:w="60"/>
        <w:gridCol w:w="110"/>
        <w:gridCol w:w="1010"/>
        <w:gridCol w:w="75"/>
      </w:tblGrid>
      <w:tr>
        <w:trPr/>
        <w:tc>
          <w:tcPr>
            <w:tcW w:w="99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575"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5"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5"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Preferred A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785" w:type="dxa"/>
            <w:tcBorders/>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Additional</w:t>
              <w:br/>
              <w:t>Paid-In-</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965" w:type="dxa"/>
            <w:tcBorders/>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Accumulated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Total</w:t>
              <w:br/>
              <w:t>Stockholders’</w:t>
              <w:br/>
              <w:t>Equity</w:t>
              <w:br/>
              <w:t>(Deficit)</w:t>
              <w:br/>
              <w:t>attributable to</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Non-Controlling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1010" w:type="dxa"/>
            <w:tcBorders/>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Total</w:t>
              <w:br/>
              <w:t>Stockholders’</w:t>
              <w:br/>
              <w:t>Equity</w:t>
            </w:r>
          </w:p>
        </w:tc>
        <w:tc>
          <w:tcPr>
            <w:tcW w:w="75" w:type="dxa"/>
            <w:tcBorders/>
            <w:vAlign w:val="center"/>
          </w:tcPr>
          <w:p>
            <w:pPr>
              <w:pStyle w:val="TableContents"/>
              <w:bidi w:val="0"/>
              <w:spacing w:before="0" w:after="283"/>
              <w:ind w:left="0" w:right="0" w:hanging="180"/>
              <w:jc w:val="center"/>
              <w:rPr/>
            </w:pPr>
            <w:r>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6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10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Agrify</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Interests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7"/>
              </w:rPr>
            </w:pPr>
            <w:r>
              <w:rPr>
                <w:rFonts w:ascii="Times New Roman;Times;Serif" w:hAnsi="Times New Roman;Times;Serif"/>
                <w:b/>
                <w:sz w:val="17"/>
              </w:rPr>
              <w:t>(Deficit)</w:t>
            </w:r>
          </w:p>
        </w:tc>
        <w:tc>
          <w:tcPr>
            <w:tcW w:w="75" w:type="dxa"/>
            <w:tcBorders/>
            <w:vAlign w:val="center"/>
          </w:tcPr>
          <w:p>
            <w:pPr>
              <w:pStyle w:val="TableContents"/>
              <w:bidi w:val="0"/>
              <w:spacing w:before="0" w:after="283"/>
              <w:ind w:left="0" w:right="0" w:hanging="180"/>
              <w:jc w:val="center"/>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Balance at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113,416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250,857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96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(265,797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(14,940</w:t>
            </w:r>
          </w:p>
        </w:tc>
        <w:tc>
          <w:tcPr>
            <w:tcW w:w="8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(14,710</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7"/>
              </w:rPr>
            </w:pPr>
            <w:r>
              <w:rPr>
                <w:rFonts w:ascii="Times New Roman;Times;Serif" w:hAnsi="Times New Roman;Times;Serif"/>
                <w:sz w:val="17"/>
              </w:rPr>
              <w:t>)</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490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490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490</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Issuance of Common Stock and Pre-Funded Warrants through public offering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184,000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2,123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Issuance of held-back shares from Sinclair acquisition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Cashless exercise of High Trail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208,814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Exercise of Pre-Funded Warrants issued through public 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200,667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3</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Conversion of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178,109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1,731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1,731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1,731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Contribution from troubled debt restructuring with related party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676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676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676</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Stock split share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Net income</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4,236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4,236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4,236</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Balance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885,046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255,879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(261,561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(5,681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(5,451</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17"/>
              </w:rPr>
            </w:pPr>
            <w:r>
              <w:rPr>
                <w:rFonts w:ascii="Times New Roman;Times;Serif" w:hAnsi="Times New Roman;Times;Serif"/>
                <w:b/>
                <w:sz w:val="17"/>
              </w:rPr>
              <w:t>)</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81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81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81</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Exercise of Pre-Funded Warrants issued through public offering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63,579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Excess of related party debt and Pre-Funded Warrants conversion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10,044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10,044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10,044</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Issuance of equity classified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6,791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6,791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6,791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Issuance of vested RSUs, net of shares held back to offset tax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(2,972</w:t>
            </w:r>
          </w:p>
        </w:tc>
        <w:tc>
          <w:tcPr>
            <w:tcW w:w="8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(2,972</w:t>
            </w:r>
          </w:p>
        </w:tc>
        <w:tc>
          <w:tcPr>
            <w:tcW w:w="8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(2,972</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7"/>
              </w:rPr>
            </w:pPr>
            <w:r>
              <w:rPr>
                <w:rFonts w:ascii="Times New Roman;Times;Serif" w:hAnsi="Times New Roman;Times;Serif"/>
                <w:sz w:val="17"/>
              </w:rPr>
              <w:t>)</w:t>
            </w:r>
          </w:p>
        </w:tc>
      </w:tr>
      <w:tr>
        <w:trPr/>
        <w:tc>
          <w:tcPr>
            <w:tcW w:w="995" w:type="dxa"/>
            <w:tcBorders/>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Balance June 30, 2024</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948,666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7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272,796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9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(264,533</w:t>
            </w:r>
          </w:p>
        </w:tc>
        <w:tc>
          <w:tcPr>
            <w:tcW w:w="80" w:type="dxa"/>
            <w:tcBorders/>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8,264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12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8,494</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283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Exercise of Pre-Funded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383,127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1,351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1,351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1,351</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Conversion of related party debt into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13,980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13,980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13,980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Issuance of vested RSUs, net of shares held back to offset tax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(18,651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(18,651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7"/>
              </w:rPr>
            </w:pPr>
            <w:r>
              <w:rPr>
                <w:rFonts w:ascii="Times New Roman;Times;Serif" w:hAnsi="Times New Roman;Times;Serif"/>
                <w:sz w:val="17"/>
              </w:rPr>
              <w:t>(18,651</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7"/>
              </w:rPr>
            </w:pPr>
            <w:r>
              <w:rPr>
                <w:rFonts w:ascii="Times New Roman;Times;Serif" w:hAnsi="Times New Roman;Times;Serif"/>
                <w:sz w:val="17"/>
              </w:rPr>
              <w:t>)</w:t>
            </w:r>
          </w:p>
        </w:tc>
      </w:tr>
      <w:tr>
        <w:trPr/>
        <w:tc>
          <w:tcPr>
            <w:tcW w:w="995" w:type="dxa"/>
            <w:tcBorders/>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Balance September 30, 2024</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1,331,823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500" w:type="dxa"/>
            <w:tcBorders>
              <w:bottom w:val="double" w:sz="10"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5" w:type="dxa"/>
            <w:tcBorders>
              <w:bottom w:val="double" w:sz="10"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500" w:type="dxa"/>
            <w:tcBorders>
              <w:bottom w:val="double" w:sz="10"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5" w:type="dxa"/>
            <w:tcBorders>
              <w:bottom w:val="double" w:sz="10"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7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288,410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96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(283,184</w:t>
            </w:r>
          </w:p>
        </w:tc>
        <w:tc>
          <w:tcPr>
            <w:tcW w:w="80" w:type="dxa"/>
            <w:tcBorders/>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60" w:type="dxa"/>
            <w:tcBorders/>
            <w:vAlign w:val="center"/>
          </w:tcPr>
          <w:p>
            <w:pPr>
              <w:pStyle w:val="TableContents"/>
              <w:bidi w:val="0"/>
              <w:spacing w:before="0" w:after="283"/>
              <w:jc w:val="left"/>
              <w:rPr/>
            </w:pPr>
            <w:r>
              <w:rPr/>
              <w:t> </w:t>
            </w:r>
          </w:p>
        </w:tc>
        <w:tc>
          <w:tcPr>
            <w:tcW w:w="11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10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5,227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12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230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17"/>
              </w:rPr>
            </w:pPr>
            <w:r>
              <w:rPr>
                <w:rFonts w:ascii="Times New Roman;Times;Serif" w:hAnsi="Times New Roman;Times;Serif"/>
                <w:b/>
                <w:sz w:val="17"/>
              </w:rPr>
              <w:t>$</w:t>
            </w:r>
          </w:p>
        </w:tc>
        <w:tc>
          <w:tcPr>
            <w:tcW w:w="10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17"/>
              </w:rPr>
            </w:pPr>
            <w:r>
              <w:rPr>
                <w:rFonts w:ascii="Times New Roman;Times;Serif" w:hAnsi="Times New Roman;Times;Serif"/>
                <w:b/>
                <w:sz w:val="17"/>
              </w:rPr>
              <w:t>5,457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83"/>
        <w:gridCol w:w="60"/>
        <w:gridCol w:w="150"/>
        <w:gridCol w:w="787"/>
        <w:gridCol w:w="108"/>
        <w:gridCol w:w="82"/>
        <w:gridCol w:w="150"/>
        <w:gridCol w:w="787"/>
        <w:gridCol w:w="98"/>
      </w:tblGrid>
      <w:tr>
        <w:trPr/>
        <w:tc>
          <w:tcPr>
            <w:tcW w:w="79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4"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For the nine months ended</w:t>
              <w:br/>
              <w:t>September 30,</w:t>
            </w:r>
          </w:p>
        </w:tc>
        <w:tc>
          <w:tcPr>
            <w:tcW w:w="98" w:type="dxa"/>
            <w:tcBorders/>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2024</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37"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2023</w:t>
            </w:r>
          </w:p>
        </w:tc>
        <w:tc>
          <w:tcPr>
            <w:tcW w:w="98" w:type="dxa"/>
            <w:tcBorders/>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b/>
                <w:sz w:val="18"/>
              </w:rPr>
            </w:pPr>
            <w:r>
              <w:rPr>
                <w:b/>
                <w:sz w:val="18"/>
              </w:rPr>
              <w:t>Cash flows from operating activities: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Net income (loss) attributable to Agrify Corporation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sz w:val="18"/>
              </w:rPr>
            </w:pPr>
            <w:r>
              <w:rPr>
                <w:sz w:val="18"/>
              </w:rPr>
              <w:t>(17,387</w:t>
            </w:r>
          </w:p>
        </w:tc>
        <w:tc>
          <w:tcPr>
            <w:tcW w:w="108" w:type="dxa"/>
            <w:tcBorders/>
            <w:shd w:fill="CCEEFF" w:val="clear"/>
            <w:vAlign w:val="center"/>
          </w:tcPr>
          <w:p>
            <w:pPr>
              <w:pStyle w:val="TableContents"/>
              <w:bidi w:val="0"/>
              <w:spacing w:before="0" w:after="283"/>
              <w:jc w:val="left"/>
              <w:rPr>
                <w:sz w:val="18"/>
              </w:rPr>
            </w:pPr>
            <w:r>
              <w:rPr>
                <w:sz w:val="18"/>
              </w:rPr>
              <w:t>)</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sz w:val="18"/>
              </w:rPr>
            </w:pPr>
            <w:r>
              <w:rPr>
                <w:sz w:val="18"/>
              </w:rPr>
              <w:t>(19,224</w:t>
            </w:r>
          </w:p>
        </w:tc>
        <w:tc>
          <w:tcPr>
            <w:tcW w:w="98"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7983" w:type="dxa"/>
            <w:tcBorders/>
            <w:vAlign w:val="center"/>
          </w:tcPr>
          <w:p>
            <w:pPr>
              <w:pStyle w:val="TableContents"/>
              <w:bidi w:val="0"/>
              <w:spacing w:before="0" w:after="283"/>
              <w:jc w:val="left"/>
              <w:rPr>
                <w:sz w:val="18"/>
              </w:rPr>
            </w:pPr>
            <w:r>
              <w:rPr>
                <w:sz w:val="18"/>
              </w:rPr>
              <w:t>Adjustments to reconcile net income (loss) attributable to Agrify Corporation to net cash used in operating activities: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1,114</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1,469</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Amortization of debt discount (premium)</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(47</w:t>
            </w:r>
          </w:p>
        </w:tc>
        <w:tc>
          <w:tcPr>
            <w:tcW w:w="108" w:type="dxa"/>
            <w:tcBorders/>
            <w:vAlign w:val="center"/>
          </w:tcPr>
          <w:p>
            <w:pPr>
              <w:pStyle w:val="TableContents"/>
              <w:bidi w:val="0"/>
              <w:spacing w:before="0" w:after="283"/>
              <w:jc w:val="left"/>
              <w:rPr>
                <w:sz w:val="18"/>
              </w:rPr>
            </w:pPr>
            <w:r>
              <w:rPr>
                <w:sz w:val="18"/>
              </w:rPr>
              <w:t>)</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(6</w:t>
            </w:r>
          </w:p>
        </w:tc>
        <w:tc>
          <w:tcPr>
            <w:tcW w:w="98" w:type="dxa"/>
            <w:tcBorders/>
            <w:vAlign w:val="center"/>
          </w:tcPr>
          <w:p>
            <w:pPr>
              <w:pStyle w:val="TableContents"/>
              <w:bidi w:val="0"/>
              <w:spacing w:before="0" w:after="283"/>
              <w:jc w:val="left"/>
              <w:rPr>
                <w:sz w:val="18"/>
              </w:rPr>
            </w:pPr>
            <w:r>
              <w:rPr>
                <w:sz w:val="18"/>
              </w:rPr>
              <w:t>)</w:t>
            </w:r>
          </w:p>
        </w:tc>
      </w:tr>
      <w:tr>
        <w:trPr/>
        <w:tc>
          <w:tcPr>
            <w:tcW w:w="7983" w:type="dxa"/>
            <w:tcBorders/>
            <w:shd w:fill="CCEEFF" w:val="clear"/>
            <w:vAlign w:val="center"/>
          </w:tcPr>
          <w:p>
            <w:pPr>
              <w:pStyle w:val="TableContents"/>
              <w:bidi w:val="0"/>
              <w:spacing w:before="0" w:after="283"/>
              <w:jc w:val="left"/>
              <w:rPr>
                <w:sz w:val="18"/>
              </w:rPr>
            </w:pPr>
            <w:r>
              <w:rPr>
                <w:sz w:val="18"/>
              </w:rPr>
              <w:t>Amortization of issuance costs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24</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Amortization of right of use assets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442</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66</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854</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2,136</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Change in fair value of warrant liabilities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15,502</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(3,599</w:t>
            </w:r>
          </w:p>
        </w:tc>
        <w:tc>
          <w:tcPr>
            <w:tcW w:w="98" w:type="dxa"/>
            <w:tcBorders/>
            <w:vAlign w:val="center"/>
          </w:tcPr>
          <w:p>
            <w:pPr>
              <w:pStyle w:val="TableContents"/>
              <w:bidi w:val="0"/>
              <w:spacing w:before="0" w:after="283"/>
              <w:jc w:val="left"/>
              <w:rPr>
                <w:sz w:val="18"/>
              </w:rPr>
            </w:pPr>
            <w:r>
              <w:rPr>
                <w:sz w:val="18"/>
              </w:rPr>
              <w:t>)</w:t>
            </w:r>
          </w:p>
        </w:tc>
      </w:tr>
      <w:tr>
        <w:trPr/>
        <w:tc>
          <w:tcPr>
            <w:tcW w:w="7983" w:type="dxa"/>
            <w:tcBorders/>
            <w:shd w:fill="CCEEFF" w:val="clear"/>
            <w:vAlign w:val="center"/>
          </w:tcPr>
          <w:p>
            <w:pPr>
              <w:pStyle w:val="TableContents"/>
              <w:bidi w:val="0"/>
              <w:spacing w:before="0" w:after="283"/>
              <w:jc w:val="left"/>
              <w:rPr>
                <w:sz w:val="18"/>
              </w:rPr>
            </w:pPr>
            <w:r>
              <w:rPr>
                <w:sz w:val="18"/>
              </w:rPr>
              <w:t>Loss on extinguishment of long-term debt,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4,631</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Change in provision for credit losses, net</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409</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(14,818</w:t>
            </w:r>
          </w:p>
        </w:tc>
        <w:tc>
          <w:tcPr>
            <w:tcW w:w="98" w:type="dxa"/>
            <w:tcBorders/>
            <w:vAlign w:val="center"/>
          </w:tcPr>
          <w:p>
            <w:pPr>
              <w:pStyle w:val="TableContents"/>
              <w:bidi w:val="0"/>
              <w:spacing w:before="0" w:after="283"/>
              <w:jc w:val="left"/>
              <w:rPr>
                <w:sz w:val="18"/>
              </w:rPr>
            </w:pPr>
            <w:r>
              <w:rPr>
                <w:sz w:val="18"/>
              </w:rPr>
              <w:t>)</w:t>
            </w:r>
          </w:p>
        </w:tc>
      </w:tr>
      <w:tr>
        <w:trPr/>
        <w:tc>
          <w:tcPr>
            <w:tcW w:w="7983" w:type="dxa"/>
            <w:tcBorders/>
            <w:shd w:fill="CCEEFF" w:val="clear"/>
            <w:vAlign w:val="center"/>
          </w:tcPr>
          <w:p>
            <w:pPr>
              <w:pStyle w:val="TableContents"/>
              <w:bidi w:val="0"/>
              <w:spacing w:before="0" w:after="283"/>
              <w:jc w:val="left"/>
              <w:rPr>
                <w:sz w:val="18"/>
              </w:rPr>
            </w:pPr>
            <w:r>
              <w:rPr>
                <w:sz w:val="18"/>
              </w:rPr>
              <w:t>Change in inventory reserves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(1,833</w:t>
            </w:r>
          </w:p>
        </w:tc>
        <w:tc>
          <w:tcPr>
            <w:tcW w:w="108" w:type="dxa"/>
            <w:tcBorders/>
            <w:shd w:fill="CCEEFF" w:val="clear"/>
            <w:vAlign w:val="center"/>
          </w:tcPr>
          <w:p>
            <w:pPr>
              <w:pStyle w:val="TableContents"/>
              <w:bidi w:val="0"/>
              <w:spacing w:before="0" w:after="283"/>
              <w:jc w:val="left"/>
              <w:rPr>
                <w:sz w:val="18"/>
              </w:rPr>
            </w:pPr>
            <w:r>
              <w:rPr>
                <w:sz w:val="18"/>
              </w:rPr>
              <w:t>)</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(2,914</w:t>
            </w:r>
          </w:p>
        </w:tc>
        <w:tc>
          <w:tcPr>
            <w:tcW w:w="98" w:type="dxa"/>
            <w:tcBorders/>
            <w:shd w:fill="CCEEFF" w:val="clear"/>
            <w:vAlign w:val="center"/>
          </w:tcPr>
          <w:p>
            <w:pPr>
              <w:pStyle w:val="TableContents"/>
              <w:bidi w:val="0"/>
              <w:spacing w:before="0" w:after="283"/>
              <w:jc w:val="left"/>
              <w:rPr>
                <w:sz w:val="18"/>
              </w:rPr>
            </w:pPr>
            <w:r>
              <w:rPr>
                <w:sz w:val="18"/>
              </w:rPr>
              <w:t>)</w:t>
            </w:r>
          </w:p>
        </w:tc>
      </w:tr>
      <w:tr>
        <w:trPr/>
        <w:tc>
          <w:tcPr>
            <w:tcW w:w="7983" w:type="dxa"/>
            <w:tcBorders/>
            <w:vAlign w:val="center"/>
          </w:tcPr>
          <w:p>
            <w:pPr>
              <w:pStyle w:val="TableContents"/>
              <w:bidi w:val="0"/>
              <w:spacing w:before="0" w:after="283"/>
              <w:jc w:val="left"/>
              <w:rPr>
                <w:sz w:val="18"/>
              </w:rPr>
            </w:pPr>
            <w:r>
              <w:rPr>
                <w:sz w:val="18"/>
              </w:rPr>
              <w:t>Loss on abandonment of CIP projects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16</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(Gain) 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1</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(62</w:t>
            </w:r>
          </w:p>
        </w:tc>
        <w:tc>
          <w:tcPr>
            <w:tcW w:w="98" w:type="dxa"/>
            <w:tcBorders/>
            <w:shd w:fill="CCEEFF" w:val="clear"/>
            <w:vAlign w:val="center"/>
          </w:tcPr>
          <w:p>
            <w:pPr>
              <w:pStyle w:val="TableContents"/>
              <w:bidi w:val="0"/>
              <w:spacing w:before="0" w:after="283"/>
              <w:jc w:val="left"/>
              <w:rPr>
                <w:sz w:val="18"/>
              </w:rPr>
            </w:pPr>
            <w:r>
              <w:rPr>
                <w:sz w:val="18"/>
              </w:rPr>
              <w:t>)</w:t>
            </w:r>
          </w:p>
        </w:tc>
      </w:tr>
      <w:tr>
        <w:trPr/>
        <w:tc>
          <w:tcPr>
            <w:tcW w:w="7983" w:type="dxa"/>
            <w:tcBorders/>
            <w:vAlign w:val="center"/>
          </w:tcPr>
          <w:p>
            <w:pPr>
              <w:pStyle w:val="TableContents"/>
              <w:bidi w:val="0"/>
              <w:spacing w:before="0" w:after="283"/>
              <w:jc w:val="left"/>
              <w:rPr>
                <w:sz w:val="18"/>
              </w:rPr>
            </w:pPr>
            <w:r>
              <w:rPr>
                <w:sz w:val="18"/>
              </w:rPr>
              <w:t>Gain on early termination of lease</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(39</w:t>
            </w:r>
          </w:p>
        </w:tc>
        <w:tc>
          <w:tcPr>
            <w:tcW w:w="108" w:type="dxa"/>
            <w:tcBorders/>
            <w:vAlign w:val="center"/>
          </w:tcPr>
          <w:p>
            <w:pPr>
              <w:pStyle w:val="TableContents"/>
              <w:bidi w:val="0"/>
              <w:spacing w:before="0" w:after="283"/>
              <w:jc w:val="left"/>
              <w:rPr>
                <w:sz w:val="18"/>
              </w:rPr>
            </w:pPr>
            <w:r>
              <w:rPr>
                <w:sz w:val="18"/>
              </w:rPr>
              <w:t>)</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Gain on settlement of contingent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(5,935</w:t>
            </w:r>
          </w:p>
        </w:tc>
        <w:tc>
          <w:tcPr>
            <w:tcW w:w="108" w:type="dxa"/>
            <w:tcBorders/>
            <w:shd w:fill="CCEEFF" w:val="clear"/>
            <w:vAlign w:val="center"/>
          </w:tcPr>
          <w:p>
            <w:pPr>
              <w:pStyle w:val="TableContents"/>
              <w:bidi w:val="0"/>
              <w:spacing w:before="0" w:after="283"/>
              <w:jc w:val="left"/>
              <w:rPr>
                <w:sz w:val="18"/>
              </w:rPr>
            </w:pPr>
            <w:r>
              <w:rPr>
                <w:sz w:val="18"/>
              </w:rPr>
              <w:t>)</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Change in accrued acquisition liabilities due to issuance of held-back shares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(2,180</w:t>
            </w:r>
          </w:p>
        </w:tc>
        <w:tc>
          <w:tcPr>
            <w:tcW w:w="108" w:type="dxa"/>
            <w:tcBorders/>
            <w:vAlign w:val="center"/>
          </w:tcPr>
          <w:p>
            <w:pPr>
              <w:pStyle w:val="TableContents"/>
              <w:bidi w:val="0"/>
              <w:spacing w:before="0" w:after="283"/>
              <w:jc w:val="left"/>
              <w:rPr>
                <w:sz w:val="18"/>
              </w:rPr>
            </w:pPr>
            <w:r>
              <w:rPr>
                <w:sz w:val="18"/>
              </w:rPr>
              <w:t>)</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(2</w:t>
            </w:r>
          </w:p>
        </w:tc>
        <w:tc>
          <w:tcPr>
            <w:tcW w:w="98" w:type="dxa"/>
            <w:tcBorders/>
            <w:shd w:fill="CCEEFF" w:val="clear"/>
            <w:vAlign w:val="center"/>
          </w:tcPr>
          <w:p>
            <w:pPr>
              <w:pStyle w:val="TableContents"/>
              <w:bidi w:val="0"/>
              <w:spacing w:before="0" w:after="283"/>
              <w:jc w:val="left"/>
              <w:rPr>
                <w:sz w:val="18"/>
              </w:rPr>
            </w:pPr>
            <w:r>
              <w:rPr>
                <w:sz w:val="18"/>
              </w:rPr>
              <w:t>)</w:t>
            </w:r>
          </w:p>
        </w:tc>
      </w:tr>
      <w:tr>
        <w:trPr/>
        <w:tc>
          <w:tcPr>
            <w:tcW w:w="7983" w:type="dxa"/>
            <w:tcBorders/>
            <w:vAlign w:val="center"/>
          </w:tcPr>
          <w:p>
            <w:pPr>
              <w:pStyle w:val="TableContents"/>
              <w:bidi w:val="0"/>
              <w:spacing w:before="0" w:after="283"/>
              <w:jc w:val="left"/>
              <w:rPr>
                <w:sz w:val="18"/>
              </w:rPr>
            </w:pPr>
            <w:r>
              <w:rPr>
                <w:sz w:val="18"/>
              </w:rPr>
              <w:t>Changes in operating assets and liabilities, net of acquisitions: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Accounts receivable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82</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866</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Inventory</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2,842</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6,619</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2,939</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630</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Other non-current assets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31</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170</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Accounts payable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(2,796</w:t>
            </w:r>
          </w:p>
        </w:tc>
        <w:tc>
          <w:tcPr>
            <w:tcW w:w="108" w:type="dxa"/>
            <w:tcBorders/>
            <w:shd w:fill="CCEEFF" w:val="clear"/>
            <w:vAlign w:val="center"/>
          </w:tcPr>
          <w:p>
            <w:pPr>
              <w:pStyle w:val="TableContents"/>
              <w:bidi w:val="0"/>
              <w:spacing w:before="0" w:after="283"/>
              <w:jc w:val="left"/>
              <w:rPr>
                <w:sz w:val="18"/>
              </w:rPr>
            </w:pPr>
            <w:r>
              <w:rPr>
                <w:sz w:val="18"/>
              </w:rPr>
              <w:t>)</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1,504</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Accrued expenses and other current liabilities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(559</w:t>
            </w:r>
          </w:p>
        </w:tc>
        <w:tc>
          <w:tcPr>
            <w:tcW w:w="108" w:type="dxa"/>
            <w:tcBorders/>
            <w:vAlign w:val="center"/>
          </w:tcPr>
          <w:p>
            <w:pPr>
              <w:pStyle w:val="TableContents"/>
              <w:bidi w:val="0"/>
              <w:spacing w:before="0" w:after="283"/>
              <w:jc w:val="left"/>
              <w:rPr>
                <w:sz w:val="18"/>
              </w:rPr>
            </w:pPr>
            <w:r>
              <w:rPr>
                <w:sz w:val="18"/>
              </w:rPr>
              <w:t>)</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(3,406</w:t>
            </w:r>
          </w:p>
        </w:tc>
        <w:tc>
          <w:tcPr>
            <w:tcW w:w="98" w:type="dxa"/>
            <w:tcBorders/>
            <w:vAlign w:val="center"/>
          </w:tcPr>
          <w:p>
            <w:pPr>
              <w:pStyle w:val="TableContents"/>
              <w:bidi w:val="0"/>
              <w:spacing w:before="0" w:after="283"/>
              <w:jc w:val="left"/>
              <w:rPr>
                <w:sz w:val="18"/>
              </w:rPr>
            </w:pPr>
            <w:r>
              <w:rPr>
                <w:sz w:val="18"/>
              </w:rPr>
              <w:t>)</w:t>
            </w:r>
          </w:p>
        </w:tc>
      </w:tr>
      <w:tr>
        <w:trPr/>
        <w:tc>
          <w:tcPr>
            <w:tcW w:w="7983" w:type="dxa"/>
            <w:tcBorders/>
            <w:shd w:fill="CCEEFF" w:val="clear"/>
            <w:vAlign w:val="center"/>
          </w:tcPr>
          <w:p>
            <w:pPr>
              <w:pStyle w:val="TableContents"/>
              <w:bidi w:val="0"/>
              <w:spacing w:before="0" w:after="283"/>
              <w:jc w:val="left"/>
              <w:rPr>
                <w:sz w:val="18"/>
              </w:rPr>
            </w:pPr>
            <w:r>
              <w:rPr>
                <w:sz w:val="18"/>
              </w:rPr>
              <w:t>Operating lease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(411</w:t>
            </w:r>
          </w:p>
        </w:tc>
        <w:tc>
          <w:tcPr>
            <w:tcW w:w="108" w:type="dxa"/>
            <w:tcBorders/>
            <w:shd w:fill="CCEEFF" w:val="clear"/>
            <w:vAlign w:val="center"/>
          </w:tcPr>
          <w:p>
            <w:pPr>
              <w:pStyle w:val="TableContents"/>
              <w:bidi w:val="0"/>
              <w:spacing w:before="0" w:after="283"/>
              <w:jc w:val="left"/>
              <w:rPr>
                <w:sz w:val="18"/>
              </w:rPr>
            </w:pPr>
            <w:r>
              <w:rPr>
                <w:sz w:val="18"/>
              </w:rPr>
              <w:t>)</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9</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Contract liabilities</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tcMar>
              <w:bottom w:w="28" w:type="dxa"/>
            </w:tcMar>
            <w:vAlign w:val="center"/>
          </w:tcPr>
          <w:p>
            <w:pPr>
              <w:pStyle w:val="TableContents"/>
              <w:bidi w:val="0"/>
              <w:spacing w:before="0" w:after="283"/>
              <w:jc w:val="right"/>
              <w:rPr>
                <w:sz w:val="18"/>
              </w:rPr>
            </w:pPr>
            <w:r>
              <w:rPr>
                <w:sz w:val="18"/>
              </w:rPr>
              <w:t>705</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tcMar>
              <w:bottom w:w="28" w:type="dxa"/>
            </w:tcMar>
            <w:vAlign w:val="center"/>
          </w:tcPr>
          <w:p>
            <w:pPr>
              <w:pStyle w:val="TableContents"/>
              <w:bidi w:val="0"/>
              <w:spacing w:before="0" w:after="283"/>
              <w:jc w:val="right"/>
              <w:rPr>
                <w:sz w:val="18"/>
              </w:rPr>
            </w:pPr>
            <w:r>
              <w:rPr>
                <w:sz w:val="18"/>
              </w:rPr>
              <w:t>(33</w:t>
            </w:r>
          </w:p>
        </w:tc>
        <w:tc>
          <w:tcPr>
            <w:tcW w:w="98" w:type="dxa"/>
            <w:tcBorders/>
            <w:vAlign w:val="center"/>
          </w:tcPr>
          <w:p>
            <w:pPr>
              <w:pStyle w:val="TableContents"/>
              <w:bidi w:val="0"/>
              <w:spacing w:before="0" w:after="283"/>
              <w:jc w:val="left"/>
              <w:rPr>
                <w:sz w:val="18"/>
              </w:rPr>
            </w:pPr>
            <w:r>
              <w:rPr>
                <w:sz w:val="18"/>
              </w:rPr>
              <w:t>)</w:t>
            </w:r>
          </w:p>
        </w:tc>
      </w:tr>
      <w:tr>
        <w:trPr/>
        <w:tc>
          <w:tcPr>
            <w:tcW w:w="7983" w:type="dxa"/>
            <w:tcBorders/>
            <w:shd w:fill="CCEEFF" w:val="clear"/>
            <w:vAlign w:val="center"/>
          </w:tcPr>
          <w:p>
            <w:pPr>
              <w:pStyle w:val="TableContents"/>
              <w:bidi w:val="0"/>
              <w:spacing w:before="0" w:after="283"/>
              <w:jc w:val="left"/>
              <w:rPr>
                <w:b/>
                <w:sz w:val="18"/>
              </w:rPr>
            </w:pPr>
            <w:r>
              <w:rPr>
                <w:b/>
                <w:sz w:val="18"/>
              </w:rPr>
              <w:t>Net cash and cash equivalents used in operating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(6,250</w:t>
            </w:r>
          </w:p>
        </w:tc>
        <w:tc>
          <w:tcPr>
            <w:tcW w:w="108" w:type="dxa"/>
            <w:tcBorders/>
            <w:shd w:fill="CCEEFF" w:val="clear"/>
            <w:vAlign w:val="center"/>
          </w:tcPr>
          <w:p>
            <w:pPr>
              <w:pStyle w:val="TableContents"/>
              <w:bidi w:val="0"/>
              <w:spacing w:before="0" w:after="283"/>
              <w:jc w:val="left"/>
              <w:rPr>
                <w:sz w:val="18"/>
              </w:rPr>
            </w:pPr>
            <w:r>
              <w:rPr>
                <w:sz w:val="18"/>
              </w:rPr>
              <w:t>)</w:t>
            </w:r>
          </w:p>
        </w:tc>
        <w:tc>
          <w:tcPr>
            <w:tcW w:w="82"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(25,940</w:t>
            </w:r>
          </w:p>
        </w:tc>
        <w:tc>
          <w:tcPr>
            <w:tcW w:w="98" w:type="dxa"/>
            <w:tcBorders/>
            <w:shd w:fill="CCEEFF" w:val="clear"/>
            <w:vAlign w:val="center"/>
          </w:tcPr>
          <w:p>
            <w:pPr>
              <w:pStyle w:val="TableContents"/>
              <w:bidi w:val="0"/>
              <w:spacing w:before="0" w:after="283"/>
              <w:jc w:val="left"/>
              <w:rPr>
                <w:sz w:val="18"/>
              </w:rPr>
            </w:pPr>
            <w:r>
              <w:rPr>
                <w:sz w:val="18"/>
              </w:rPr>
              <w:t>)</w:t>
            </w:r>
          </w:p>
        </w:tc>
      </w:tr>
      <w:tr>
        <w:trPr/>
        <w:tc>
          <w:tcPr>
            <w:tcW w:w="79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b/>
                <w:sz w:val="18"/>
              </w:rPr>
            </w:pPr>
            <w:r>
              <w:rPr>
                <w:b/>
                <w:sz w:val="18"/>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Purchases of property and equipment</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(59</w:t>
            </w:r>
          </w:p>
        </w:tc>
        <w:tc>
          <w:tcPr>
            <w:tcW w:w="98" w:type="dxa"/>
            <w:tcBorders/>
            <w:vAlign w:val="center"/>
          </w:tcPr>
          <w:p>
            <w:pPr>
              <w:pStyle w:val="TableContents"/>
              <w:bidi w:val="0"/>
              <w:spacing w:before="0" w:after="283"/>
              <w:jc w:val="left"/>
              <w:rPr>
                <w:sz w:val="18"/>
              </w:rPr>
            </w:pPr>
            <w:r>
              <w:rPr>
                <w:sz w:val="18"/>
              </w:rPr>
              <w:t>)</w:t>
            </w:r>
          </w:p>
        </w:tc>
      </w:tr>
      <w:tr>
        <w:trPr/>
        <w:tc>
          <w:tcPr>
            <w:tcW w:w="7983" w:type="dxa"/>
            <w:tcBorders/>
            <w:shd w:fill="CCEEFF" w:val="clear"/>
            <w:vAlign w:val="center"/>
          </w:tcPr>
          <w:p>
            <w:pPr>
              <w:pStyle w:val="TableContents"/>
              <w:bidi w:val="0"/>
              <w:spacing w:before="0" w:after="283"/>
              <w:jc w:val="left"/>
              <w:rPr>
                <w:sz w:val="18"/>
              </w:rPr>
            </w:pPr>
            <w:r>
              <w:rPr>
                <w:sz w:val="18"/>
              </w:rPr>
              <w:t>Proceeds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10</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87</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Proceeds from sale of marketable securities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10,456</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Issuance of loans receivable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(591</w:t>
            </w:r>
          </w:p>
        </w:tc>
        <w:tc>
          <w:tcPr>
            <w:tcW w:w="98" w:type="dxa"/>
            <w:tcBorders/>
            <w:shd w:fill="CCEEFF" w:val="clear"/>
            <w:vAlign w:val="center"/>
          </w:tcPr>
          <w:p>
            <w:pPr>
              <w:pStyle w:val="TableContents"/>
              <w:bidi w:val="0"/>
              <w:spacing w:before="0" w:after="283"/>
              <w:jc w:val="left"/>
              <w:rPr>
                <w:sz w:val="18"/>
              </w:rPr>
            </w:pPr>
            <w:r>
              <w:rPr>
                <w:sz w:val="18"/>
              </w:rPr>
              <w:t>)</w:t>
            </w:r>
          </w:p>
        </w:tc>
      </w:tr>
      <w:tr>
        <w:trPr/>
        <w:tc>
          <w:tcPr>
            <w:tcW w:w="7983" w:type="dxa"/>
            <w:tcBorders/>
            <w:vAlign w:val="center"/>
          </w:tcPr>
          <w:p>
            <w:pPr>
              <w:pStyle w:val="TableContents"/>
              <w:bidi w:val="0"/>
              <w:spacing w:before="0" w:after="283"/>
              <w:jc w:val="left"/>
              <w:rPr>
                <w:sz w:val="18"/>
              </w:rPr>
            </w:pPr>
            <w:r>
              <w:rPr>
                <w:sz w:val="18"/>
              </w:rPr>
              <w:t>Proceeds from repayment of loans receivable</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tcMar>
              <w:bottom w:w="28" w:type="dxa"/>
            </w:tcMar>
            <w:vAlign w:val="center"/>
          </w:tcPr>
          <w:p>
            <w:pPr>
              <w:pStyle w:val="TableContents"/>
              <w:bidi w:val="0"/>
              <w:spacing w:before="0" w:after="283"/>
              <w:jc w:val="right"/>
              <w:rPr>
                <w:sz w:val="18"/>
              </w:rPr>
            </w:pPr>
            <w:r>
              <w:rPr>
                <w:sz w:val="18"/>
              </w:rPr>
              <w:t>330</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tcMar>
              <w:bottom w:w="28" w:type="dxa"/>
            </w:tcMar>
            <w:vAlign w:val="center"/>
          </w:tcPr>
          <w:p>
            <w:pPr>
              <w:pStyle w:val="TableContents"/>
              <w:bidi w:val="0"/>
              <w:spacing w:before="0" w:after="283"/>
              <w:jc w:val="right"/>
              <w:rPr>
                <w:sz w:val="18"/>
              </w:rPr>
            </w:pPr>
            <w:r>
              <w:rPr>
                <w:sz w:val="18"/>
              </w:rPr>
              <w:t>15,342</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b/>
                <w:sz w:val="18"/>
              </w:rPr>
            </w:pPr>
            <w:r>
              <w:rPr>
                <w:b/>
                <w:sz w:val="18"/>
              </w:rPr>
              <w:t>Net cash and cash equivalents provided by investing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340</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25,235</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b/>
                <w:sz w:val="18"/>
              </w:rPr>
            </w:pPr>
            <w:r>
              <w:rPr>
                <w:b/>
                <w:sz w:val="18"/>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Proceeds from Issuance of Common Stock through an S-1 and Pre-Funded Warrants offering</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2,123</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Proceeds from issuance of Common Stock through an “at the market” offering, net of fees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1,545</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Proceeds from Employee Stock Purchase Plan Shares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25</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Proceeds from exercise of Pre-Funded Warrants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10</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Proceeds from issuance of related party notes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3,988</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500</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Repayments of notes payable, other</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(71</w:t>
            </w:r>
          </w:p>
        </w:tc>
        <w:tc>
          <w:tcPr>
            <w:tcW w:w="98" w:type="dxa"/>
            <w:tcBorders/>
            <w:shd w:fill="CCEEFF" w:val="clear"/>
            <w:vAlign w:val="center"/>
          </w:tcPr>
          <w:p>
            <w:pPr>
              <w:pStyle w:val="TableContents"/>
              <w:bidi w:val="0"/>
              <w:spacing w:before="0" w:after="283"/>
              <w:jc w:val="left"/>
              <w:rPr>
                <w:sz w:val="18"/>
              </w:rPr>
            </w:pPr>
            <w:r>
              <w:rPr>
                <w:sz w:val="18"/>
              </w:rPr>
              <w:t>)</w:t>
            </w:r>
          </w:p>
        </w:tc>
      </w:tr>
      <w:tr>
        <w:trPr/>
        <w:tc>
          <w:tcPr>
            <w:tcW w:w="7983" w:type="dxa"/>
            <w:tcBorders/>
            <w:vAlign w:val="center"/>
          </w:tcPr>
          <w:p>
            <w:pPr>
              <w:pStyle w:val="TableContents"/>
              <w:bidi w:val="0"/>
              <w:spacing w:before="0" w:after="283"/>
              <w:jc w:val="left"/>
              <w:rPr>
                <w:sz w:val="18"/>
              </w:rPr>
            </w:pPr>
            <w:r>
              <w:rPr>
                <w:sz w:val="18"/>
              </w:rPr>
              <w:t>Repayment of debt in private placement</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(10,307</w:t>
            </w:r>
          </w:p>
        </w:tc>
        <w:tc>
          <w:tcPr>
            <w:tcW w:w="98" w:type="dxa"/>
            <w:tcBorders/>
            <w:vAlign w:val="center"/>
          </w:tcPr>
          <w:p>
            <w:pPr>
              <w:pStyle w:val="TableContents"/>
              <w:bidi w:val="0"/>
              <w:spacing w:before="0" w:after="283"/>
              <w:jc w:val="left"/>
              <w:rPr>
                <w:sz w:val="18"/>
              </w:rPr>
            </w:pPr>
            <w:r>
              <w:rPr>
                <w:sz w:val="18"/>
              </w:rPr>
              <w:t>)</w:t>
            </w:r>
          </w:p>
        </w:tc>
      </w:tr>
      <w:tr>
        <w:trPr/>
        <w:tc>
          <w:tcPr>
            <w:tcW w:w="7983" w:type="dxa"/>
            <w:tcBorders/>
            <w:shd w:fill="CCEEFF" w:val="clear"/>
            <w:vAlign w:val="center"/>
          </w:tcPr>
          <w:p>
            <w:pPr>
              <w:pStyle w:val="TableContents"/>
              <w:bidi w:val="0"/>
              <w:spacing w:before="0" w:after="283"/>
              <w:jc w:val="left"/>
              <w:rPr>
                <w:sz w:val="18"/>
              </w:rPr>
            </w:pPr>
            <w:r>
              <w:rPr>
                <w:sz w:val="18"/>
              </w:rPr>
              <w:t>Payments on other financing loans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(1</w:t>
            </w:r>
          </w:p>
        </w:tc>
        <w:tc>
          <w:tcPr>
            <w:tcW w:w="108" w:type="dxa"/>
            <w:tcBorders/>
            <w:shd w:fill="CCEEFF" w:val="clear"/>
            <w:vAlign w:val="center"/>
          </w:tcPr>
          <w:p>
            <w:pPr>
              <w:pStyle w:val="TableContents"/>
              <w:bidi w:val="0"/>
              <w:spacing w:before="0" w:after="283"/>
              <w:jc w:val="left"/>
              <w:rPr>
                <w:sz w:val="18"/>
              </w:rPr>
            </w:pPr>
            <w:r>
              <w:rPr>
                <w:sz w:val="18"/>
              </w:rPr>
              <w:t>)</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(5</w:t>
            </w:r>
          </w:p>
        </w:tc>
        <w:tc>
          <w:tcPr>
            <w:tcW w:w="98" w:type="dxa"/>
            <w:tcBorders/>
            <w:shd w:fill="CCEEFF" w:val="clear"/>
            <w:vAlign w:val="center"/>
          </w:tcPr>
          <w:p>
            <w:pPr>
              <w:pStyle w:val="TableContents"/>
              <w:bidi w:val="0"/>
              <w:spacing w:before="0" w:after="283"/>
              <w:jc w:val="left"/>
              <w:rPr>
                <w:sz w:val="18"/>
              </w:rPr>
            </w:pPr>
            <w:r>
              <w:rPr>
                <w:sz w:val="18"/>
              </w:rPr>
              <w:t>)</w:t>
            </w:r>
          </w:p>
        </w:tc>
      </w:tr>
      <w:tr>
        <w:trPr/>
        <w:tc>
          <w:tcPr>
            <w:tcW w:w="7983" w:type="dxa"/>
            <w:tcBorders/>
            <w:vAlign w:val="center"/>
          </w:tcPr>
          <w:p>
            <w:pPr>
              <w:pStyle w:val="TableContents"/>
              <w:bidi w:val="0"/>
              <w:spacing w:before="0" w:after="283"/>
              <w:jc w:val="left"/>
              <w:rPr>
                <w:sz w:val="18"/>
              </w:rPr>
            </w:pPr>
            <w:r>
              <w:rPr>
                <w:sz w:val="18"/>
              </w:rPr>
              <w:t>Payments on insurance financing loans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(377</w:t>
            </w:r>
          </w:p>
        </w:tc>
        <w:tc>
          <w:tcPr>
            <w:tcW w:w="108" w:type="dxa"/>
            <w:tcBorders/>
            <w:vAlign w:val="center"/>
          </w:tcPr>
          <w:p>
            <w:pPr>
              <w:pStyle w:val="TableContents"/>
              <w:bidi w:val="0"/>
              <w:spacing w:before="0" w:after="283"/>
              <w:jc w:val="left"/>
              <w:rPr>
                <w:sz w:val="18"/>
              </w:rPr>
            </w:pPr>
            <w:r>
              <w:rPr>
                <w:sz w:val="18"/>
              </w:rPr>
              <w:t>)</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sz w:val="18"/>
              </w:rPr>
            </w:pPr>
            <w:r>
              <w:rPr>
                <w:sz w:val="18"/>
              </w:rPr>
              <w:t>(1,205</w:t>
            </w:r>
          </w:p>
        </w:tc>
        <w:tc>
          <w:tcPr>
            <w:tcW w:w="98" w:type="dxa"/>
            <w:tcBorders/>
            <w:vAlign w:val="center"/>
          </w:tcPr>
          <w:p>
            <w:pPr>
              <w:pStyle w:val="TableContents"/>
              <w:bidi w:val="0"/>
              <w:spacing w:before="0" w:after="283"/>
              <w:jc w:val="left"/>
              <w:rPr>
                <w:sz w:val="18"/>
              </w:rPr>
            </w:pPr>
            <w:r>
              <w:rPr>
                <w:sz w:val="18"/>
              </w:rPr>
              <w:t>)</w:t>
            </w:r>
          </w:p>
        </w:tc>
      </w:tr>
      <w:tr>
        <w:trPr/>
        <w:tc>
          <w:tcPr>
            <w:tcW w:w="7983" w:type="dxa"/>
            <w:tcBorders/>
            <w:shd w:fill="CCEEFF" w:val="clear"/>
            <w:vAlign w:val="center"/>
          </w:tcPr>
          <w:p>
            <w:pPr>
              <w:pStyle w:val="TableContents"/>
              <w:bidi w:val="0"/>
              <w:spacing w:before="0" w:after="283"/>
              <w:jc w:val="left"/>
              <w:rPr>
                <w:sz w:val="18"/>
              </w:rPr>
            </w:pPr>
            <w:r>
              <w:rPr>
                <w:sz w:val="18"/>
              </w:rPr>
              <w:t>Payments of financing leases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(80</w:t>
            </w:r>
          </w:p>
        </w:tc>
        <w:tc>
          <w:tcPr>
            <w:tcW w:w="98" w:type="dxa"/>
            <w:tcBorders/>
            <w:shd w:fill="CCEEFF" w:val="clear"/>
            <w:vAlign w:val="center"/>
          </w:tcPr>
          <w:p>
            <w:pPr>
              <w:pStyle w:val="TableContents"/>
              <w:bidi w:val="0"/>
              <w:spacing w:before="0" w:after="283"/>
              <w:jc w:val="left"/>
              <w:rPr>
                <w:sz w:val="18"/>
              </w:rPr>
            </w:pPr>
            <w:r>
              <w:rPr>
                <w:sz w:val="18"/>
              </w:rPr>
              <w:t>)</w:t>
            </w:r>
          </w:p>
        </w:tc>
      </w:tr>
      <w:tr>
        <w:trPr/>
        <w:tc>
          <w:tcPr>
            <w:tcW w:w="7983" w:type="dxa"/>
            <w:tcBorders/>
            <w:vAlign w:val="center"/>
          </w:tcPr>
          <w:p>
            <w:pPr>
              <w:pStyle w:val="TableContents"/>
              <w:bidi w:val="0"/>
              <w:spacing w:before="0" w:after="283"/>
              <w:jc w:val="left"/>
              <w:rPr>
                <w:b/>
                <w:sz w:val="18"/>
              </w:rPr>
            </w:pPr>
            <w:r>
              <w:rPr>
                <w:b/>
                <w:sz w:val="18"/>
              </w:rPr>
              <w:t>Net cash and cash equivalents provided by (used in) financing activities</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tcMar>
              <w:bottom w:w="28" w:type="dxa"/>
            </w:tcMar>
            <w:vAlign w:val="center"/>
          </w:tcPr>
          <w:p>
            <w:pPr>
              <w:pStyle w:val="TableContents"/>
              <w:bidi w:val="0"/>
              <w:spacing w:before="0" w:after="283"/>
              <w:jc w:val="right"/>
              <w:rPr>
                <w:sz w:val="18"/>
              </w:rPr>
            </w:pPr>
            <w:r>
              <w:rPr>
                <w:sz w:val="18"/>
              </w:rPr>
              <w:t>5,743</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tcMar>
              <w:bottom w:w="28" w:type="dxa"/>
            </w:tcMar>
            <w:vAlign w:val="center"/>
          </w:tcPr>
          <w:p>
            <w:pPr>
              <w:pStyle w:val="TableContents"/>
              <w:bidi w:val="0"/>
              <w:spacing w:before="0" w:after="283"/>
              <w:jc w:val="right"/>
              <w:rPr>
                <w:sz w:val="18"/>
              </w:rPr>
            </w:pPr>
            <w:r>
              <w:rPr>
                <w:sz w:val="18"/>
              </w:rPr>
              <w:t>(9,598</w:t>
            </w:r>
          </w:p>
        </w:tc>
        <w:tc>
          <w:tcPr>
            <w:tcW w:w="98" w:type="dxa"/>
            <w:tcBorders/>
            <w:vAlign w:val="center"/>
          </w:tcPr>
          <w:p>
            <w:pPr>
              <w:pStyle w:val="TableContents"/>
              <w:bidi w:val="0"/>
              <w:spacing w:before="0" w:after="283"/>
              <w:jc w:val="left"/>
              <w:rPr>
                <w:sz w:val="18"/>
              </w:rPr>
            </w:pPr>
            <w:r>
              <w:rPr>
                <w:sz w:val="18"/>
              </w:rPr>
              <w:t>)</w:t>
            </w:r>
          </w:p>
        </w:tc>
      </w:tr>
      <w:tr>
        <w:trPr/>
        <w:tc>
          <w:tcPr>
            <w:tcW w:w="7983" w:type="dxa"/>
            <w:tcBorders/>
            <w:shd w:fill="CCEEFF" w:val="clear"/>
            <w:vAlign w:val="center"/>
          </w:tcPr>
          <w:p>
            <w:pPr>
              <w:pStyle w:val="TableContents"/>
              <w:bidi w:val="0"/>
              <w:spacing w:before="0" w:after="283"/>
              <w:jc w:val="left"/>
              <w:rPr>
                <w:sz w:val="18"/>
              </w:rPr>
            </w:pPr>
            <w:r>
              <w:rPr>
                <w:sz w:val="18"/>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(167</w:t>
            </w:r>
          </w:p>
        </w:tc>
        <w:tc>
          <w:tcPr>
            <w:tcW w:w="108" w:type="dxa"/>
            <w:tcBorders/>
            <w:shd w:fill="CCEEFF" w:val="clear"/>
            <w:vAlign w:val="center"/>
          </w:tcPr>
          <w:p>
            <w:pPr>
              <w:pStyle w:val="TableContents"/>
              <w:bidi w:val="0"/>
              <w:spacing w:before="0" w:after="283"/>
              <w:jc w:val="left"/>
              <w:rPr>
                <w:sz w:val="18"/>
              </w:rPr>
            </w:pPr>
            <w:r>
              <w:rPr>
                <w:sz w:val="18"/>
              </w:rPr>
              <w:t>)</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8"/>
              </w:rPr>
            </w:pPr>
            <w:r>
              <w:rPr>
                <w:sz w:val="18"/>
              </w:rPr>
              <w:t>(10,303</w:t>
            </w:r>
          </w:p>
        </w:tc>
        <w:tc>
          <w:tcPr>
            <w:tcW w:w="98" w:type="dxa"/>
            <w:tcBorders/>
            <w:shd w:fill="CCEEFF" w:val="clear"/>
            <w:vAlign w:val="center"/>
          </w:tcPr>
          <w:p>
            <w:pPr>
              <w:pStyle w:val="TableContents"/>
              <w:bidi w:val="0"/>
              <w:spacing w:before="0" w:after="283"/>
              <w:jc w:val="left"/>
              <w:rPr>
                <w:sz w:val="18"/>
              </w:rPr>
            </w:pPr>
            <w:r>
              <w:rPr>
                <w:sz w:val="18"/>
              </w:rPr>
              <w:t>)</w:t>
            </w:r>
          </w:p>
        </w:tc>
      </w:tr>
      <w:tr>
        <w:trPr/>
        <w:tc>
          <w:tcPr>
            <w:tcW w:w="7983" w:type="dxa"/>
            <w:tcBorders/>
            <w:vAlign w:val="center"/>
          </w:tcPr>
          <w:p>
            <w:pPr>
              <w:pStyle w:val="TableContents"/>
              <w:bidi w:val="0"/>
              <w:spacing w:before="0" w:after="283"/>
              <w:jc w:val="left"/>
              <w:rPr>
                <w:sz w:val="18"/>
              </w:rPr>
            </w:pPr>
            <w:r>
              <w:rPr>
                <w:sz w:val="18"/>
              </w:rPr>
              <w:t>Cash and cash equivalents at the beginning of period</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tcMar>
              <w:bottom w:w="28" w:type="dxa"/>
            </w:tcMar>
            <w:vAlign w:val="center"/>
          </w:tcPr>
          <w:p>
            <w:pPr>
              <w:pStyle w:val="TableContents"/>
              <w:bidi w:val="0"/>
              <w:spacing w:before="0" w:after="283"/>
              <w:jc w:val="right"/>
              <w:rPr>
                <w:sz w:val="18"/>
              </w:rPr>
            </w:pPr>
            <w:r>
              <w:rPr>
                <w:sz w:val="18"/>
              </w:rPr>
              <w:t>430</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tcMar>
              <w:bottom w:w="28" w:type="dxa"/>
            </w:tcMar>
            <w:vAlign w:val="center"/>
          </w:tcPr>
          <w:p>
            <w:pPr>
              <w:pStyle w:val="TableContents"/>
              <w:bidi w:val="0"/>
              <w:spacing w:before="0" w:after="283"/>
              <w:jc w:val="right"/>
              <w:rPr>
                <w:sz w:val="18"/>
              </w:rPr>
            </w:pPr>
            <w:r>
              <w:rPr>
                <w:sz w:val="18"/>
              </w:rPr>
              <w:t>10,457</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Cash and cash equivalents at the end of period</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787"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263</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787"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154</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b/>
                <w:sz w:val="18"/>
              </w:rPr>
            </w:pPr>
            <w:r>
              <w:rPr>
                <w:b/>
                <w:sz w:val="18"/>
              </w:rPr>
              <w:t>Supplemental disclosures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Cash paid for interest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sz w:val="18"/>
              </w:rPr>
            </w:pPr>
            <w:r>
              <w:rPr>
                <w:sz w:val="18"/>
              </w:rPr>
              <w:t>95</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sz w:val="18"/>
              </w:rPr>
            </w:pPr>
            <w:r>
              <w:rPr>
                <w:sz w:val="18"/>
              </w:rPr>
              <w:t>64</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b/>
                <w:sz w:val="18"/>
              </w:rPr>
            </w:pPr>
            <w:r>
              <w:rPr>
                <w:b/>
                <w:sz w:val="18"/>
              </w:rPr>
              <w:t>Supplemental disclosures of non-cash flow information</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Cashless exercise of High-Trail warrants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sz w:val="18"/>
              </w:rPr>
            </w:pPr>
            <w:r>
              <w:rPr>
                <w:sz w:val="18"/>
              </w:rPr>
              <w:t>3</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Financing of prepaid insurance</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18"/>
              </w:rPr>
            </w:pPr>
            <w:r>
              <w:rPr>
                <w:sz w:val="18"/>
              </w:rPr>
              <w:t>$</w:t>
            </w:r>
          </w:p>
        </w:tc>
        <w:tc>
          <w:tcPr>
            <w:tcW w:w="787" w:type="dxa"/>
            <w:tcBorders/>
            <w:vAlign w:val="center"/>
          </w:tcPr>
          <w:p>
            <w:pPr>
              <w:pStyle w:val="TableContents"/>
              <w:bidi w:val="0"/>
              <w:spacing w:before="0" w:after="283"/>
              <w:jc w:val="right"/>
              <w:rPr>
                <w:sz w:val="18"/>
              </w:rPr>
            </w:pPr>
            <w:r>
              <w:rPr>
                <w:sz w:val="18"/>
              </w:rPr>
              <w:t>17</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18"/>
              </w:rPr>
            </w:pPr>
            <w:r>
              <w:rPr>
                <w:sz w:val="18"/>
              </w:rPr>
              <w:t>$</w:t>
            </w:r>
          </w:p>
        </w:tc>
        <w:tc>
          <w:tcPr>
            <w:tcW w:w="787" w:type="dxa"/>
            <w:tcBorders/>
            <w:vAlign w:val="center"/>
          </w:tcPr>
          <w:p>
            <w:pPr>
              <w:pStyle w:val="TableContents"/>
              <w:bidi w:val="0"/>
              <w:spacing w:before="0" w:after="283"/>
              <w:jc w:val="right"/>
              <w:rPr>
                <w:sz w:val="18"/>
              </w:rPr>
            </w:pPr>
            <w:r>
              <w:rPr>
                <w:sz w:val="18"/>
              </w:rPr>
              <w:t>1,694</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Transfer of loans receivable from noncurrent to current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sz w:val="18"/>
              </w:rPr>
            </w:pPr>
            <w:r>
              <w:rPr>
                <w:sz w:val="18"/>
              </w:rPr>
              <w:t>1,680</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Transfer of property and equipment to inventory</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18"/>
              </w:rPr>
            </w:pPr>
            <w:r>
              <w:rPr>
                <w:sz w:val="18"/>
              </w:rPr>
              <w:t>$</w:t>
            </w:r>
          </w:p>
        </w:tc>
        <w:tc>
          <w:tcPr>
            <w:tcW w:w="787" w:type="dxa"/>
            <w:tcBorders/>
            <w:vAlign w:val="center"/>
          </w:tcPr>
          <w:p>
            <w:pPr>
              <w:pStyle w:val="TableContents"/>
              <w:bidi w:val="0"/>
              <w:spacing w:before="0" w:after="283"/>
              <w:jc w:val="right"/>
              <w:rPr/>
            </w:pPr>
            <w:r>
              <w:rPr/>
              <w:t>—</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18"/>
              </w:rPr>
            </w:pPr>
            <w:r>
              <w:rPr>
                <w:sz w:val="18"/>
              </w:rPr>
              <w:t>$</w:t>
            </w:r>
          </w:p>
        </w:tc>
        <w:tc>
          <w:tcPr>
            <w:tcW w:w="787" w:type="dxa"/>
            <w:tcBorders/>
            <w:vAlign w:val="center"/>
          </w:tcPr>
          <w:p>
            <w:pPr>
              <w:pStyle w:val="TableContents"/>
              <w:bidi w:val="0"/>
              <w:spacing w:before="0" w:after="283"/>
              <w:jc w:val="right"/>
              <w:rPr>
                <w:sz w:val="18"/>
              </w:rPr>
            </w:pPr>
            <w:r>
              <w:rPr>
                <w:sz w:val="18"/>
              </w:rPr>
              <w:t>33</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Reclassification of liability classified Pre-Funded Warrants to equity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sz w:val="18"/>
              </w:rPr>
            </w:pPr>
            <w:r>
              <w:rPr>
                <w:sz w:val="18"/>
              </w:rPr>
              <w:t>20,771</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Conversion of related party debt into warrants</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18"/>
              </w:rPr>
            </w:pPr>
            <w:r>
              <w:rPr>
                <w:sz w:val="18"/>
              </w:rPr>
              <w:t>$</w:t>
            </w:r>
          </w:p>
        </w:tc>
        <w:tc>
          <w:tcPr>
            <w:tcW w:w="787" w:type="dxa"/>
            <w:tcBorders/>
            <w:vAlign w:val="center"/>
          </w:tcPr>
          <w:p>
            <w:pPr>
              <w:pStyle w:val="TableContents"/>
              <w:bidi w:val="0"/>
              <w:spacing w:before="0" w:after="283"/>
              <w:jc w:val="right"/>
              <w:rPr>
                <w:sz w:val="18"/>
              </w:rPr>
            </w:pPr>
            <w:r>
              <w:rPr>
                <w:sz w:val="18"/>
              </w:rPr>
              <w:t>10,044</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18"/>
              </w:rPr>
            </w:pPr>
            <w:r>
              <w:rPr>
                <w:sz w:val="18"/>
              </w:rPr>
              <w:t>$</w:t>
            </w:r>
          </w:p>
        </w:tc>
        <w:tc>
          <w:tcPr>
            <w:tcW w:w="787"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Accrued interest consolidated into related party debt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sz w:val="18"/>
              </w:rPr>
            </w:pPr>
            <w:r>
              <w:rPr>
                <w:sz w:val="18"/>
              </w:rPr>
              <w:t>364</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Contribution from troubled debt restructuring with related party</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18"/>
              </w:rPr>
            </w:pPr>
            <w:r>
              <w:rPr>
                <w:sz w:val="18"/>
              </w:rPr>
              <w:t>$</w:t>
            </w:r>
          </w:p>
        </w:tc>
        <w:tc>
          <w:tcPr>
            <w:tcW w:w="787" w:type="dxa"/>
            <w:tcBorders/>
            <w:vAlign w:val="center"/>
          </w:tcPr>
          <w:p>
            <w:pPr>
              <w:pStyle w:val="TableContents"/>
              <w:bidi w:val="0"/>
              <w:spacing w:before="0" w:after="283"/>
              <w:jc w:val="right"/>
              <w:rPr>
                <w:sz w:val="18"/>
              </w:rPr>
            </w:pPr>
            <w:r>
              <w:rPr>
                <w:sz w:val="18"/>
              </w:rPr>
              <w:t>676</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18"/>
              </w:rPr>
            </w:pPr>
            <w:r>
              <w:rPr>
                <w:sz w:val="18"/>
              </w:rPr>
              <w:t>$</w:t>
            </w:r>
          </w:p>
        </w:tc>
        <w:tc>
          <w:tcPr>
            <w:tcW w:w="787"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Consolidation of related party debt principal</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sz w:val="18"/>
              </w:rPr>
            </w:pPr>
            <w:r>
              <w:rPr>
                <w:sz w:val="18"/>
              </w:rPr>
              <w:t>3,799</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r>
      <w:tr>
        <w:trPr/>
        <w:tc>
          <w:tcPr>
            <w:tcW w:w="7983" w:type="dxa"/>
            <w:tcBorders/>
            <w:vAlign w:val="center"/>
          </w:tcPr>
          <w:p>
            <w:pPr>
              <w:pStyle w:val="TableContents"/>
              <w:bidi w:val="0"/>
              <w:spacing w:before="0" w:after="283"/>
              <w:jc w:val="left"/>
              <w:rPr>
                <w:sz w:val="18"/>
              </w:rPr>
            </w:pPr>
            <w:r>
              <w:rPr>
                <w:sz w:val="18"/>
              </w:rPr>
              <w:t>Conversion of convertible notes into equity</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18"/>
              </w:rPr>
            </w:pPr>
            <w:r>
              <w:rPr>
                <w:sz w:val="18"/>
              </w:rPr>
              <w:t>$</w:t>
            </w:r>
          </w:p>
        </w:tc>
        <w:tc>
          <w:tcPr>
            <w:tcW w:w="787" w:type="dxa"/>
            <w:tcBorders/>
            <w:vAlign w:val="center"/>
          </w:tcPr>
          <w:p>
            <w:pPr>
              <w:pStyle w:val="TableContents"/>
              <w:bidi w:val="0"/>
              <w:spacing w:before="0" w:after="283"/>
              <w:jc w:val="right"/>
              <w:rPr>
                <w:sz w:val="18"/>
              </w:rPr>
            </w:pPr>
            <w:r>
              <w:rPr>
                <w:sz w:val="18"/>
              </w:rPr>
              <w:t>1,731</w:t>
            </w:r>
          </w:p>
        </w:tc>
        <w:tc>
          <w:tcPr>
            <w:tcW w:w="10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18"/>
              </w:rPr>
            </w:pPr>
            <w:r>
              <w:rPr>
                <w:sz w:val="18"/>
              </w:rPr>
              <w:t>$</w:t>
            </w:r>
          </w:p>
        </w:tc>
        <w:tc>
          <w:tcPr>
            <w:tcW w:w="787" w:type="dxa"/>
            <w:tcBorders/>
            <w:vAlign w:val="center"/>
          </w:tcPr>
          <w:p>
            <w:pPr>
              <w:pStyle w:val="TableContents"/>
              <w:bidi w:val="0"/>
              <w:spacing w:before="0" w:after="283"/>
              <w:jc w:val="right"/>
              <w:rPr>
                <w:sz w:val="18"/>
              </w:rPr>
            </w:pPr>
            <w:r>
              <w:rPr>
                <w:sz w:val="18"/>
              </w:rPr>
              <w:t>3,306</w:t>
            </w:r>
          </w:p>
        </w:tc>
        <w:tc>
          <w:tcPr>
            <w:tcW w:w="98" w:type="dxa"/>
            <w:tcBorders/>
            <w:vAlign w:val="center"/>
          </w:tcPr>
          <w:p>
            <w:pPr>
              <w:pStyle w:val="TableContents"/>
              <w:bidi w:val="0"/>
              <w:spacing w:before="0" w:after="283"/>
              <w:jc w:val="left"/>
              <w:rPr/>
            </w:pPr>
            <w:r>
              <w:rPr/>
              <w:t> </w:t>
            </w:r>
          </w:p>
        </w:tc>
      </w:tr>
      <w:tr>
        <w:trPr/>
        <w:tc>
          <w:tcPr>
            <w:tcW w:w="7983" w:type="dxa"/>
            <w:tcBorders/>
            <w:shd w:fill="CCEEFF" w:val="clear"/>
            <w:vAlign w:val="center"/>
          </w:tcPr>
          <w:p>
            <w:pPr>
              <w:pStyle w:val="TableContents"/>
              <w:bidi w:val="0"/>
              <w:spacing w:before="0" w:after="283"/>
              <w:jc w:val="left"/>
              <w:rPr>
                <w:sz w:val="18"/>
              </w:rPr>
            </w:pPr>
            <w:r>
              <w:rPr>
                <w:sz w:val="18"/>
              </w:rPr>
              <w:t>Non-cash amounts of lease liabilities arising from obtaining right-of-use 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sz w:val="18"/>
              </w:rPr>
            </w:pPr>
            <w:r>
              <w:rPr>
                <w:sz w:val="18"/>
              </w:rPr>
              <w:t>392</w:t>
            </w:r>
          </w:p>
        </w:tc>
        <w:tc>
          <w:tcPr>
            <w:tcW w:w="108"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18"/>
              </w:rPr>
            </w:pPr>
            <w:r>
              <w:rPr>
                <w:sz w:val="18"/>
              </w:rPr>
              <w:t>$</w:t>
            </w:r>
          </w:p>
        </w:tc>
        <w:tc>
          <w:tcPr>
            <w:tcW w:w="787" w:type="dxa"/>
            <w:tcBorders/>
            <w:shd w:fill="CCEEFF" w:val="clear"/>
            <w:vAlign w:val="center"/>
          </w:tcPr>
          <w:p>
            <w:pPr>
              <w:pStyle w:val="TableContents"/>
              <w:bidi w:val="0"/>
              <w:spacing w:before="0" w:after="283"/>
              <w:jc w:val="right"/>
              <w:rPr>
                <w:sz w:val="18"/>
              </w:rPr>
            </w:pPr>
            <w:r>
              <w:rPr>
                <w:sz w:val="18"/>
              </w:rPr>
              <w:t>654</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Note 1 — Overview, Basis of Presentation and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Corporation (“Agrify” or the “Company”) is a developer of branded innovative solutions for the cannabis and hemp industries in extraction, cultivation and more. We believe we are the only company with an automated and fully integrated grow solution in the industry. Our Agrify “Precision Elevated™” cultivation solution seamlessly combines our integrated hardware and software offerings with a broad range of associated services including consulting, engineering, and construction and is designed to deliver the most complete commercial indoor farming solution available from a single provider. The totality of our product offerings and service capabilities forms an unrivaled ecosystem in what has historically been a highly fragmented market. Agrify’s proprietary micro-environment-controlled Vertical Farming Units (VFUs) enable cultivators to produce the highest quality products with unmatched consistency, yield, and ROI at scale. Agrify’s comprehensive extraction product line, which includes hydrocarbon, ethanol, solventless, post-processing, and lab equipment, empowers producers to maximize the quantity and quality of extract required for premium concentrates.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in the State of Nevada on June 6, 2016 as Agrinamics, Inc., and subsequently changed its name to Agrify Corporation. The Company is sometimes referred to herein by the words “we,” “us,” “our,” and similar terminology.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ten wholly-owned subsidiaries, which are collectively referred to as the “Subsidiaries” and the Company also has ownership interests in certain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Deficiency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2023, the Company received a Staff Delisting Determination from the Nasdaq Stock Market LLC (“Nasdaq”) Listing Qualifications Department (the “Staff”) notifying the Company that it was not in compliance with Nasdaq’s continued listing requirements under Nasdaq Listing Rule 5250(c)(1) (the “Listing Rule 5250(c)(1)”) as a result of its failure to file the Form 10-Q for the quarters ended March 31, 2023, June 30, 2023 and the annual report on Form 10-K for the fiscal year ended December 31, 2022 in a timely manner.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2023, the Company received a notice from the Staff that the Company remained noncompliant with the Listing Rule 5250(c)(1) as a result of its failure to file its Quarterly Report on Form 10-Q for the fiscal quarter ended September 30, 2023 with the Securities And Exchange Commission (the “SEC”) by the required filing date. The Company subsequently filed each of the delinquent reports and regained compliance with the Listing Rule 5250(c)(1).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2023, the Company received a notice from Nasdaq stating that because the Company reported stockholders’ deficit of $(17.17) million in its Form 10-Q for the quarter ended March 31, 2023, the Company was no longer in compliance with Nasdaq Listing Rule 5550(b)(1) (the “Listing Rule 5550(b)(1)”), which requires that listed companies maintain a minimum of $2.5 million in stockholders’ equity. In response, the Company timely requested a hearing before a Nasdaq Hearings Panel (the “Panel”), which stayed any further action by the Staff. The hearing was held on January 11, 2024. The Company arrived at the hearing having previously cured any additional grounds for delisting as a result of delinquent periodic filings during 2023 by making all filings prior to the hearing.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2024, the Company received formal notice that the Panel had granted the Company’s request for an exception through April 15, 2024 to evidence compliance with the Listing Rule 5550(b)(1), which was subsequently extended to May 15, 2024. As a result of the conversion of the Convertible Note (as defined below) and the Restated Junior Note (as defined below) as set forth below in Note 7, the Company regained compliance with the stockholders’ equity requirement, On May 28, 2024, the Company received formal written notice from Nasdaq confirming that the Company had regained compliance with the minimum stockholders’ equity requirement as set forth in Listing Rule 5550(b)(1).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2024, the Company received a deficiency letter from the Staff notifying the Company that, for the last 30 consecutive business days, the bid price for the Company’s Common Stock had closed below $1.00 per share, which is the minimum closing price required to maintain continued listing on the Nasdaq Stock Market under Nasdaq Listing Rule 5550(a)(2) (the “Minimum Bid Requirement”). The Notice had no immediate effect on the listing of the Company’s Common Stock on Nasdaq. In accordance with Nasdaq Listing Rule 5810(c)(3)(A), the Company has 180 calendar days to regain compliance with the Minimum Bid Requirement. The compliance period for the Company expired on September 3, 2024. On September 4, 2024, the Staff notified the company in writing that it was eligible for an additional 180-day compliance period, or until March 3, 2025, to regain compliance with the Minimum Bid Requirement. On October 8, 2024, the Company completed a 1-for-15 reverse stock split of our Common Stock, in which each fifteen shares of Common Stock issued and outstanding was combined and converted into one share of Common Stock to regain compliance with the Minimum Bid Requirement. On October 22, 2024, the Staff notified the Company that it had regained compliance with the Minimum Bid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 and 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interim condensed consolidated financial statements of the Company and its subsidiaries are unaudited. In the opinion of management, all adjustments (consisting of normal recurring accruals) and disclosures necessary for a fair presentation of these unaudited condensed consolidated financial statements have been included. The results reported in the unaudited condensed consolidated financial statements for any interim periods are not necessarily indicative of the results that may be reported for the entire year. The accompanying unaudited condensed consolidated financial statements have been prepared in accordance with the rules and regulations of the SEC and do not include all information and footnotes necessary for a complete presentation of financial statements in conformity with accounting principles generally accepted in the United States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footnote disclosures normally included in the annual consolidated financial statements prepared in accordance with U.S. GAAP have been condensed or omitted. These unaudited interim condensed consolidated financial statements should be read in conjunction with the Company’s audited consolidated financial statements and notes thereto included in the Company’s Annual Report on Form 10-K for the year ended December 31, 2023 filed with the SEC on April 15, 2024. The December 31, 2023 balances reported herein are derived from the audited consolidated financial statements for the year ended December 31, 2023. The results of operations for the interim periods are not necessarily indicative of the results of operations to be expected for the full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Wholly-Owned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unaudited consolidated financial statements have been prepared in accordance with U.S. GAAP and include the accounts of the Company and its wholly-owned subsidiaries, as described above, in accordance with the provisions required by Accounting Standards Codification (“ASC”) Topic 810,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 xml:space="preserve"> (“ASC 810”) of the Financial Accounting Standards Board (“FASB”). The Company includes results of operations of acquired companies from the date of acquisition. All significant intercompany transactions and balances are eliminated.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Less Than Wholly-Owned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Company’s less than wholly-owned subsidiary, Agrify Brands, LLC (“Agrify Brands”), the Company first analyzes whether this entity is a variable interest entity (a “VIE”) in accordance with ASC 810, and if so, whether the Company is the primary beneficiary requiring consolidation. The Company continuously re-assesses (i) whether the joint-venture is a VIE, and (ii) if the Company is the primary beneficiary of the VIE. If it is determined that Agrify Brands qualifies as a VIE and the Company is the primary beneficiary, the Company’s financial interest in the VIE is consolidated.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analysis of this entity, the Company has determined that Agrify Brands is a VIE, and that the Company is the primary beneficiary. While the Company owns 75% of Agrify Brand’s equity interests, the remaining equity interests in Agrify Brands are owned by unrelated third parties, and the agreement with these third parties provides the Company with greater voting power as the majority owner. Accordingly, the Company consolidates its interest in the financial statements of Agrify Brands under the VIE rules and reflects the third parties’ interests in the unaudited condensed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FASB Accounting Standards Update (“ASU”) 2014-15,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the Company’s management evaluated whether there are conditions or events that raise substantial doubt about its ability to continue as a going concern within one year after the financial statements’ issuance date. The following matters raise substantial doubt about the Company’s ability to continue as a going concern within one year after the date the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operating losses since its inception and has negative cash flows from operations and a working capital deficit of $7.0 million. The Company also has an accumulated deficit of $283.2 million as of September 30, 2024. The Company’s primary sources of liquidity are its cash and cash equivalents and marketable securities, with additional liquidity accessible, subject to market conditions and other factors, including limitations that may apply to the Company under applicable SEC regulations, from the capital market. As of September 30, 2024, the Company had $0.3 million of cash, cash equivalents, and marketable securities. The Company had no restricted cash as of September 30, 2024. Current liabilities were $27.8 million as of September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have been prepared on a going concern basis, which implies the Company believes these conditions raise substantial doubt about its ability to continue as a going concern within the next twelve-months from the date these unaudited condensed consolidated financial statements are available to be issued. The Company’s continuation as a going concern is dependent upon its ability to obtain the necessary debt or equity financing to continue operations until the Company begins generating sufficient cash flows from operations to meet its obligations. If the Company is unable raise additional funds, it may be forced to cease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2024, the Company raised net proceeds of $2.1 million via the issuance of Common Stock and Pre-Funded Warrants in a public offering through Alexander Capital, LP (“Alexander Capital”) that is recorded within Common Stock and additional paid-in capital on the Company’s unaudited condensed consolidated balance sheet. During this period, the Company also raised an additional $4.0 million in proceeds through the issuance of notes to related parties. The Company intends to raise additional capital later this year to support its 2024 and 2025 funding needs. The Company also continues to make additional adjustments in headcount, salary, travel, sales and marketing spending, but there is no guarantee that these ongoing cost-cutting efforts or capital raises will be sufficient to maintain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or that future capital raising efforts will be successful. The unaudited condensed consolidated financial statements do not include any adjustments to reflect the potential future effects on the recoverability and classification of assets or the amounts and classifications of liabilities that may result should the Company be unable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On an ongoing basis, we evaluate estimates, which include estimates related to accruals, stock-based compensation expense, reported amounts of revenues and expenses during the reported period, fair value of warrant liabilities, sales tax liabilities, and net realizable value of inventory and collectability of trade accounts and loans receivable. We base our estimates on historical experience and other market-specific or other relevant assumptions that we believe to be reasonable under the circumstances. Actual results may differ materially from those estimates or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regularly evaluates its assets, including asset groups or reporting units, for impairment in accordance with U.S. GAAP. The Company is aware of the impact that prolonged net losses can have on the fair value of underlying assets and the overall company. The Company is committed to ensuring that the carrying amounts of its assets are appropriately assessed and adjusted for any impairment, reflecting a true and fair view of its financial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 and Loans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net, primarily consists of amounts for goods and services that are billed and currently due from customers. The composition of loan receivable, net is detailed in Note 5 - Loans Receivable. In accordance with ASC Topic 310-10, </w:t>
      </w:r>
      <w:r>
        <w:rPr>
          <w:rFonts w:ascii="Times New Roman;Times;Serif" w:hAnsi="Times New Roman;Times;Serif"/>
          <w:b w:val="false"/>
          <w:i/>
          <w:caps w:val="false"/>
          <w:smallCaps w:val="false"/>
          <w:sz w:val="20"/>
        </w:rPr>
        <w:t>Receivables</w:t>
      </w:r>
      <w:r>
        <w:rPr>
          <w:rFonts w:ascii="Times New Roman;Times;Serif" w:hAnsi="Times New Roman;Times;Serif"/>
          <w:b w:val="false"/>
          <w:i w:val="false"/>
          <w:caps w:val="false"/>
          <w:smallCaps w:val="false"/>
          <w:sz w:val="20"/>
        </w:rPr>
        <w:t xml:space="preserve"> (“ASC 310-10”), accounts receivable and loan receivable balances are presented net of an allowance for credit losses, which are an estimate of billed or borrowed amounts that may not be collectible. In determining the amount of the allowance at each reporting date, management makes judgments about general economic conditions, historical write-off experience, and any specific risks identified in customer or borrower collection matters, including the aging of unpaid accounts receivable and changes in customer or borrower financial conditions. Accounts and loans receivable balances are written off after all means of collection are exhausted and the potential for non-recovery is determined to be probable. Adjustments to the allowance for credit losses are recorded as general and administrative expenses in the unaudited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of Credit Risk and Significant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a concentration of credit risk primarily consist of cash, cash equivalents, marketable securities, accounts receivable, and loans receivable. Cash equivalents primarily consist of money market funds with original maturities of three months or less, which are invested primarily with U.S. financial institutions. Cash deposits with financial institutions generally exceed federally insured limits. Management believes minimal credit risk exists with respect to these financial institutions and the Company has not experienced any losses on such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show customers who account for 10% or more of the Company’s total revenues and 10% or more of the Company’s accounts receivable for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2024 and 2023, the Company’s customers that accounted for 10% or more of the total revenue were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3"/>
        <w:gridCol w:w="60"/>
        <w:gridCol w:w="154"/>
        <w:gridCol w:w="880"/>
        <w:gridCol w:w="65"/>
        <w:gridCol w:w="65"/>
        <w:gridCol w:w="103"/>
        <w:gridCol w:w="870"/>
        <w:gridCol w:w="215"/>
        <w:gridCol w:w="60"/>
        <w:gridCol w:w="107"/>
        <w:gridCol w:w="800"/>
        <w:gridCol w:w="75"/>
        <w:gridCol w:w="75"/>
        <w:gridCol w:w="116"/>
        <w:gridCol w:w="857"/>
        <w:gridCol w:w="60"/>
        <w:gridCol w:w="60"/>
        <w:gridCol w:w="103"/>
        <w:gridCol w:w="757"/>
        <w:gridCol w:w="71"/>
        <w:gridCol w:w="71"/>
        <w:gridCol w:w="99"/>
        <w:gridCol w:w="874"/>
        <w:gridCol w:w="60"/>
        <w:gridCol w:w="60"/>
        <w:gridCol w:w="210"/>
        <w:gridCol w:w="713"/>
        <w:gridCol w:w="69"/>
        <w:gridCol w:w="69"/>
        <w:gridCol w:w="116"/>
        <w:gridCol w:w="857"/>
        <w:gridCol w:w="241"/>
      </w:tblGrid>
      <w:tr>
        <w:trPr/>
        <w:tc>
          <w:tcPr>
            <w:tcW w:w="12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b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 xml:space="preserve">September 30,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br/>
              <w:t>2023</w:t>
            </w:r>
          </w:p>
        </w:tc>
        <w:tc>
          <w:tcPr>
            <w:tcW w:w="241" w:type="dxa"/>
            <w:tcBorders/>
            <w:vAlign w:val="center"/>
          </w:tcPr>
          <w:p>
            <w:pPr>
              <w:pStyle w:val="TableContents"/>
              <w:bidi w:val="0"/>
              <w:spacing w:before="0" w:after="283"/>
              <w:jc w:val="left"/>
              <w:rPr/>
            </w:pPr>
            <w:r>
              <w:rPr/>
              <w:t> </w:t>
            </w:r>
          </w:p>
        </w:tc>
      </w:tr>
      <w:tr>
        <w:trPr/>
        <w:tc>
          <w:tcPr>
            <w:tcW w:w="1213"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0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Revenue</w:t>
            </w:r>
          </w:p>
        </w:tc>
        <w:tc>
          <w:tcPr>
            <w:tcW w:w="241" w:type="dxa"/>
            <w:tcBorders/>
            <w:vAlign w:val="center"/>
          </w:tcPr>
          <w:p>
            <w:pPr>
              <w:pStyle w:val="TableContents"/>
              <w:bidi w:val="0"/>
              <w:spacing w:before="0" w:after="283"/>
              <w:jc w:val="left"/>
              <w:rPr/>
            </w:pPr>
            <w:r>
              <w:rPr/>
              <w:t> </w:t>
            </w:r>
          </w:p>
        </w:tc>
      </w:tr>
      <w:tr>
        <w:trPr/>
        <w:tc>
          <w:tcPr>
            <w:tcW w:w="1213"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1,930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13.8</w:t>
            </w:r>
          </w:p>
        </w:tc>
        <w:tc>
          <w:tcPr>
            <w:tcW w:w="241" w:type="dxa"/>
            <w:tcBorders/>
            <w:shd w:fill="CCEEFF" w:val="clear"/>
            <w:vAlign w:val="center"/>
          </w:tcPr>
          <w:p>
            <w:pPr>
              <w:pStyle w:val="TableContents"/>
              <w:bidi w:val="0"/>
              <w:spacing w:before="0" w:after="283"/>
              <w:jc w:val="left"/>
              <w:rPr/>
            </w:pPr>
            <w:r>
              <w:rPr/>
              <w:t>%</w:t>
            </w:r>
          </w:p>
        </w:tc>
      </w:tr>
      <w:tr>
        <w:trPr/>
        <w:tc>
          <w:tcPr>
            <w:tcW w:w="1213" w:type="dxa"/>
            <w:tcBorders/>
            <w:vAlign w:val="center"/>
          </w:tcPr>
          <w:p>
            <w:pPr>
              <w:pStyle w:val="TableContents"/>
              <w:bidi w:val="0"/>
              <w:spacing w:before="0" w:after="283"/>
              <w:jc w:val="left"/>
              <w:rPr/>
            </w:pPr>
            <w:r>
              <w:rPr/>
              <w:t>Customer B</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0" w:type="dxa"/>
            <w:tcBorders/>
            <w:vAlign w:val="center"/>
          </w:tcPr>
          <w:p>
            <w:pPr>
              <w:pStyle w:val="TableContents"/>
              <w:bidi w:val="0"/>
              <w:spacing w:before="0" w:after="283"/>
              <w:jc w:val="right"/>
              <w:rPr/>
            </w:pPr>
            <w:r>
              <w:rPr/>
              <w:t>430,456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14.4</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r>
              <w:rPr/>
              <w:t>*</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     </w:t>
            </w: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r>
              <w:rPr/>
              <w:t>*</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right"/>
              <w:rPr/>
            </w:pPr>
            <w:r>
              <w:rPr/>
              <w:t>       </w:t>
            </w: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713" w:type="dxa"/>
            <w:tcBorders/>
            <w:vAlign w:val="center"/>
          </w:tcPr>
          <w:p>
            <w:pPr>
              <w:pStyle w:val="TableContents"/>
              <w:bidi w:val="0"/>
              <w:spacing w:before="0" w:after="283"/>
              <w:jc w:val="right"/>
              <w:rPr/>
            </w:pPr>
            <w:r>
              <w:rPr/>
              <w:t>1,855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13.2</w:t>
            </w:r>
          </w:p>
        </w:tc>
        <w:tc>
          <w:tcPr>
            <w:tcW w:w="241"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14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pPr>
            <w:r>
              <w:rPr/>
              <w:t>Customer revenue, as a percentage of total revenue, was less than 10%</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and December 31, 2023, the Company’s customers that accounted for 10% or more of the total accounts receivable, net, were as follows:</w:t>
      </w:r>
    </w:p>
    <w:p>
      <w:pPr>
        <w:pStyle w:val="TextBody"/>
        <w:bidi w:val="0"/>
        <w:spacing w:before="0" w:after="0"/>
        <w:ind w:left="0" w:right="0" w:firstLine="360"/>
        <w:jc w:val="both"/>
        <w:rPr>
          <w:caps w:val="false"/>
          <w:smallCaps w:val="false"/>
        </w:rPr>
      </w:pPr>
      <w:r>
        <w:rPr>
          <w:caps w:val="false"/>
          <w:smallCaps w:val="false"/>
        </w:rPr>
        <w:t> </w:t>
      </w:r>
    </w:p>
    <w:tbl>
      <w:tblPr>
        <w:tblW w:w="8604" w:type="dxa"/>
        <w:jc w:val="left"/>
        <w:tblInd w:w="0" w:type="dxa"/>
        <w:tblLayout w:type="fixed"/>
        <w:tblCellMar>
          <w:top w:w="0" w:type="dxa"/>
          <w:left w:w="0" w:type="dxa"/>
          <w:bottom w:w="0" w:type="dxa"/>
          <w:right w:w="0" w:type="dxa"/>
        </w:tblCellMar>
      </w:tblPr>
      <w:tblGrid>
        <w:gridCol w:w="3620"/>
        <w:gridCol w:w="60"/>
        <w:gridCol w:w="301"/>
        <w:gridCol w:w="559"/>
        <w:gridCol w:w="117"/>
        <w:gridCol w:w="117"/>
        <w:gridCol w:w="132"/>
        <w:gridCol w:w="983"/>
        <w:gridCol w:w="215"/>
        <w:gridCol w:w="60"/>
        <w:gridCol w:w="240"/>
        <w:gridCol w:w="651"/>
        <w:gridCol w:w="102"/>
        <w:gridCol w:w="102"/>
        <w:gridCol w:w="133"/>
        <w:gridCol w:w="982"/>
        <w:gridCol w:w="23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September 30,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 2023</w:t>
            </w:r>
          </w:p>
        </w:tc>
        <w:tc>
          <w:tcPr>
            <w:tcW w:w="230" w:type="dxa"/>
            <w:tcBorders/>
            <w:vAlign w:val="center"/>
          </w:tcPr>
          <w:p>
            <w:pPr>
              <w:pStyle w:val="TableContents"/>
              <w:bidi w:val="0"/>
              <w:spacing w:before="0" w:after="283"/>
              <w:jc w:val="left"/>
              <w:rPr/>
            </w:pPr>
            <w:r>
              <w:rPr/>
              <w:t> </w:t>
            </w:r>
          </w:p>
        </w:tc>
      </w:tr>
      <w:tr>
        <w:trPr/>
        <w:tc>
          <w:tcPr>
            <w:tcW w:w="3620"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Accounts</w:t>
              <w:br/>
              <w:t>Receivable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Accounts</w:t>
              <w:br/>
              <w:t>Receivable</w:t>
            </w:r>
          </w:p>
        </w:tc>
        <w:tc>
          <w:tcPr>
            <w:tcW w:w="230" w:type="dxa"/>
            <w:tcBorders/>
            <w:vAlign w:val="center"/>
          </w:tcPr>
          <w:p>
            <w:pPr>
              <w:pStyle w:val="TableContents"/>
              <w:bidi w:val="0"/>
              <w:spacing w:before="0" w:after="283"/>
              <w:ind w:left="0" w:right="0" w:hanging="0"/>
              <w:jc w:val="left"/>
              <w:rPr/>
            </w:pPr>
            <w:r>
              <w:rPr/>
              <w:t> </w:t>
            </w:r>
          </w:p>
        </w:tc>
      </w:tr>
      <w:tr>
        <w:trPr/>
        <w:tc>
          <w:tcPr>
            <w:tcW w:w="3620" w:type="dxa"/>
            <w:tcBorders/>
            <w:shd w:fill="CCEEFF" w:val="clear"/>
            <w:vAlign w:val="center"/>
          </w:tcPr>
          <w:p>
            <w:pPr>
              <w:pStyle w:val="TableContents"/>
              <w:bidi w:val="0"/>
              <w:spacing w:before="0" w:after="283"/>
              <w:jc w:val="left"/>
              <w:rPr/>
            </w:pPr>
            <w:r>
              <w:rPr/>
              <w:t>Company Customer Number – 24375</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95</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29.0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0"/>
              <w:jc w:val="left"/>
              <w:rPr/>
            </w:pPr>
            <w:r>
              <w:rPr/>
              <w:t> </w:t>
            </w:r>
          </w:p>
        </w:tc>
      </w:tr>
      <w:tr>
        <w:trPr/>
        <w:tc>
          <w:tcPr>
            <w:tcW w:w="3620" w:type="dxa"/>
            <w:tcBorders/>
            <w:vAlign w:val="center"/>
          </w:tcPr>
          <w:p>
            <w:pPr>
              <w:pStyle w:val="TableContents"/>
              <w:bidi w:val="0"/>
              <w:spacing w:before="0" w:after="283"/>
              <w:jc w:val="left"/>
              <w:rPr/>
            </w:pPr>
            <w:r>
              <w:rPr/>
              <w:t>Company Customer Number – 125</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69</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21.0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ind w:left="0" w:right="0" w:hanging="0"/>
              <w:jc w:val="left"/>
              <w:rPr/>
            </w:pPr>
            <w:r>
              <w:rPr/>
              <w:t> </w:t>
            </w:r>
          </w:p>
        </w:tc>
      </w:tr>
      <w:tr>
        <w:trPr/>
        <w:tc>
          <w:tcPr>
            <w:tcW w:w="3620" w:type="dxa"/>
            <w:tcBorders/>
            <w:shd w:fill="CCEEFF" w:val="clear"/>
            <w:vAlign w:val="center"/>
          </w:tcPr>
          <w:p>
            <w:pPr>
              <w:pStyle w:val="TableContents"/>
              <w:bidi w:val="0"/>
              <w:spacing w:before="0" w:after="283"/>
              <w:jc w:val="left"/>
              <w:rPr/>
            </w:pPr>
            <w:r>
              <w:rPr/>
              <w:t>Company Customer Number – 9142</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42</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12.7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0"/>
              <w:jc w:val="left"/>
              <w:rPr/>
            </w:pPr>
            <w:r>
              <w:rPr/>
              <w:t> </w:t>
            </w:r>
          </w:p>
        </w:tc>
      </w:tr>
      <w:tr>
        <w:trPr/>
        <w:tc>
          <w:tcPr>
            <w:tcW w:w="3620" w:type="dxa"/>
            <w:tcBorders/>
            <w:vAlign w:val="center"/>
          </w:tcPr>
          <w:p>
            <w:pPr>
              <w:pStyle w:val="TableContents"/>
              <w:bidi w:val="0"/>
              <w:spacing w:before="0" w:after="283"/>
              <w:jc w:val="left"/>
              <w:rPr/>
            </w:pPr>
            <w:r>
              <w:rPr/>
              <w:t>Company Customer Number – 15095</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651" w:type="dxa"/>
            <w:tcBorders/>
            <w:vAlign w:val="center"/>
          </w:tcPr>
          <w:p>
            <w:pPr>
              <w:pStyle w:val="TableContents"/>
              <w:bidi w:val="0"/>
              <w:spacing w:before="0" w:after="283"/>
              <w:jc w:val="right"/>
              <w:rPr/>
            </w:pPr>
            <w:r>
              <w:rPr/>
              <w:t>712</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62.0</w:t>
            </w:r>
          </w:p>
        </w:tc>
        <w:tc>
          <w:tcPr>
            <w:tcW w:w="230" w:type="dxa"/>
            <w:tcBorders/>
            <w:vAlign w:val="center"/>
          </w:tcPr>
          <w:p>
            <w:pPr>
              <w:pStyle w:val="TableContents"/>
              <w:bidi w:val="0"/>
              <w:spacing w:before="0" w:after="283"/>
              <w:ind w:left="0" w:right="0" w:hanging="0"/>
              <w:jc w:val="left"/>
              <w:rPr/>
            </w:pPr>
            <w:r>
              <w:rPr/>
              <w:t>%</w:t>
            </w:r>
          </w:p>
        </w:tc>
      </w:tr>
      <w:tr>
        <w:trPr/>
        <w:tc>
          <w:tcPr>
            <w:tcW w:w="3620" w:type="dxa"/>
            <w:tcBorders/>
            <w:shd w:fill="CCEEFF" w:val="clear"/>
            <w:vAlign w:val="center"/>
          </w:tcPr>
          <w:p>
            <w:pPr>
              <w:pStyle w:val="TableContents"/>
              <w:bidi w:val="0"/>
              <w:spacing w:before="0" w:after="283"/>
              <w:jc w:val="left"/>
              <w:rPr/>
            </w:pPr>
            <w:r>
              <w:rPr/>
              <w:t>Company Customer Number – 10888</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651" w:type="dxa"/>
            <w:tcBorders/>
            <w:shd w:fill="CCEEFF" w:val="clear"/>
            <w:vAlign w:val="center"/>
          </w:tcPr>
          <w:p>
            <w:pPr>
              <w:pStyle w:val="TableContents"/>
              <w:bidi w:val="0"/>
              <w:spacing w:before="0" w:after="283"/>
              <w:jc w:val="right"/>
              <w:rPr/>
            </w:pPr>
            <w:r>
              <w:rPr/>
              <w:t>251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21.8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140"/>
        <w:gridCol w:w="7625"/>
      </w:tblGrid>
      <w:tr>
        <w:trPr/>
        <w:tc>
          <w:tcPr>
            <w:tcW w:w="140" w:type="dxa"/>
            <w:tcBorders/>
            <w:vAlign w:val="center"/>
          </w:tcPr>
          <w:p>
            <w:pPr>
              <w:pStyle w:val="TableContents"/>
              <w:bidi w:val="0"/>
              <w:spacing w:before="0" w:after="283"/>
              <w:jc w:val="left"/>
              <w:rPr>
                <w:sz w:val="20"/>
              </w:rPr>
            </w:pPr>
            <w:r>
              <w:rPr>
                <w:sz w:val="20"/>
              </w:rPr>
              <w:t>*</w:t>
            </w:r>
          </w:p>
        </w:tc>
        <w:tc>
          <w:tcPr>
            <w:tcW w:w="7625" w:type="dxa"/>
            <w:tcBorders/>
            <w:vAlign w:val="center"/>
          </w:tcPr>
          <w:p>
            <w:pPr>
              <w:pStyle w:val="TableContents"/>
              <w:bidi w:val="0"/>
              <w:spacing w:before="0" w:after="283"/>
              <w:jc w:val="both"/>
              <w:rPr>
                <w:sz w:val="20"/>
              </w:rPr>
            </w:pPr>
            <w:r>
              <w:rPr>
                <w:sz w:val="20"/>
              </w:rPr>
              <w:t>Customer accounts receivable, as a percentage of total accounts receivable, was less than 10%</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and December 31, 2023, the Company’s borrowers that accounted for 10% or more of the total loans receivable, net, were as follows:</w:t>
      </w:r>
    </w:p>
    <w:p>
      <w:pPr>
        <w:pStyle w:val="TextBody"/>
        <w:bidi w:val="0"/>
        <w:spacing w:before="0" w:after="0"/>
        <w:ind w:left="0" w:right="0" w:firstLine="360"/>
        <w:jc w:val="both"/>
        <w:rPr>
          <w:caps w:val="false"/>
          <w:smallCaps w:val="false"/>
        </w:rPr>
      </w:pPr>
      <w:r>
        <w:rPr>
          <w:caps w:val="false"/>
          <w:smallCaps w:val="false"/>
        </w:rPr>
        <w:t> </w:t>
      </w:r>
    </w:p>
    <w:tbl>
      <w:tblPr>
        <w:tblW w:w="7152" w:type="dxa"/>
        <w:jc w:val="left"/>
        <w:tblInd w:w="0" w:type="dxa"/>
        <w:tblLayout w:type="fixed"/>
        <w:tblCellMar>
          <w:top w:w="0" w:type="dxa"/>
          <w:left w:w="0" w:type="dxa"/>
          <w:bottom w:w="0" w:type="dxa"/>
          <w:right w:w="0" w:type="dxa"/>
        </w:tblCellMar>
      </w:tblPr>
      <w:tblGrid>
        <w:gridCol w:w="1505"/>
        <w:gridCol w:w="60"/>
        <w:gridCol w:w="247"/>
        <w:gridCol w:w="989"/>
        <w:gridCol w:w="106"/>
        <w:gridCol w:w="106"/>
        <w:gridCol w:w="209"/>
        <w:gridCol w:w="906"/>
        <w:gridCol w:w="215"/>
        <w:gridCol w:w="60"/>
        <w:gridCol w:w="240"/>
        <w:gridCol w:w="960"/>
        <w:gridCol w:w="102"/>
        <w:gridCol w:w="102"/>
        <w:gridCol w:w="209"/>
        <w:gridCol w:w="906"/>
        <w:gridCol w:w="230"/>
      </w:tblGrid>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September 30,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 2023</w:t>
            </w:r>
          </w:p>
        </w:tc>
        <w:tc>
          <w:tcPr>
            <w:tcW w:w="230" w:type="dxa"/>
            <w:tcBorders/>
            <w:vAlign w:val="center"/>
          </w:tcPr>
          <w:p>
            <w:pPr>
              <w:pStyle w:val="TableContents"/>
              <w:bidi w:val="0"/>
              <w:spacing w:before="0" w:after="283"/>
              <w:jc w:val="left"/>
              <w:rPr/>
            </w:pPr>
            <w:r>
              <w:rPr/>
              <w:t> </w:t>
            </w:r>
          </w:p>
        </w:tc>
      </w:tr>
      <w:tr>
        <w:trPr/>
        <w:tc>
          <w:tcPr>
            <w:tcW w:w="150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2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Loans</w:t>
              <w:br/>
              <w:t>Receivable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Total</w:t>
              <w:br/>
              <w:t>Loans</w:t>
              <w:br/>
              <w:t>Receivable</w:t>
            </w:r>
          </w:p>
        </w:tc>
        <w:tc>
          <w:tcPr>
            <w:tcW w:w="230"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Borrower - 01</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89" w:type="dxa"/>
            <w:tcBorders/>
            <w:shd w:fill="CCEEFF" w:val="clear"/>
            <w:vAlign w:val="center"/>
          </w:tcPr>
          <w:p>
            <w:pPr>
              <w:pStyle w:val="TableContents"/>
              <w:bidi w:val="0"/>
              <w:spacing w:before="0" w:after="283"/>
              <w:jc w:val="right"/>
              <w:rPr/>
            </w:pPr>
            <w:r>
              <w:rPr/>
              <w:t>6,810</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59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960" w:type="dxa"/>
            <w:tcBorders/>
            <w:shd w:fill="CCEEFF" w:val="clear"/>
            <w:vAlign w:val="center"/>
          </w:tcPr>
          <w:p>
            <w:pPr>
              <w:pStyle w:val="TableContents"/>
              <w:bidi w:val="0"/>
              <w:spacing w:before="0" w:after="283"/>
              <w:jc w:val="right"/>
              <w:rPr/>
            </w:pPr>
            <w:r>
              <w:rPr/>
              <w:t>6,810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59</w:t>
            </w:r>
          </w:p>
        </w:tc>
        <w:tc>
          <w:tcPr>
            <w:tcW w:w="230" w:type="dxa"/>
            <w:tcBorders/>
            <w:shd w:fill="CCEEFF" w:val="clear"/>
            <w:vAlign w:val="center"/>
          </w:tcPr>
          <w:p>
            <w:pPr>
              <w:pStyle w:val="TableContents"/>
              <w:bidi w:val="0"/>
              <w:spacing w:before="0" w:after="283"/>
              <w:jc w:val="left"/>
              <w:rPr/>
            </w:pPr>
            <w:r>
              <w:rPr/>
              <w:t>%</w:t>
            </w:r>
          </w:p>
        </w:tc>
      </w:tr>
      <w:tr>
        <w:trPr/>
        <w:tc>
          <w:tcPr>
            <w:tcW w:w="1505" w:type="dxa"/>
            <w:tcBorders/>
            <w:vAlign w:val="center"/>
          </w:tcPr>
          <w:p>
            <w:pPr>
              <w:pStyle w:val="TableContents"/>
              <w:bidi w:val="0"/>
              <w:spacing w:before="0" w:after="283"/>
              <w:jc w:val="left"/>
              <w:rPr/>
            </w:pPr>
            <w:r>
              <w:rPr/>
              <w:t>Borrower - 02</w:t>
            </w:r>
          </w:p>
        </w:tc>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989" w:type="dxa"/>
            <w:tcBorders/>
            <w:vAlign w:val="center"/>
          </w:tcPr>
          <w:p>
            <w:pPr>
              <w:pStyle w:val="TableContents"/>
              <w:bidi w:val="0"/>
              <w:spacing w:before="0" w:after="283"/>
              <w:jc w:val="right"/>
              <w:rPr/>
            </w:pPr>
            <w:r>
              <w:rPr/>
              <w:t>4,774</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41</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960" w:type="dxa"/>
            <w:tcBorders/>
            <w:vAlign w:val="center"/>
          </w:tcPr>
          <w:p>
            <w:pPr>
              <w:pStyle w:val="TableContents"/>
              <w:bidi w:val="0"/>
              <w:spacing w:before="0" w:after="283"/>
              <w:jc w:val="right"/>
              <w:rPr/>
            </w:pPr>
            <w:r>
              <w:rPr/>
              <w:t>4,774</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41</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values all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a physical inventory count at least once annually at all inventory locations.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expenses are recognized using the straight-line method over the estimated useful life of each asset, as follows:</w:t>
      </w:r>
    </w:p>
    <w:p>
      <w:pPr>
        <w:pStyle w:val="TextBody"/>
        <w:bidi w:val="0"/>
        <w:spacing w:before="0" w:after="0"/>
        <w:ind w:left="0" w:right="0" w:firstLine="36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4910"/>
        <w:gridCol w:w="60"/>
        <w:gridCol w:w="60"/>
        <w:gridCol w:w="4355"/>
        <w:gridCol w:w="75"/>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Estimated </w:t>
              <w:br/>
              <w:t>Useful Life (Years)</w:t>
            </w:r>
          </w:p>
        </w:tc>
        <w:tc>
          <w:tcPr>
            <w:tcW w:w="7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Computer and office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355" w:type="dxa"/>
            <w:tcBorders/>
            <w:shd w:fill="CCEEFF" w:val="clear"/>
            <w:vAlign w:val="center"/>
          </w:tcPr>
          <w:p>
            <w:pPr>
              <w:pStyle w:val="TableContents"/>
              <w:bidi w:val="0"/>
              <w:spacing w:before="0" w:after="283"/>
              <w:jc w:val="center"/>
              <w:rPr>
                <w:sz w:val="20"/>
              </w:rPr>
            </w:pPr>
            <w:r>
              <w:rPr>
                <w:sz w:val="20"/>
              </w:rPr>
              <w:t>2 to 3</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Furniture and fixtures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355"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355" w:type="dxa"/>
            <w:tcBorders/>
            <w:shd w:fill="CCEEFF" w:val="clear"/>
            <w:vAlign w:val="center"/>
          </w:tcPr>
          <w:p>
            <w:pPr>
              <w:pStyle w:val="TableContents"/>
              <w:bidi w:val="0"/>
              <w:spacing w:before="0" w:after="283"/>
              <w:jc w:val="center"/>
              <w:rPr/>
            </w:pPr>
            <w:r>
              <w:rPr/>
              <w:t>3</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Vehicles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355"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Research and development of laboratory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355" w:type="dxa"/>
            <w:tcBorders/>
            <w:shd w:fill="CCEEFF" w:val="clear"/>
            <w:vAlign w:val="center"/>
          </w:tcPr>
          <w:p>
            <w:pPr>
              <w:pStyle w:val="TableContents"/>
              <w:bidi w:val="0"/>
              <w:spacing w:before="0" w:after="283"/>
              <w:jc w:val="center"/>
              <w:rPr/>
            </w:pPr>
            <w:r>
              <w:rPr/>
              <w:t>5</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Machinery and equipment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355" w:type="dxa"/>
            <w:tcBorders/>
            <w:vAlign w:val="center"/>
          </w:tcPr>
          <w:p>
            <w:pPr>
              <w:pStyle w:val="TableContents"/>
              <w:bidi w:val="0"/>
              <w:spacing w:before="0" w:after="283"/>
              <w:jc w:val="center"/>
              <w:rPr>
                <w:sz w:val="20"/>
              </w:rPr>
            </w:pPr>
            <w:r>
              <w:rPr>
                <w:sz w:val="20"/>
              </w:rPr>
              <w:t>3 to 5</w:t>
            </w:r>
          </w:p>
        </w:tc>
        <w:tc>
          <w:tcPr>
            <w:tcW w:w="7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Leased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355" w:type="dxa"/>
            <w:tcBorders/>
            <w:shd w:fill="CCEEFF" w:val="clear"/>
            <w:vAlign w:val="center"/>
          </w:tcPr>
          <w:p>
            <w:pPr>
              <w:pStyle w:val="TableContents"/>
              <w:bidi w:val="0"/>
              <w:spacing w:before="0" w:after="283"/>
              <w:jc w:val="center"/>
              <w:rPr>
                <w:sz w:val="20"/>
              </w:rPr>
            </w:pPr>
            <w:r>
              <w:rPr>
                <w:sz w:val="20"/>
              </w:rPr>
              <w:t>5 to 13</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Trade show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355" w:type="dxa"/>
            <w:tcBorders/>
            <w:vAlign w:val="center"/>
          </w:tcPr>
          <w:p>
            <w:pPr>
              <w:pStyle w:val="TableContents"/>
              <w:bidi w:val="0"/>
              <w:spacing w:before="0" w:after="283"/>
              <w:jc w:val="center"/>
              <w:rPr>
                <w:sz w:val="20"/>
              </w:rPr>
            </w:pPr>
            <w:r>
              <w:rPr>
                <w:sz w:val="20"/>
              </w:rPr>
              <w:t>3 to 5</w:t>
            </w:r>
          </w:p>
        </w:tc>
        <w:tc>
          <w:tcPr>
            <w:tcW w:w="7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4355" w:type="dxa"/>
            <w:tcBorders/>
            <w:shd w:fill="CCEEFF" w:val="clear"/>
            <w:vAlign w:val="center"/>
          </w:tcPr>
          <w:p>
            <w:pPr>
              <w:pStyle w:val="TableContents"/>
              <w:bidi w:val="0"/>
              <w:spacing w:before="0" w:after="283"/>
              <w:jc w:val="center"/>
              <w:rPr>
                <w:sz w:val="20"/>
              </w:rPr>
            </w:pPr>
            <w:r>
              <w:rPr>
                <w:sz w:val="20"/>
              </w:rPr>
              <w:t>Lower of estimated useful life or remaining lease term</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condensed consolidated balance sheets and any resulting gain or loss is included in the condensed consolidated statements of operations in the period of retirement or disposal.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for capital assets not yet placed into service are capitalized as construction-in-progress and depreciated once placed into service. During construction, costs are accumulated in a construction-in-progress account, with no depreciation. Upon completion, costs are transferred to the appropriate asset account, and depreciation begins when the asset is placed into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including issued private placement stock purchase warrants, to determine if such instruments are derivatives or contain features that qualify as embedded derivatives, pursuant to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and ASC Topic 815, </w:t>
      </w:r>
      <w:r>
        <w:rPr>
          <w:rFonts w:ascii="Times New Roman;Times;Serif" w:hAnsi="Times New Roman;Times;Serif"/>
          <w:b w:val="false"/>
          <w:i/>
          <w:caps w:val="false"/>
          <w:smallCaps w:val="false"/>
          <w:sz w:val="20"/>
        </w:rPr>
        <w:t xml:space="preserve">Derivatives and Hedging </w:t>
      </w:r>
      <w:r>
        <w:rPr>
          <w:rFonts w:ascii="Times New Roman;Times;Serif" w:hAnsi="Times New Roman;Times;Serif"/>
          <w:b w:val="false"/>
          <w:i w:val="false"/>
          <w:caps w:val="false"/>
          <w:smallCaps w:val="false"/>
          <w:sz w:val="20"/>
        </w:rPr>
        <w:t>(“ASC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consist of cash and cash equivalents, marketable securities, accounts receivable, loans receivable, accounts payable, accrued expenses, contingent consideration, operating lease liabilities, long-term debt, related party debt, and warrant liabilities. Refer to Note 4 - Fair Value Measures, included elsewhere in the notes to the unaudited condensed consolidated financial statements for details of the Company’s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the following sources: (1) equipment sales, (2) providing services and (3) construction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Topic 606, </w:t>
      </w:r>
      <w:r>
        <w:rPr>
          <w:rFonts w:ascii="Times New Roman;Times;Serif" w:hAnsi="Times New Roman;Times;Serif"/>
          <w:b w:val="false"/>
          <w:i/>
          <w:caps w:val="false"/>
          <w:smallCaps w:val="false"/>
          <w:sz w:val="20"/>
        </w:rPr>
        <w:t xml:space="preserve">Revenue Recognition </w:t>
      </w:r>
      <w:r>
        <w:rPr>
          <w:rFonts w:ascii="Times New Roman;Times;Serif" w:hAnsi="Times New Roman;Times;Serif"/>
          <w:b w:val="false"/>
          <w:i w:val="false"/>
          <w:caps w:val="false"/>
          <w:smallCaps w:val="false"/>
          <w:sz w:val="20"/>
        </w:rPr>
        <w:t>(“ASC 606”), the Company recognizes revenue from contracts with customers using a five-step model, which is described below:</w:t>
      </w:r>
    </w:p>
    <w:p>
      <w:pPr>
        <w:pStyle w:val="TextBody"/>
        <w:bidi w:val="0"/>
        <w:spacing w:before="0" w:after="0"/>
        <w:ind w:left="0" w:right="0" w:firstLine="360"/>
        <w:jc w:val="both"/>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38"/>
        <w:gridCol w:w="17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283"/>
              <w:jc w:val="both"/>
              <w:rPr>
                <w:sz w:val="20"/>
              </w:rPr>
            </w:pPr>
            <w:r>
              <w:rPr>
                <w:sz w:val="20"/>
              </w:rPr>
              <w:t>identify the customer contract;</w:t>
            </w:r>
          </w:p>
        </w:tc>
      </w:tr>
    </w:tbl>
    <w:p>
      <w:pPr>
        <w:pStyle w:val="TextBody"/>
        <w:bidi w:val="0"/>
        <w:spacing w:before="0" w:after="0"/>
        <w:ind w:left="0" w:right="0" w:hanging="0"/>
        <w:jc w:val="both"/>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17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both"/>
              <w:rPr>
                <w:sz w:val="20"/>
              </w:rPr>
            </w:pPr>
            <w:r>
              <w:rPr>
                <w:sz w:val="20"/>
              </w:rPr>
              <w:t>identify performance obligations that are distinct;</w:t>
            </w:r>
          </w:p>
        </w:tc>
      </w:tr>
    </w:tbl>
    <w:p>
      <w:pPr>
        <w:pStyle w:val="TextBody"/>
        <w:bidi w:val="0"/>
        <w:spacing w:before="0" w:after="0"/>
        <w:ind w:left="0" w:right="0" w:hanging="0"/>
        <w:jc w:val="both"/>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17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sz w:val="20"/>
              </w:rPr>
            </w:pPr>
            <w:r>
              <w:rPr>
                <w:sz w:val="20"/>
              </w:rPr>
              <w:t>determine the transaction price;</w:t>
            </w:r>
          </w:p>
        </w:tc>
      </w:tr>
    </w:tbl>
    <w:p>
      <w:pPr>
        <w:pStyle w:val="TextBody"/>
        <w:bidi w:val="0"/>
        <w:spacing w:before="0" w:after="0"/>
        <w:ind w:left="0" w:right="0" w:hanging="0"/>
        <w:jc w:val="both"/>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sz w:val="20"/>
              </w:rPr>
            </w:pPr>
            <w:r>
              <w:rPr>
                <w:sz w:val="20"/>
              </w:rPr>
              <w:t>allocate the transaction price to the distinct performance obligations; and</w:t>
            </w:r>
          </w:p>
        </w:tc>
      </w:tr>
    </w:tbl>
    <w:p>
      <w:pPr>
        <w:pStyle w:val="TextBody"/>
        <w:bidi w:val="0"/>
        <w:spacing w:before="0" w:after="0"/>
        <w:ind w:left="0" w:right="0" w:hanging="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sz w:val="20"/>
              </w:rPr>
            </w:pPr>
            <w:r>
              <w:rPr>
                <w:sz w:val="20"/>
              </w:rPr>
              <w:t>recognize revenue as the performance obligations are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Identify the customer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customer contract is generally identified when there is approval and commitment from both the Company and its customer, the rights have been identified, payment terms are identified, the contract has commercial substance and collectability is probable. Specifically, the Company obtains written/electronic signatures on contracts and purchase orders, if said purchase orders are issued in the normal course of business by the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Identify performance obligations that are distinct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Determine the transaction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amount of consideration to which the Company expects to be entitled in exchange for transferring goods or services to a customer, excluding sales taxes that are collected on behalf of government agencies and net of sales discounts.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Allocate the transaction price to distinct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Recognize revenue as the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or as, performance obligations are satisfied by transferring control of a promised product or service to a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software as a service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the contract is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the cost-plus margin method to determine the SSP for equipment and build-out services. This method is based on the cost of the services from third parties, plus a reasonable markup that the Company believes is reflective of a market-based reseller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SSP for services in time and materials contracts by observable prices in standalone services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As of September 30, 2024 and September 30, 2023, the Company did not have any such financial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contract liabilities primarily results from the timing difference between the Company’s performance and the customer’s payment. The Company fulfills obligations under a contract with a customer by transferring products and services in exchange for consideration from the customer. Accounts receivable are recorded when the customer has been billed or the right to consideration is unconditional. The Company recognizes a contract liability when consideration has been received or an amount of consideration is due from the customer, and the Company has a future obligation to transfer certain proprietary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generally provides a one-year warranty on its products for materials and workmanship but may provide multiple year warranties as negotiated, and generally transfers to its customers the warranties it receives from its vendors, if any, which generally cover this one-year period. In accordance with ASC Topic 450, </w:t>
      </w:r>
      <w:r>
        <w:rPr>
          <w:rFonts w:ascii="Times New Roman;Times;Serif" w:hAnsi="Times New Roman;Times;Serif"/>
          <w:b w:val="false"/>
          <w:i/>
          <w:caps w:val="false"/>
          <w:smallCaps w:val="false"/>
          <w:sz w:val="20"/>
        </w:rPr>
        <w:t>Accounting for Contingencies</w:t>
      </w:r>
      <w:r>
        <w:rPr>
          <w:rFonts w:ascii="Times New Roman;Times;Serif" w:hAnsi="Times New Roman;Times;Serif"/>
          <w:b w:val="false"/>
          <w:i w:val="false"/>
          <w:caps w:val="false"/>
          <w:smallCaps w:val="false"/>
          <w:sz w:val="20"/>
        </w:rPr>
        <w:t>, (“ASC 450”) under ASC 450-20-25, the Company accrues for product warranties when the loss is probable and can be reasonably estimated. The Company maintained a reserve for warranty returns of $0.2 million and $0.4 million as of September 30, 2024 and December 31, 2023, respectively. The Company’s reserve for warranty returns is included in accrued expenses and other current liabilities in its unaudited condensed consolidated balance sheets. Additional information regarding the Company’s warranty reserve may be found in Note 3 – Supplemental Condensed Consolidated Balance Sheet Information, included elsewhere in the notes to the unaudited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 (“Agrify Insights™”).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basic and diluted net (loss) income per share attributable to Common Stockholders in conformity with the one-class method. The Company computes basic (loss) income per share by dividing net (loss) income available to Common Stockholders by the weighted-average number of Common Stock outstanding. Diluted (loss) income per share adjusts basic (loss) income per share for the potentially dilutive impact of convertible notes, stock options, restricted stock units and warrants. As the Company has reported losses for the three months ended September 30, 2024 and 2023 and the nine months ended September 30, 2023 and 2024, all potentially dilutive securities including convertible notes, stock options, restricted stock units and warrants, are anti-dilutive, and accordingly, basic net loss per share equals diluted net loss per share for those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per share calculations for all periods have been adjusted to reflect the reverse stock splits effected on July 5, 2023 and October 8,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Announced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the FASB issued ASU 2023-09, </w:t>
      </w:r>
      <w:r>
        <w:rPr>
          <w:rFonts w:ascii="Times New Roman;Times;Serif" w:hAnsi="Times New Roman;Times;Serif"/>
          <w:b w:val="false"/>
          <w:i/>
          <w:caps w:val="false"/>
          <w:smallCaps w:val="false"/>
          <w:sz w:val="20"/>
        </w:rPr>
        <w:t>Improvements to Income Tax Disclosures</w:t>
      </w:r>
      <w:r>
        <w:rPr>
          <w:rFonts w:ascii="Times New Roman;Times;Serif" w:hAnsi="Times New Roman;Times;Serif"/>
          <w:b w:val="false"/>
          <w:i w:val="false"/>
          <w:caps w:val="false"/>
          <w:smallCaps w:val="false"/>
          <w:sz w:val="20"/>
        </w:rPr>
        <w:t>, a final standard on improvements to income tax disclosures. The standard requires disaggregated information about a reporting entity’s effective tax rate reconciliation as well as information on income taxes paid. The standard applies to all entities subject to income taxes and is intended to benefit investors by providing more detailed income tax disclosures that would be useful in making capital allocation decisions. For public business entities (PBEs), the new requirements will be effective for annual periods beginning after December 15, 2024. The guidance will be applied on a prospective basis with the option to apply the standard retrospectively. The Company is currently in the process of evaluating the effect of this guidance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No. 2023-07, Segment Reporting (Topic 280) - Improvements to Reportable Segment Disclosures, to provide enhanced segment disclosures. The standard will require disclosures about significant segment expense categories and amounts for each reportable segment, for all periods presented. Additionally, the standard requires public entities to disclose the title and position of the Chief Operating Decision Maker (“CODM”) in the consolidated financial statements. These enhanced disclosures are required for all entities on an interim and annual basis, effective for fiscal years beginning after December 15, 2023, and interim periods within annual periods beginning after December 15, 2024. The adoption of this standard is not expected to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did not or are not believed by management to have a material impact on the Company’s present or future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Revenue and 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contracts normally provide for payment upon completion of specified work or units of work as identified in the contract. Although there is considerable variation in the terms of these contracts, they are primarily structured as time-and-materials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Company’s revenue disaggregated by the timing of revenue recognition:</w:t>
      </w:r>
    </w:p>
    <w:p>
      <w:pPr>
        <w:pStyle w:val="TextBody"/>
        <w:bidi w:val="0"/>
        <w:spacing w:before="0" w:after="0"/>
        <w:ind w:left="0" w:right="0" w:firstLine="36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2765"/>
        <w:gridCol w:w="60"/>
        <w:gridCol w:w="195"/>
        <w:gridCol w:w="781"/>
        <w:gridCol w:w="83"/>
        <w:gridCol w:w="83"/>
        <w:gridCol w:w="195"/>
        <w:gridCol w:w="781"/>
        <w:gridCol w:w="60"/>
        <w:gridCol w:w="60"/>
        <w:gridCol w:w="169"/>
        <w:gridCol w:w="677"/>
        <w:gridCol w:w="72"/>
        <w:gridCol w:w="72"/>
        <w:gridCol w:w="169"/>
        <w:gridCol w:w="823"/>
        <w:gridCol w:w="75"/>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75" w:type="dxa"/>
            <w:tcBorders/>
            <w:vAlign w:val="center"/>
          </w:tcPr>
          <w:p>
            <w:pPr>
              <w:pStyle w:val="TableContents"/>
              <w:bidi w:val="0"/>
              <w:spacing w:before="0" w:after="283"/>
              <w:jc w:val="left"/>
              <w:rPr/>
            </w:pPr>
            <w:r>
              <w:rPr/>
              <w:t> </w:t>
            </w:r>
          </w:p>
        </w:tc>
      </w:tr>
      <w:tr>
        <w:trPr/>
        <w:tc>
          <w:tcPr>
            <w:tcW w:w="276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Transferred at a point in time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1,820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2,831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7,045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12,384</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Transferred over time</w:t>
            </w:r>
          </w:p>
        </w:tc>
        <w:tc>
          <w:tcPr>
            <w:tcW w:w="6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tcMar>
              <w:bottom w:w="28" w:type="dxa"/>
            </w:tcMar>
            <w:vAlign w:val="center"/>
          </w:tcPr>
          <w:p>
            <w:pPr>
              <w:pStyle w:val="TableContents"/>
              <w:bidi w:val="0"/>
              <w:spacing w:before="0" w:after="283"/>
              <w:jc w:val="right"/>
              <w:rPr/>
            </w:pPr>
            <w:r>
              <w:rPr/>
              <w:t>114</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tcMar>
              <w:bottom w:w="28" w:type="dxa"/>
            </w:tcMar>
            <w:vAlign w:val="center"/>
          </w:tcPr>
          <w:p>
            <w:pPr>
              <w:pStyle w:val="TableContents"/>
              <w:bidi w:val="0"/>
              <w:spacing w:before="0" w:after="283"/>
              <w:jc w:val="right"/>
              <w:rPr/>
            </w:pPr>
            <w:r>
              <w:rPr/>
              <w:t>308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bottom w:val="single" w:sz="12" w:space="0" w:color="000000"/>
            </w:tcBorders>
            <w:tcMar>
              <w:bottom w:w="28" w:type="dxa"/>
            </w:tcMar>
            <w:vAlign w:val="center"/>
          </w:tcPr>
          <w:p>
            <w:pPr>
              <w:pStyle w:val="TableContents"/>
              <w:bidi w:val="0"/>
              <w:spacing w:before="0" w:after="283"/>
              <w:jc w:val="left"/>
              <w:rPr/>
            </w:pPr>
            <w:r>
              <w:rPr/>
              <w:t> </w:t>
            </w:r>
          </w:p>
        </w:tc>
        <w:tc>
          <w:tcPr>
            <w:tcW w:w="677" w:type="dxa"/>
            <w:tcBorders>
              <w:bottom w:val="single" w:sz="12" w:space="0" w:color="000000"/>
            </w:tcBorders>
            <w:tcMar>
              <w:bottom w:w="28" w:type="dxa"/>
            </w:tcMar>
            <w:vAlign w:val="center"/>
          </w:tcPr>
          <w:p>
            <w:pPr>
              <w:pStyle w:val="TableContents"/>
              <w:bidi w:val="0"/>
              <w:spacing w:before="0" w:after="283"/>
              <w:jc w:val="right"/>
              <w:rPr/>
            </w:pPr>
            <w:r>
              <w:rPr/>
              <w:t>481</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9" w:type="dxa"/>
            <w:tcBorders>
              <w:bottom w:val="single" w:sz="12" w:space="0" w:color="000000"/>
            </w:tcBorders>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tcMar>
              <w:bottom w:w="28" w:type="dxa"/>
            </w:tcMar>
            <w:vAlign w:val="center"/>
          </w:tcPr>
          <w:p>
            <w:pPr>
              <w:pStyle w:val="TableContents"/>
              <w:bidi w:val="0"/>
              <w:spacing w:before="0" w:after="283"/>
              <w:jc w:val="right"/>
              <w:rPr/>
            </w:pPr>
            <w:r>
              <w:rPr/>
              <w:t>1,625</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1" w:type="dxa"/>
            <w:tcBorders>
              <w:bottom w:val="double" w:sz="10" w:space="0" w:color="000000"/>
            </w:tcBorders>
            <w:shd w:fill="CCEEFF" w:val="clear"/>
            <w:tcMar>
              <w:bottom w:w="28" w:type="dxa"/>
            </w:tcMar>
            <w:vAlign w:val="center"/>
          </w:tcPr>
          <w:p>
            <w:pPr>
              <w:pStyle w:val="TableContents"/>
              <w:bidi w:val="0"/>
              <w:spacing w:before="0" w:after="283"/>
              <w:jc w:val="right"/>
              <w:rPr/>
            </w:pPr>
            <w:r>
              <w:rPr/>
              <w:t>1,934</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1" w:type="dxa"/>
            <w:tcBorders>
              <w:bottom w:val="double" w:sz="10" w:space="0" w:color="000000"/>
            </w:tcBorders>
            <w:shd w:fill="CCEEFF" w:val="clear"/>
            <w:tcMar>
              <w:bottom w:w="28" w:type="dxa"/>
            </w:tcMar>
            <w:vAlign w:val="center"/>
          </w:tcPr>
          <w:p>
            <w:pPr>
              <w:pStyle w:val="TableContents"/>
              <w:bidi w:val="0"/>
              <w:spacing w:before="0" w:after="283"/>
              <w:jc w:val="right"/>
              <w:rPr/>
            </w:pPr>
            <w:r>
              <w:rPr/>
              <w:t>3,139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77" w:type="dxa"/>
            <w:tcBorders>
              <w:bottom w:val="double" w:sz="10" w:space="0" w:color="000000"/>
            </w:tcBorders>
            <w:shd w:fill="CCEEFF" w:val="clear"/>
            <w:tcMar>
              <w:bottom w:w="28" w:type="dxa"/>
            </w:tcMar>
            <w:vAlign w:val="center"/>
          </w:tcPr>
          <w:p>
            <w:pPr>
              <w:pStyle w:val="TableContents"/>
              <w:bidi w:val="0"/>
              <w:spacing w:before="0" w:after="283"/>
              <w:jc w:val="right"/>
              <w:rPr/>
            </w:pPr>
            <w:r>
              <w:rPr/>
              <w:t>7,526</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10" w:space="0" w:color="000000"/>
            </w:tcBorders>
            <w:shd w:fill="CCEEFF" w:val="clear"/>
            <w:tcMar>
              <w:bottom w:w="28" w:type="dxa"/>
            </w:tcMar>
            <w:vAlign w:val="center"/>
          </w:tcPr>
          <w:p>
            <w:pPr>
              <w:pStyle w:val="TableContents"/>
              <w:bidi w:val="0"/>
              <w:spacing w:before="0" w:after="283"/>
              <w:jc w:val="right"/>
              <w:rPr/>
            </w:pPr>
            <w:r>
              <w:rPr/>
              <w:t>14,009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Company’s current contract liabilities balance for the nine months ended September 30, 2024 and for the year ended December 31, 2023 were as follows:</w:t>
      </w:r>
    </w:p>
    <w:p>
      <w:pPr>
        <w:pStyle w:val="TextBody"/>
        <w:bidi w:val="0"/>
        <w:spacing w:before="0" w:after="0"/>
        <w:ind w:left="0" w:right="0" w:firstLine="360"/>
        <w:jc w:val="left"/>
        <w:rPr>
          <w:caps w:val="false"/>
          <w:smallCaps w:val="false"/>
        </w:rPr>
      </w:pPr>
      <w:r>
        <w:rPr>
          <w:caps w:val="false"/>
          <w:smallCaps w:val="false"/>
        </w:rPr>
        <w:t> </w:t>
      </w:r>
    </w:p>
    <w:tbl>
      <w:tblPr>
        <w:tblW w:w="7569" w:type="dxa"/>
        <w:jc w:val="left"/>
        <w:tblInd w:w="0" w:type="dxa"/>
        <w:tblLayout w:type="fixed"/>
        <w:tblCellMar>
          <w:top w:w="0" w:type="dxa"/>
          <w:left w:w="0" w:type="dxa"/>
          <w:bottom w:w="28" w:type="dxa"/>
          <w:right w:w="0" w:type="dxa"/>
        </w:tblCellMar>
      </w:tblPr>
      <w:tblGrid>
        <w:gridCol w:w="3845"/>
        <w:gridCol w:w="60"/>
        <w:gridCol w:w="357"/>
        <w:gridCol w:w="1627"/>
        <w:gridCol w:w="95"/>
        <w:gridCol w:w="60"/>
        <w:gridCol w:w="255"/>
        <w:gridCol w:w="1160"/>
        <w:gridCol w:w="110"/>
      </w:tblGrid>
      <w:tr>
        <w:trPr/>
        <w:tc>
          <w:tcPr>
            <w:tcW w:w="384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984" w:type="dxa"/>
            <w:gridSpan w:val="2"/>
            <w:tcBorders>
              <w:bottom w:val="single" w:sz="12" w:space="0" w:color="000000"/>
            </w:tcBorders>
            <w:vAlign w:val="center"/>
          </w:tcPr>
          <w:p>
            <w:pPr>
              <w:pStyle w:val="TableContents"/>
              <w:bidi w:val="0"/>
              <w:spacing w:before="0" w:after="283"/>
              <w:jc w:val="center"/>
              <w:rPr>
                <w:b/>
              </w:rPr>
            </w:pPr>
            <w:r>
              <w:rPr>
                <w:b/>
              </w:rPr>
              <w:t>Nine months ended</w:t>
              <w:br/>
              <w:t>September 30,</w:t>
              <w:b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Year ended</w:t>
              <w:br/>
              <w:t>December 31,</w:t>
              <w:br/>
              <w:t>2023</w:t>
            </w:r>
          </w:p>
        </w:tc>
        <w:tc>
          <w:tcPr>
            <w:tcW w:w="110" w:type="dxa"/>
            <w:tcBorders/>
            <w:tcMar>
              <w:bottom w:w="0" w:type="dxa"/>
            </w:tcMar>
            <w:vAlign w:val="center"/>
          </w:tcPr>
          <w:p>
            <w:pPr>
              <w:pStyle w:val="TableContents"/>
              <w:bidi w:val="0"/>
              <w:spacing w:before="0" w:after="283"/>
              <w:jc w:val="left"/>
              <w:rPr/>
            </w:pPr>
            <w:r>
              <w:rPr/>
              <w:t> </w:t>
            </w:r>
          </w:p>
        </w:tc>
      </w:tr>
      <w:tr>
        <w:trPr/>
        <w:tc>
          <w:tcPr>
            <w:tcW w:w="3845" w:type="dxa"/>
            <w:tcBorders/>
            <w:shd w:fill="CCEEFF" w:val="clear"/>
            <w:tcMar>
              <w:bottom w:w="0" w:type="dxa"/>
            </w:tcMar>
            <w:vAlign w:val="center"/>
          </w:tcPr>
          <w:p>
            <w:pPr>
              <w:pStyle w:val="TableContents"/>
              <w:bidi w:val="0"/>
              <w:spacing w:before="0" w:after="283"/>
              <w:jc w:val="left"/>
              <w:rPr/>
            </w:pPr>
            <w:r>
              <w:rPr/>
              <w:t>Contract liabilities –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7" w:type="dxa"/>
            <w:tcBorders/>
            <w:shd w:fill="CCEEFF" w:val="clear"/>
            <w:tcMar>
              <w:bottom w:w="0" w:type="dxa"/>
            </w:tcMar>
            <w:vAlign w:val="center"/>
          </w:tcPr>
          <w:p>
            <w:pPr>
              <w:pStyle w:val="TableContents"/>
              <w:bidi w:val="0"/>
              <w:spacing w:before="0" w:after="283"/>
              <w:jc w:val="left"/>
              <w:rPr/>
            </w:pPr>
            <w:r>
              <w:rPr/>
              <w:t>$</w:t>
            </w:r>
          </w:p>
        </w:tc>
        <w:tc>
          <w:tcPr>
            <w:tcW w:w="1627" w:type="dxa"/>
            <w:tcBorders/>
            <w:shd w:fill="CCEEFF" w:val="clear"/>
            <w:tcMar>
              <w:bottom w:w="0" w:type="dxa"/>
            </w:tcMar>
            <w:vAlign w:val="center"/>
          </w:tcPr>
          <w:p>
            <w:pPr>
              <w:pStyle w:val="TableContents"/>
              <w:bidi w:val="0"/>
              <w:spacing w:before="0" w:after="283"/>
              <w:jc w:val="right"/>
              <w:rPr/>
            </w:pPr>
            <w:r>
              <w:rPr/>
              <w:t>4,019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4,112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845" w:type="dxa"/>
            <w:tcBorders/>
            <w:tcMar>
              <w:bottom w:w="0" w:type="dxa"/>
            </w:tcMar>
            <w:vAlign w:val="center"/>
          </w:tcPr>
          <w:p>
            <w:pPr>
              <w:pStyle w:val="TableContents"/>
              <w:bidi w:val="0"/>
              <w:spacing w:before="0" w:after="283"/>
              <w:jc w:val="left"/>
              <w:rPr/>
            </w:pPr>
            <w:r>
              <w:rPr/>
              <w:t>Additions</w:t>
            </w:r>
          </w:p>
        </w:tc>
        <w:tc>
          <w:tcPr>
            <w:tcW w:w="60" w:type="dxa"/>
            <w:tcBorders/>
            <w:tcMar>
              <w:bottom w:w="0" w:type="dxa"/>
            </w:tcMar>
            <w:vAlign w:val="center"/>
          </w:tcPr>
          <w:p>
            <w:pPr>
              <w:pStyle w:val="TableContents"/>
              <w:bidi w:val="0"/>
              <w:spacing w:before="0" w:after="283"/>
              <w:jc w:val="left"/>
              <w:rPr/>
            </w:pPr>
            <w:r>
              <w:rPr/>
              <w:t> </w:t>
            </w:r>
          </w:p>
        </w:tc>
        <w:tc>
          <w:tcPr>
            <w:tcW w:w="357" w:type="dxa"/>
            <w:tcBorders/>
            <w:tcMar>
              <w:bottom w:w="0" w:type="dxa"/>
            </w:tcMar>
            <w:vAlign w:val="center"/>
          </w:tcPr>
          <w:p>
            <w:pPr>
              <w:pStyle w:val="TableContents"/>
              <w:bidi w:val="0"/>
              <w:spacing w:before="0" w:after="283"/>
              <w:jc w:val="left"/>
              <w:rPr/>
            </w:pPr>
            <w:r>
              <w:rPr/>
              <w:t> </w:t>
            </w:r>
          </w:p>
        </w:tc>
        <w:tc>
          <w:tcPr>
            <w:tcW w:w="1627" w:type="dxa"/>
            <w:tcBorders/>
            <w:tcMar>
              <w:bottom w:w="0" w:type="dxa"/>
            </w:tcMar>
            <w:vAlign w:val="center"/>
          </w:tcPr>
          <w:p>
            <w:pPr>
              <w:pStyle w:val="TableContents"/>
              <w:bidi w:val="0"/>
              <w:spacing w:before="0" w:after="283"/>
              <w:jc w:val="right"/>
              <w:rPr/>
            </w:pPr>
            <w:r>
              <w:rPr/>
              <w:t>3,777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4,905</w:t>
            </w:r>
          </w:p>
        </w:tc>
        <w:tc>
          <w:tcPr>
            <w:tcW w:w="110" w:type="dxa"/>
            <w:tcBorders/>
            <w:tcMar>
              <w:bottom w:w="0" w:type="dxa"/>
            </w:tcMar>
            <w:vAlign w:val="center"/>
          </w:tcPr>
          <w:p>
            <w:pPr>
              <w:pStyle w:val="TableContents"/>
              <w:bidi w:val="0"/>
              <w:spacing w:before="0" w:after="283"/>
              <w:jc w:val="left"/>
              <w:rPr/>
            </w:pPr>
            <w:r>
              <w:rPr/>
              <w:t> </w:t>
            </w:r>
          </w:p>
        </w:tc>
      </w:tr>
      <w:tr>
        <w:trPr/>
        <w:tc>
          <w:tcPr>
            <w:tcW w:w="3845" w:type="dxa"/>
            <w:tcBorders/>
            <w:shd w:fill="CCEEFF" w:val="clear"/>
            <w:tcMar>
              <w:bottom w:w="0" w:type="dxa"/>
            </w:tcMar>
            <w:vAlign w:val="center"/>
          </w:tcPr>
          <w:p>
            <w:pPr>
              <w:pStyle w:val="TableContents"/>
              <w:bidi w:val="0"/>
              <w:spacing w:before="0" w:after="283"/>
              <w:jc w:val="left"/>
              <w:rPr/>
            </w:pPr>
            <w:r>
              <w:rPr/>
              <w:t>Recognized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7" w:type="dxa"/>
            <w:tcBorders>
              <w:bottom w:val="single" w:sz="12" w:space="0" w:color="000000"/>
            </w:tcBorders>
            <w:shd w:fill="CCEEFF" w:val="clear"/>
            <w:vAlign w:val="center"/>
          </w:tcPr>
          <w:p>
            <w:pPr>
              <w:pStyle w:val="TableContents"/>
              <w:bidi w:val="0"/>
              <w:spacing w:before="0" w:after="283"/>
              <w:jc w:val="left"/>
              <w:rPr/>
            </w:pPr>
            <w:r>
              <w:rPr/>
              <w:t> </w:t>
            </w:r>
          </w:p>
        </w:tc>
        <w:tc>
          <w:tcPr>
            <w:tcW w:w="1627" w:type="dxa"/>
            <w:tcBorders>
              <w:bottom w:val="single" w:sz="12" w:space="0" w:color="000000"/>
            </w:tcBorders>
            <w:shd w:fill="CCEEFF" w:val="clear"/>
            <w:vAlign w:val="center"/>
          </w:tcPr>
          <w:p>
            <w:pPr>
              <w:pStyle w:val="TableContents"/>
              <w:bidi w:val="0"/>
              <w:spacing w:before="0" w:after="283"/>
              <w:jc w:val="right"/>
              <w:rPr/>
            </w:pPr>
            <w:r>
              <w:rPr/>
              <w:t>(3,072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bottom w:val="single" w:sz="12" w:space="0" w:color="000000"/>
            </w:tcBorders>
            <w:shd w:fill="CCEEFF" w:val="clear"/>
            <w:vAlign w:val="center"/>
          </w:tcPr>
          <w:p>
            <w:pPr>
              <w:pStyle w:val="TableContents"/>
              <w:bidi w:val="0"/>
              <w:spacing w:before="0" w:after="283"/>
              <w:jc w:val="left"/>
              <w:rPr/>
            </w:pPr>
            <w:r>
              <w:rPr/>
              <w:t> </w:t>
            </w:r>
          </w:p>
        </w:tc>
        <w:tc>
          <w:tcPr>
            <w:tcW w:w="1160" w:type="dxa"/>
            <w:tcBorders>
              <w:bottom w:val="single" w:sz="12" w:space="0" w:color="000000"/>
            </w:tcBorders>
            <w:shd w:fill="CCEEFF" w:val="clear"/>
            <w:vAlign w:val="center"/>
          </w:tcPr>
          <w:p>
            <w:pPr>
              <w:pStyle w:val="TableContents"/>
              <w:bidi w:val="0"/>
              <w:spacing w:before="0" w:after="283"/>
              <w:jc w:val="right"/>
              <w:rPr/>
            </w:pPr>
            <w:r>
              <w:rPr/>
              <w:t>(4,998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pPr>
            <w:r>
              <w:rPr/>
              <w:t>Contract liabilities – end of period</w:t>
            </w:r>
          </w:p>
        </w:tc>
        <w:tc>
          <w:tcPr>
            <w:tcW w:w="60" w:type="dxa"/>
            <w:tcBorders/>
            <w:tcMar>
              <w:bottom w:w="0" w:type="dxa"/>
            </w:tcMar>
            <w:vAlign w:val="center"/>
          </w:tcPr>
          <w:p>
            <w:pPr>
              <w:pStyle w:val="TableContents"/>
              <w:bidi w:val="0"/>
              <w:spacing w:before="0" w:after="283"/>
              <w:jc w:val="left"/>
              <w:rPr/>
            </w:pPr>
            <w:r>
              <w:rPr/>
              <w:t> </w:t>
            </w:r>
          </w:p>
        </w:tc>
        <w:tc>
          <w:tcPr>
            <w:tcW w:w="357" w:type="dxa"/>
            <w:tcBorders>
              <w:bottom w:val="double" w:sz="10" w:space="0" w:color="000000"/>
            </w:tcBorders>
            <w:vAlign w:val="center"/>
          </w:tcPr>
          <w:p>
            <w:pPr>
              <w:pStyle w:val="TableContents"/>
              <w:bidi w:val="0"/>
              <w:spacing w:before="0" w:after="283"/>
              <w:jc w:val="left"/>
              <w:rPr/>
            </w:pPr>
            <w:r>
              <w:rPr/>
              <w:t>$</w:t>
            </w:r>
          </w:p>
        </w:tc>
        <w:tc>
          <w:tcPr>
            <w:tcW w:w="1627" w:type="dxa"/>
            <w:tcBorders>
              <w:bottom w:val="double" w:sz="10" w:space="0" w:color="000000"/>
            </w:tcBorders>
            <w:vAlign w:val="center"/>
          </w:tcPr>
          <w:p>
            <w:pPr>
              <w:pStyle w:val="TableContents"/>
              <w:bidi w:val="0"/>
              <w:spacing w:before="0" w:after="283"/>
              <w:jc w:val="right"/>
              <w:rPr/>
            </w:pPr>
            <w:r>
              <w:rPr/>
              <w:t>4,724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 w:type="dxa"/>
            <w:tcBorders>
              <w:bottom w:val="double" w:sz="10" w:space="0" w:color="000000"/>
            </w:tcBorders>
            <w:vAlign w:val="center"/>
          </w:tcPr>
          <w:p>
            <w:pPr>
              <w:pStyle w:val="TableContents"/>
              <w:bidi w:val="0"/>
              <w:spacing w:before="0" w:after="283"/>
              <w:jc w:val="left"/>
              <w:rPr/>
            </w:pPr>
            <w:r>
              <w:rPr/>
              <w:t>$</w:t>
            </w:r>
          </w:p>
        </w:tc>
        <w:tc>
          <w:tcPr>
            <w:tcW w:w="1160" w:type="dxa"/>
            <w:tcBorders>
              <w:bottom w:val="double" w:sz="10" w:space="0" w:color="000000"/>
            </w:tcBorders>
            <w:vAlign w:val="center"/>
          </w:tcPr>
          <w:p>
            <w:pPr>
              <w:pStyle w:val="TableContents"/>
              <w:bidi w:val="0"/>
              <w:spacing w:before="0" w:after="283"/>
              <w:jc w:val="right"/>
              <w:rPr/>
            </w:pPr>
            <w:r>
              <w:rPr/>
              <w:t>4,019</w:t>
            </w:r>
          </w:p>
        </w:tc>
        <w:tc>
          <w:tcPr>
            <w:tcW w:w="11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balances primarily consist of customer deposits on the Company’s cultivation and extraction solutions equipment. As of September 30, 2024 and December 31, 2023, all of the Company’s contract liabilities balances were reported as current liabilities in the accompanying condensed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Supplemental Condensed Consolidated Balance Sheet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consisted of the following as of September 30, 2024 and December 31, 2023:</w:t>
      </w:r>
    </w:p>
    <w:p>
      <w:pPr>
        <w:pStyle w:val="TextBody"/>
        <w:bidi w:val="0"/>
        <w:spacing w:before="0" w:after="0"/>
        <w:ind w:left="0" w:right="0" w:firstLine="360"/>
        <w:jc w:val="left"/>
        <w:rPr>
          <w:caps w:val="false"/>
          <w:smallCaps w:val="false"/>
        </w:rPr>
      </w:pPr>
      <w:r>
        <w:rPr>
          <w:caps w:val="false"/>
          <w:smallCaps w:val="false"/>
        </w:rPr>
        <w:t> </w:t>
      </w:r>
    </w:p>
    <w:tbl>
      <w:tblPr>
        <w:tblW w:w="6235" w:type="dxa"/>
        <w:jc w:val="left"/>
        <w:tblInd w:w="0" w:type="dxa"/>
        <w:tblLayout w:type="fixed"/>
        <w:tblCellMar>
          <w:top w:w="0" w:type="dxa"/>
          <w:left w:w="0" w:type="dxa"/>
          <w:bottom w:w="28" w:type="dxa"/>
          <w:right w:w="0" w:type="dxa"/>
        </w:tblCellMar>
      </w:tblPr>
      <w:tblGrid>
        <w:gridCol w:w="3020"/>
        <w:gridCol w:w="60"/>
        <w:gridCol w:w="266"/>
        <w:gridCol w:w="1209"/>
        <w:gridCol w:w="95"/>
        <w:gridCol w:w="60"/>
        <w:gridCol w:w="255"/>
        <w:gridCol w:w="1160"/>
        <w:gridCol w:w="110"/>
      </w:tblGrid>
      <w:tr>
        <w:trPr/>
        <w:tc>
          <w:tcPr>
            <w:tcW w:w="3020"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12" w:space="0" w:color="000000"/>
            </w:tcBorders>
            <w:vAlign w:val="center"/>
          </w:tcPr>
          <w:p>
            <w:pPr>
              <w:pStyle w:val="TableContents"/>
              <w:bidi w:val="0"/>
              <w:spacing w:before="0" w:after="283"/>
              <w:jc w:val="center"/>
              <w:rPr>
                <w:b/>
              </w:rPr>
            </w:pPr>
            <w:r>
              <w:rPr>
                <w:b/>
              </w:rPr>
              <w:t>September 30,</w:t>
              <w:b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2023</w:t>
            </w:r>
          </w:p>
        </w:tc>
        <w:tc>
          <w:tcPr>
            <w:tcW w:w="110" w:type="dxa"/>
            <w:tcBorders/>
            <w:tcMar>
              <w:bottom w:w="0" w:type="dxa"/>
            </w:tcMar>
            <w:vAlign w:val="center"/>
          </w:tcPr>
          <w:p>
            <w:pPr>
              <w:pStyle w:val="TableContents"/>
              <w:bidi w:val="0"/>
              <w:spacing w:before="0" w:after="283"/>
              <w:jc w:val="left"/>
              <w:rPr/>
            </w:pPr>
            <w:r>
              <w:rPr/>
              <w:t> </w:t>
            </w:r>
          </w:p>
        </w:tc>
      </w:tr>
      <w:tr>
        <w:trPr/>
        <w:tc>
          <w:tcPr>
            <w:tcW w:w="3020" w:type="dxa"/>
            <w:tcBorders/>
            <w:shd w:fill="CCEEFF" w:val="clear"/>
            <w:tcMar>
              <w:bottom w:w="0" w:type="dxa"/>
            </w:tcMar>
            <w:vAlign w:val="center"/>
          </w:tcPr>
          <w:p>
            <w:pPr>
              <w:pStyle w:val="TableContents"/>
              <w:bidi w:val="0"/>
              <w:spacing w:before="0" w:after="283"/>
              <w:jc w:val="left"/>
              <w:rPr/>
            </w:pPr>
            <w:r>
              <w:rPr/>
              <w:t>Accounts receivable, gross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w:t>
            </w:r>
          </w:p>
        </w:tc>
        <w:tc>
          <w:tcPr>
            <w:tcW w:w="1209" w:type="dxa"/>
            <w:tcBorders/>
            <w:shd w:fill="CCEEFF" w:val="clear"/>
            <w:tcMar>
              <w:bottom w:w="0" w:type="dxa"/>
            </w:tcMar>
            <w:vAlign w:val="center"/>
          </w:tcPr>
          <w:p>
            <w:pPr>
              <w:pStyle w:val="TableContents"/>
              <w:bidi w:val="0"/>
              <w:spacing w:before="0" w:after="283"/>
              <w:jc w:val="right"/>
              <w:rPr/>
            </w:pPr>
            <w:r>
              <w:rPr/>
              <w:t>2,954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3,036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020" w:type="dxa"/>
            <w:tcBorders/>
            <w:tcMar>
              <w:bottom w:w="0" w:type="dxa"/>
            </w:tcMar>
            <w:vAlign w:val="center"/>
          </w:tcPr>
          <w:p>
            <w:pPr>
              <w:pStyle w:val="TableContents"/>
              <w:bidi w:val="0"/>
              <w:spacing w:before="0" w:after="283"/>
              <w:jc w:val="left"/>
              <w:rPr/>
            </w:pPr>
            <w:r>
              <w:rPr/>
              <w:t>Less allowance for credit losses</w:t>
            </w:r>
          </w:p>
        </w:tc>
        <w:tc>
          <w:tcPr>
            <w:tcW w:w="60" w:type="dxa"/>
            <w:tcBorders/>
            <w:tcMar>
              <w:bottom w:w="0" w:type="dxa"/>
            </w:tcMar>
            <w:vAlign w:val="center"/>
          </w:tcPr>
          <w:p>
            <w:pPr>
              <w:pStyle w:val="TableContents"/>
              <w:bidi w:val="0"/>
              <w:spacing w:before="0" w:after="283"/>
              <w:jc w:val="left"/>
              <w:rPr/>
            </w:pPr>
            <w:r>
              <w:rPr/>
              <w:t> </w:t>
            </w:r>
          </w:p>
        </w:tc>
        <w:tc>
          <w:tcPr>
            <w:tcW w:w="266" w:type="dxa"/>
            <w:tcBorders>
              <w:bottom w:val="single" w:sz="12" w:space="0" w:color="000000"/>
            </w:tcBorders>
            <w:vAlign w:val="center"/>
          </w:tcPr>
          <w:p>
            <w:pPr>
              <w:pStyle w:val="TableContents"/>
              <w:bidi w:val="0"/>
              <w:spacing w:before="0" w:after="283"/>
              <w:jc w:val="left"/>
              <w:rPr/>
            </w:pPr>
            <w:r>
              <w:rPr/>
              <w:t> </w:t>
            </w:r>
          </w:p>
        </w:tc>
        <w:tc>
          <w:tcPr>
            <w:tcW w:w="1209" w:type="dxa"/>
            <w:tcBorders>
              <w:bottom w:val="single" w:sz="12" w:space="0" w:color="000000"/>
            </w:tcBorders>
            <w:vAlign w:val="center"/>
          </w:tcPr>
          <w:p>
            <w:pPr>
              <w:pStyle w:val="TableContents"/>
              <w:bidi w:val="0"/>
              <w:spacing w:before="0" w:after="283"/>
              <w:jc w:val="right"/>
              <w:rPr/>
            </w:pPr>
            <w:r>
              <w:rPr/>
              <w:t>(2,626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55" w:type="dxa"/>
            <w:tcBorders>
              <w:bottom w:val="single" w:sz="12" w:space="0" w:color="000000"/>
            </w:tcBorders>
            <w:vAlign w:val="center"/>
          </w:tcPr>
          <w:p>
            <w:pPr>
              <w:pStyle w:val="TableContents"/>
              <w:bidi w:val="0"/>
              <w:spacing w:before="0" w:after="283"/>
              <w:jc w:val="left"/>
              <w:rPr/>
            </w:pPr>
            <w:r>
              <w:rPr/>
              <w:t> </w:t>
            </w:r>
          </w:p>
        </w:tc>
        <w:tc>
          <w:tcPr>
            <w:tcW w:w="1160" w:type="dxa"/>
            <w:tcBorders>
              <w:bottom w:val="single" w:sz="12" w:space="0" w:color="000000"/>
            </w:tcBorders>
            <w:vAlign w:val="center"/>
          </w:tcPr>
          <w:p>
            <w:pPr>
              <w:pStyle w:val="TableContents"/>
              <w:bidi w:val="0"/>
              <w:spacing w:before="0" w:after="283"/>
              <w:jc w:val="right"/>
              <w:rPr/>
            </w:pPr>
            <w:r>
              <w:rPr/>
              <w:t>(1,887</w:t>
            </w:r>
          </w:p>
        </w:tc>
        <w:tc>
          <w:tcPr>
            <w:tcW w:w="110" w:type="dxa"/>
            <w:tcBorders/>
            <w:tcMar>
              <w:bottom w:w="0" w:type="dxa"/>
            </w:tcMar>
            <w:vAlign w:val="center"/>
          </w:tcPr>
          <w:p>
            <w:pPr>
              <w:pStyle w:val="TableContents"/>
              <w:bidi w:val="0"/>
              <w:spacing w:before="0" w:after="283"/>
              <w:jc w:val="left"/>
              <w:rPr/>
            </w:pPr>
            <w:r>
              <w:rPr/>
              <w:t>)</w:t>
            </w:r>
          </w:p>
        </w:tc>
      </w:tr>
      <w:tr>
        <w:trPr/>
        <w:tc>
          <w:tcPr>
            <w:tcW w:w="3020" w:type="dxa"/>
            <w:tcBorders/>
            <w:shd w:fill="CCEEFF" w:val="clear"/>
            <w:tcMar>
              <w:bottom w:w="0" w:type="dxa"/>
            </w:tcMar>
            <w:vAlign w:val="center"/>
          </w:tcPr>
          <w:p>
            <w:pPr>
              <w:pStyle w:val="TableContents"/>
              <w:bidi w:val="0"/>
              <w:spacing w:before="0" w:after="283"/>
              <w:jc w:val="left"/>
              <w:rPr/>
            </w:pPr>
            <w:r>
              <w:rPr/>
              <w:t>Accounts receivable,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bottom w:val="double" w:sz="10" w:space="0" w:color="000000"/>
            </w:tcBorders>
            <w:shd w:fill="CCEEFF" w:val="clear"/>
            <w:vAlign w:val="center"/>
          </w:tcPr>
          <w:p>
            <w:pPr>
              <w:pStyle w:val="TableContents"/>
              <w:bidi w:val="0"/>
              <w:spacing w:before="0" w:after="283"/>
              <w:jc w:val="left"/>
              <w:rPr/>
            </w:pPr>
            <w:r>
              <w:rPr/>
              <w:t>$</w:t>
            </w:r>
          </w:p>
        </w:tc>
        <w:tc>
          <w:tcPr>
            <w:tcW w:w="1209" w:type="dxa"/>
            <w:tcBorders>
              <w:bottom w:val="double" w:sz="10" w:space="0" w:color="000000"/>
            </w:tcBorders>
            <w:shd w:fill="CCEEFF" w:val="clear"/>
            <w:vAlign w:val="center"/>
          </w:tcPr>
          <w:p>
            <w:pPr>
              <w:pStyle w:val="TableContents"/>
              <w:bidi w:val="0"/>
              <w:spacing w:before="0" w:after="283"/>
              <w:jc w:val="right"/>
              <w:rPr/>
            </w:pPr>
            <w:r>
              <w:rPr/>
              <w:t>328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bottom w:val="double" w:sz="10" w:space="0" w:color="000000"/>
            </w:tcBorders>
            <w:shd w:fill="CCEEFF" w:val="clear"/>
            <w:vAlign w:val="center"/>
          </w:tcPr>
          <w:p>
            <w:pPr>
              <w:pStyle w:val="TableContents"/>
              <w:bidi w:val="0"/>
              <w:spacing w:before="0" w:after="283"/>
              <w:jc w:val="left"/>
              <w:rPr/>
            </w:pPr>
            <w:r>
              <w:rPr/>
              <w:t>$</w:t>
            </w:r>
          </w:p>
        </w:tc>
        <w:tc>
          <w:tcPr>
            <w:tcW w:w="1160" w:type="dxa"/>
            <w:tcBorders>
              <w:bottom w:val="double" w:sz="10" w:space="0" w:color="000000"/>
            </w:tcBorders>
            <w:shd w:fill="CCEEFF" w:val="clear"/>
            <w:vAlign w:val="center"/>
          </w:tcPr>
          <w:p>
            <w:pPr>
              <w:pStyle w:val="TableContents"/>
              <w:bidi w:val="0"/>
              <w:spacing w:before="0" w:after="283"/>
              <w:jc w:val="right"/>
              <w:rPr/>
            </w:pPr>
            <w:r>
              <w:rPr/>
              <w:t>1,149</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movements in the Company’s credit losses accounts were as follows:</w:t>
      </w:r>
    </w:p>
    <w:p>
      <w:pPr>
        <w:pStyle w:val="TextBody"/>
        <w:bidi w:val="0"/>
        <w:spacing w:before="0" w:after="0"/>
        <w:ind w:left="0" w:right="0" w:firstLine="360"/>
        <w:jc w:val="center"/>
        <w:rPr>
          <w:caps w:val="false"/>
          <w:smallCaps w:val="false"/>
        </w:rPr>
      </w:pPr>
      <w:r>
        <w:rPr>
          <w:caps w:val="false"/>
          <w:smallCaps w:val="false"/>
        </w:rPr>
        <w:t> </w:t>
      </w:r>
    </w:p>
    <w:tbl>
      <w:tblPr>
        <w:tblW w:w="8380" w:type="dxa"/>
        <w:jc w:val="left"/>
        <w:tblInd w:w="0" w:type="dxa"/>
        <w:tblLayout w:type="fixed"/>
        <w:tblCellMar>
          <w:top w:w="0" w:type="dxa"/>
          <w:left w:w="0" w:type="dxa"/>
          <w:bottom w:w="28" w:type="dxa"/>
          <w:right w:w="0" w:type="dxa"/>
        </w:tblCellMar>
      </w:tblPr>
      <w:tblGrid>
        <w:gridCol w:w="4655"/>
        <w:gridCol w:w="60"/>
        <w:gridCol w:w="397"/>
        <w:gridCol w:w="1588"/>
        <w:gridCol w:w="95"/>
        <w:gridCol w:w="60"/>
        <w:gridCol w:w="255"/>
        <w:gridCol w:w="1160"/>
        <w:gridCol w:w="110"/>
      </w:tblGrid>
      <w:tr>
        <w:trPr/>
        <w:tc>
          <w:tcPr>
            <w:tcW w:w="465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985" w:type="dxa"/>
            <w:gridSpan w:val="2"/>
            <w:tcBorders>
              <w:bottom w:val="single" w:sz="12" w:space="0" w:color="000000"/>
            </w:tcBorders>
            <w:vAlign w:val="center"/>
          </w:tcPr>
          <w:p>
            <w:pPr>
              <w:pStyle w:val="TableContents"/>
              <w:bidi w:val="0"/>
              <w:spacing w:before="0" w:after="283"/>
              <w:jc w:val="center"/>
              <w:rPr>
                <w:b/>
              </w:rPr>
            </w:pPr>
            <w:r>
              <w:rPr>
                <w:b/>
              </w:rPr>
              <w:t>Nine months ended</w:t>
              <w:br/>
              <w:t>September 30,</w:t>
              <w:b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Year ended</w:t>
              <w:br/>
              <w:t>December 31,</w:t>
              <w:br/>
              <w:t>2023</w:t>
            </w:r>
          </w:p>
        </w:tc>
        <w:tc>
          <w:tcPr>
            <w:tcW w:w="110" w:type="dxa"/>
            <w:tcBorders/>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left"/>
              <w:rPr/>
            </w:pPr>
            <w:r>
              <w:rPr/>
              <w:t>Allowance for credit losses -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7" w:type="dxa"/>
            <w:tcBorders/>
            <w:shd w:fill="CCEEFF" w:val="clear"/>
            <w:tcMar>
              <w:bottom w:w="0" w:type="dxa"/>
            </w:tcMar>
            <w:vAlign w:val="center"/>
          </w:tcPr>
          <w:p>
            <w:pPr>
              <w:pStyle w:val="TableContents"/>
              <w:bidi w:val="0"/>
              <w:spacing w:before="0" w:after="283"/>
              <w:jc w:val="left"/>
              <w:rPr/>
            </w:pPr>
            <w:r>
              <w:rPr/>
              <w:t>$</w:t>
            </w:r>
          </w:p>
        </w:tc>
        <w:tc>
          <w:tcPr>
            <w:tcW w:w="1588" w:type="dxa"/>
            <w:tcBorders/>
            <w:shd w:fill="CCEEFF" w:val="clear"/>
            <w:tcMar>
              <w:bottom w:w="0" w:type="dxa"/>
            </w:tcMar>
            <w:vAlign w:val="center"/>
          </w:tcPr>
          <w:p>
            <w:pPr>
              <w:pStyle w:val="TableContents"/>
              <w:bidi w:val="0"/>
              <w:spacing w:before="0" w:after="283"/>
              <w:jc w:val="right"/>
              <w:rPr/>
            </w:pPr>
            <w:r>
              <w:rPr/>
              <w:t>1,887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4,605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tcMar>
              <w:bottom w:w="0" w:type="dxa"/>
            </w:tcMar>
            <w:vAlign w:val="center"/>
          </w:tcPr>
          <w:p>
            <w:pPr>
              <w:pStyle w:val="TableContents"/>
              <w:bidi w:val="0"/>
              <w:spacing w:before="0" w:after="283"/>
              <w:jc w:val="left"/>
              <w:rPr/>
            </w:pPr>
            <w:r>
              <w:rPr/>
              <w:t>(Recovery of) allowance for credit losses</w:t>
            </w:r>
          </w:p>
        </w:tc>
        <w:tc>
          <w:tcPr>
            <w:tcW w:w="60" w:type="dxa"/>
            <w:tcBorders/>
            <w:tcMar>
              <w:bottom w:w="0" w:type="dxa"/>
            </w:tcMar>
            <w:vAlign w:val="center"/>
          </w:tcPr>
          <w:p>
            <w:pPr>
              <w:pStyle w:val="TableContents"/>
              <w:bidi w:val="0"/>
              <w:spacing w:before="0" w:after="283"/>
              <w:jc w:val="left"/>
              <w:rPr/>
            </w:pPr>
            <w:r>
              <w:rPr/>
              <w:t> </w:t>
            </w:r>
          </w:p>
        </w:tc>
        <w:tc>
          <w:tcPr>
            <w:tcW w:w="397" w:type="dxa"/>
            <w:tcBorders/>
            <w:tcMar>
              <w:bottom w:w="0" w:type="dxa"/>
            </w:tcMar>
            <w:vAlign w:val="center"/>
          </w:tcPr>
          <w:p>
            <w:pPr>
              <w:pStyle w:val="TableContents"/>
              <w:bidi w:val="0"/>
              <w:spacing w:before="0" w:after="283"/>
              <w:jc w:val="left"/>
              <w:rPr/>
            </w:pPr>
            <w:r>
              <w:rPr/>
              <w:t> </w:t>
            </w:r>
          </w:p>
        </w:tc>
        <w:tc>
          <w:tcPr>
            <w:tcW w:w="1588" w:type="dxa"/>
            <w:tcBorders/>
            <w:tcMar>
              <w:bottom w:w="0" w:type="dxa"/>
            </w:tcMar>
            <w:vAlign w:val="center"/>
          </w:tcPr>
          <w:p>
            <w:pPr>
              <w:pStyle w:val="TableContents"/>
              <w:bidi w:val="0"/>
              <w:spacing w:before="0" w:after="283"/>
              <w:jc w:val="right"/>
              <w:rPr/>
            </w:pPr>
            <w:r>
              <w:rPr/>
              <w:t>767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(1,426</w:t>
            </w:r>
          </w:p>
        </w:tc>
        <w:tc>
          <w:tcPr>
            <w:tcW w:w="110" w:type="dxa"/>
            <w:tcBorders/>
            <w:tcMar>
              <w:bottom w:w="0" w:type="dxa"/>
            </w:tcMar>
            <w:vAlign w:val="center"/>
          </w:tcPr>
          <w:p>
            <w:pPr>
              <w:pStyle w:val="TableContents"/>
              <w:bidi w:val="0"/>
              <w:spacing w:before="0" w:after="283"/>
              <w:jc w:val="left"/>
              <w:rPr/>
            </w:pPr>
            <w:r>
              <w:rPr/>
              <w:t>)</w:t>
            </w:r>
          </w:p>
        </w:tc>
      </w:tr>
      <w:tr>
        <w:trPr/>
        <w:tc>
          <w:tcPr>
            <w:tcW w:w="4655" w:type="dxa"/>
            <w:tcBorders/>
            <w:shd w:fill="CCEEFF" w:val="clear"/>
            <w:tcMar>
              <w:bottom w:w="0" w:type="dxa"/>
            </w:tcMar>
            <w:vAlign w:val="center"/>
          </w:tcPr>
          <w:p>
            <w:pPr>
              <w:pStyle w:val="TableContents"/>
              <w:bidi w:val="0"/>
              <w:spacing w:before="0" w:after="283"/>
              <w:jc w:val="left"/>
              <w:rPr/>
            </w:pPr>
            <w:r>
              <w:rPr/>
              <w:t>Accounts receivable written-off</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7" w:type="dxa"/>
            <w:tcBorders>
              <w:bottom w:val="single" w:sz="12" w:space="0" w:color="000000"/>
            </w:tcBorders>
            <w:shd w:fill="CCEEFF" w:val="clear"/>
            <w:vAlign w:val="center"/>
          </w:tcPr>
          <w:p>
            <w:pPr>
              <w:pStyle w:val="TableContents"/>
              <w:bidi w:val="0"/>
              <w:spacing w:before="0" w:after="283"/>
              <w:jc w:val="left"/>
              <w:rPr/>
            </w:pPr>
            <w:r>
              <w:rPr/>
              <w:t> </w:t>
            </w:r>
          </w:p>
        </w:tc>
        <w:tc>
          <w:tcPr>
            <w:tcW w:w="1588" w:type="dxa"/>
            <w:tcBorders>
              <w:bottom w:val="single" w:sz="12" w:space="0" w:color="000000"/>
            </w:tcBorders>
            <w:shd w:fill="CCEEFF" w:val="clear"/>
            <w:vAlign w:val="center"/>
          </w:tcPr>
          <w:p>
            <w:pPr>
              <w:pStyle w:val="TableContents"/>
              <w:bidi w:val="0"/>
              <w:spacing w:before="0" w:after="283"/>
              <w:jc w:val="right"/>
              <w:rPr/>
            </w:pPr>
            <w:r>
              <w:rPr/>
              <w:t>(28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bottom w:val="single" w:sz="12" w:space="0" w:color="000000"/>
            </w:tcBorders>
            <w:shd w:fill="CCEEFF" w:val="clear"/>
            <w:vAlign w:val="center"/>
          </w:tcPr>
          <w:p>
            <w:pPr>
              <w:pStyle w:val="TableContents"/>
              <w:bidi w:val="0"/>
              <w:spacing w:before="0" w:after="283"/>
              <w:jc w:val="left"/>
              <w:rPr/>
            </w:pPr>
            <w:r>
              <w:rPr/>
              <w:t> </w:t>
            </w:r>
          </w:p>
        </w:tc>
        <w:tc>
          <w:tcPr>
            <w:tcW w:w="1160" w:type="dxa"/>
            <w:tcBorders>
              <w:bottom w:val="single" w:sz="12" w:space="0" w:color="000000"/>
            </w:tcBorders>
            <w:shd w:fill="CCEEFF" w:val="clear"/>
            <w:vAlign w:val="center"/>
          </w:tcPr>
          <w:p>
            <w:pPr>
              <w:pStyle w:val="TableContents"/>
              <w:bidi w:val="0"/>
              <w:spacing w:before="0" w:after="283"/>
              <w:jc w:val="right"/>
              <w:rPr/>
            </w:pPr>
            <w:r>
              <w:rPr/>
              <w:t>(1,292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655" w:type="dxa"/>
            <w:tcBorders/>
            <w:tcMar>
              <w:bottom w:w="0" w:type="dxa"/>
            </w:tcMar>
            <w:vAlign w:val="center"/>
          </w:tcPr>
          <w:p>
            <w:pPr>
              <w:pStyle w:val="TableContents"/>
              <w:bidi w:val="0"/>
              <w:spacing w:before="0" w:after="283"/>
              <w:jc w:val="left"/>
              <w:rPr/>
            </w:pPr>
            <w:r>
              <w:rPr/>
              <w:t>Allowance for credit losses - end of period</w:t>
            </w:r>
          </w:p>
        </w:tc>
        <w:tc>
          <w:tcPr>
            <w:tcW w:w="60" w:type="dxa"/>
            <w:tcBorders/>
            <w:tcMar>
              <w:bottom w:w="0" w:type="dxa"/>
            </w:tcMar>
            <w:vAlign w:val="center"/>
          </w:tcPr>
          <w:p>
            <w:pPr>
              <w:pStyle w:val="TableContents"/>
              <w:bidi w:val="0"/>
              <w:spacing w:before="0" w:after="283"/>
              <w:jc w:val="left"/>
              <w:rPr/>
            </w:pPr>
            <w:r>
              <w:rPr/>
              <w:t> </w:t>
            </w:r>
          </w:p>
        </w:tc>
        <w:tc>
          <w:tcPr>
            <w:tcW w:w="397" w:type="dxa"/>
            <w:tcBorders>
              <w:bottom w:val="double" w:sz="10" w:space="0" w:color="000000"/>
            </w:tcBorders>
            <w:vAlign w:val="center"/>
          </w:tcPr>
          <w:p>
            <w:pPr>
              <w:pStyle w:val="TableContents"/>
              <w:bidi w:val="0"/>
              <w:spacing w:before="0" w:after="283"/>
              <w:jc w:val="left"/>
              <w:rPr/>
            </w:pPr>
            <w:r>
              <w:rPr/>
              <w:t>$</w:t>
            </w:r>
          </w:p>
        </w:tc>
        <w:tc>
          <w:tcPr>
            <w:tcW w:w="1588" w:type="dxa"/>
            <w:tcBorders>
              <w:bottom w:val="double" w:sz="10" w:space="0" w:color="000000"/>
            </w:tcBorders>
            <w:vAlign w:val="center"/>
          </w:tcPr>
          <w:p>
            <w:pPr>
              <w:pStyle w:val="TableContents"/>
              <w:bidi w:val="0"/>
              <w:spacing w:before="0" w:after="283"/>
              <w:jc w:val="right"/>
              <w:rPr/>
            </w:pPr>
            <w:r>
              <w:rPr/>
              <w:t>2,626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 w:type="dxa"/>
            <w:tcBorders>
              <w:bottom w:val="double" w:sz="10" w:space="0" w:color="000000"/>
            </w:tcBorders>
            <w:vAlign w:val="center"/>
          </w:tcPr>
          <w:p>
            <w:pPr>
              <w:pStyle w:val="TableContents"/>
              <w:bidi w:val="0"/>
              <w:spacing w:before="0" w:after="283"/>
              <w:jc w:val="left"/>
              <w:rPr/>
            </w:pPr>
            <w:r>
              <w:rPr/>
              <w:t>$</w:t>
            </w:r>
          </w:p>
        </w:tc>
        <w:tc>
          <w:tcPr>
            <w:tcW w:w="1160" w:type="dxa"/>
            <w:tcBorders>
              <w:bottom w:val="double" w:sz="10" w:space="0" w:color="000000"/>
            </w:tcBorders>
            <w:vAlign w:val="center"/>
          </w:tcPr>
          <w:p>
            <w:pPr>
              <w:pStyle w:val="TableContents"/>
              <w:bidi w:val="0"/>
              <w:spacing w:before="0" w:after="283"/>
              <w:jc w:val="right"/>
              <w:rPr/>
            </w:pPr>
            <w:r>
              <w:rPr/>
              <w:t>1,887</w:t>
            </w:r>
          </w:p>
        </w:tc>
        <w:tc>
          <w:tcPr>
            <w:tcW w:w="11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as of September 30, 2024 and December 31, 2023:</w:t>
      </w:r>
    </w:p>
    <w:p>
      <w:pPr>
        <w:pStyle w:val="TextBody"/>
        <w:bidi w:val="0"/>
        <w:spacing w:before="0" w:after="0"/>
        <w:ind w:left="0" w:right="0" w:firstLine="360"/>
        <w:jc w:val="left"/>
        <w:rPr>
          <w:caps w:val="false"/>
          <w:smallCaps w:val="false"/>
        </w:rPr>
      </w:pPr>
      <w:r>
        <w:rPr>
          <w:caps w:val="false"/>
          <w:smallCaps w:val="false"/>
        </w:rPr>
        <w:t> </w:t>
      </w:r>
    </w:p>
    <w:tbl>
      <w:tblPr>
        <w:tblW w:w="7620" w:type="dxa"/>
        <w:jc w:val="left"/>
        <w:tblInd w:w="0" w:type="dxa"/>
        <w:tblLayout w:type="fixed"/>
        <w:tblCellMar>
          <w:top w:w="0" w:type="dxa"/>
          <w:left w:w="0" w:type="dxa"/>
          <w:bottom w:w="28" w:type="dxa"/>
          <w:right w:w="0" w:type="dxa"/>
        </w:tblCellMar>
      </w:tblPr>
      <w:tblGrid>
        <w:gridCol w:w="4475"/>
        <w:gridCol w:w="60"/>
        <w:gridCol w:w="397"/>
        <w:gridCol w:w="1078"/>
        <w:gridCol w:w="60"/>
        <w:gridCol w:w="60"/>
        <w:gridCol w:w="283"/>
        <w:gridCol w:w="1132"/>
        <w:gridCol w:w="75"/>
      </w:tblGrid>
      <w:tr>
        <w:trPr/>
        <w:tc>
          <w:tcPr>
            <w:tcW w:w="447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12" w:space="0" w:color="000000"/>
            </w:tcBorders>
            <w:vAlign w:val="center"/>
          </w:tcPr>
          <w:p>
            <w:pPr>
              <w:pStyle w:val="TableContents"/>
              <w:bidi w:val="0"/>
              <w:spacing w:before="0" w:after="283"/>
              <w:jc w:val="center"/>
              <w:rPr>
                <w:b/>
              </w:rPr>
            </w:pPr>
            <w:r>
              <w:rPr>
                <w:b/>
              </w:rPr>
              <w:t>September 30,</w:t>
              <w:b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2023</w:t>
            </w:r>
          </w:p>
        </w:tc>
        <w:tc>
          <w:tcPr>
            <w:tcW w:w="75" w:type="dxa"/>
            <w:tcBorders/>
            <w:tcMar>
              <w:bottom w:w="0" w:type="dxa"/>
            </w:tcMar>
            <w:vAlign w:val="center"/>
          </w:tcPr>
          <w:p>
            <w:pPr>
              <w:pStyle w:val="TableContents"/>
              <w:bidi w:val="0"/>
              <w:spacing w:before="0" w:after="283"/>
              <w:jc w:val="left"/>
              <w:rPr/>
            </w:pPr>
            <w:r>
              <w:rPr/>
              <w:t> </w:t>
            </w:r>
          </w:p>
        </w:tc>
      </w:tr>
      <w:tr>
        <w:trPr/>
        <w:tc>
          <w:tcPr>
            <w:tcW w:w="4475" w:type="dxa"/>
            <w:tcBorders/>
            <w:shd w:fill="CCEEFF" w:val="clear"/>
            <w:tcMar>
              <w:bottom w:w="0" w:type="dxa"/>
            </w:tcMar>
            <w:vAlign w:val="center"/>
          </w:tcPr>
          <w:p>
            <w:pPr>
              <w:pStyle w:val="TableContents"/>
              <w:bidi w:val="0"/>
              <w:spacing w:before="0" w:after="283"/>
              <w:jc w:val="left"/>
              <w:rPr/>
            </w:pPr>
            <w:r>
              <w:rPr/>
              <w:t>Receivable from legal settlement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7" w:type="dxa"/>
            <w:tcBorders/>
            <w:shd w:fill="CCEEFF" w:val="clear"/>
            <w:tcMar>
              <w:bottom w:w="0" w:type="dxa"/>
            </w:tcMar>
            <w:vAlign w:val="center"/>
          </w:tcPr>
          <w:p>
            <w:pPr>
              <w:pStyle w:val="TableContents"/>
              <w:bidi w:val="0"/>
              <w:spacing w:before="0" w:after="283"/>
              <w:jc w:val="left"/>
              <w:rPr/>
            </w:pPr>
            <w:r>
              <w:rPr/>
              <w:t>$</w:t>
            </w:r>
          </w:p>
        </w:tc>
        <w:tc>
          <w:tcPr>
            <w:tcW w:w="1078" w:type="dxa"/>
            <w:tcBorders/>
            <w:shd w:fill="CCEEFF" w:val="clear"/>
            <w:tcMar>
              <w:bottom w:w="0" w:type="dxa"/>
            </w:tcMar>
            <w:vAlign w:val="center"/>
          </w:tcPr>
          <w:p>
            <w:pPr>
              <w:pStyle w:val="TableContents"/>
              <w:bidi w:val="0"/>
              <w:spacing w:before="0" w:after="283"/>
              <w:jc w:val="right"/>
              <w:rPr/>
            </w:pPr>
            <w:r>
              <w:rPr/>
              <w:t>157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w:t>
            </w:r>
          </w:p>
        </w:tc>
        <w:tc>
          <w:tcPr>
            <w:tcW w:w="1132" w:type="dxa"/>
            <w:tcBorders/>
            <w:shd w:fill="CCEEFF" w:val="clear"/>
            <w:tcMar>
              <w:bottom w:w="0" w:type="dxa"/>
            </w:tcMar>
            <w:vAlign w:val="center"/>
          </w:tcPr>
          <w:p>
            <w:pPr>
              <w:pStyle w:val="TableContents"/>
              <w:bidi w:val="0"/>
              <w:spacing w:before="0" w:after="283"/>
              <w:jc w:val="right"/>
              <w:rPr/>
            </w:pPr>
            <w:r>
              <w:rPr/>
              <w:t>625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75" w:type="dxa"/>
            <w:tcBorders/>
            <w:tcMar>
              <w:bottom w:w="0" w:type="dxa"/>
            </w:tcMar>
            <w:vAlign w:val="center"/>
          </w:tcPr>
          <w:p>
            <w:pPr>
              <w:pStyle w:val="TableContents"/>
              <w:bidi w:val="0"/>
              <w:spacing w:before="0" w:after="283"/>
              <w:jc w:val="left"/>
              <w:rPr/>
            </w:pPr>
            <w:r>
              <w:rPr/>
              <w:t>Prepaid insurance</w:t>
            </w:r>
          </w:p>
        </w:tc>
        <w:tc>
          <w:tcPr>
            <w:tcW w:w="60" w:type="dxa"/>
            <w:tcBorders/>
            <w:tcMar>
              <w:bottom w:w="0" w:type="dxa"/>
            </w:tcMar>
            <w:vAlign w:val="center"/>
          </w:tcPr>
          <w:p>
            <w:pPr>
              <w:pStyle w:val="TableContents"/>
              <w:bidi w:val="0"/>
              <w:spacing w:before="0" w:after="283"/>
              <w:jc w:val="left"/>
              <w:rPr/>
            </w:pPr>
            <w:r>
              <w:rPr/>
              <w:t> </w:t>
            </w:r>
          </w:p>
        </w:tc>
        <w:tc>
          <w:tcPr>
            <w:tcW w:w="397" w:type="dxa"/>
            <w:tcBorders/>
            <w:tcMar>
              <w:bottom w:w="0" w:type="dxa"/>
            </w:tcMar>
            <w:vAlign w:val="center"/>
          </w:tcPr>
          <w:p>
            <w:pPr>
              <w:pStyle w:val="TableContents"/>
              <w:bidi w:val="0"/>
              <w:spacing w:before="0" w:after="283"/>
              <w:jc w:val="left"/>
              <w:rPr/>
            </w:pPr>
            <w:r>
              <w:rPr/>
              <w:t> </w:t>
            </w:r>
          </w:p>
        </w:tc>
        <w:tc>
          <w:tcPr>
            <w:tcW w:w="1078" w:type="dxa"/>
            <w:tcBorders/>
            <w:tcMar>
              <w:bottom w:w="0" w:type="dxa"/>
            </w:tcMar>
            <w:vAlign w:val="center"/>
          </w:tcPr>
          <w:p>
            <w:pPr>
              <w:pStyle w:val="TableContents"/>
              <w:bidi w:val="0"/>
              <w:spacing w:before="0" w:after="283"/>
              <w:jc w:val="right"/>
              <w:rPr/>
            </w:pPr>
            <w:r>
              <w:rPr/>
              <w:t>83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3" w:type="dxa"/>
            <w:tcBorders/>
            <w:tcMar>
              <w:bottom w:w="0" w:type="dxa"/>
            </w:tcMar>
            <w:vAlign w:val="center"/>
          </w:tcPr>
          <w:p>
            <w:pPr>
              <w:pStyle w:val="TableContents"/>
              <w:bidi w:val="0"/>
              <w:spacing w:before="0" w:after="283"/>
              <w:jc w:val="left"/>
              <w:rPr/>
            </w:pPr>
            <w:r>
              <w:rPr/>
              <w:t> </w:t>
            </w:r>
          </w:p>
        </w:tc>
        <w:tc>
          <w:tcPr>
            <w:tcW w:w="1132" w:type="dxa"/>
            <w:tcBorders/>
            <w:tcMar>
              <w:bottom w:w="0" w:type="dxa"/>
            </w:tcMar>
            <w:vAlign w:val="center"/>
          </w:tcPr>
          <w:p>
            <w:pPr>
              <w:pStyle w:val="TableContents"/>
              <w:bidi w:val="0"/>
              <w:spacing w:before="0" w:after="283"/>
              <w:jc w:val="right"/>
              <w:rPr/>
            </w:pPr>
            <w:r>
              <w:rPr/>
              <w:t>454</w:t>
            </w:r>
          </w:p>
        </w:tc>
        <w:tc>
          <w:tcPr>
            <w:tcW w:w="75" w:type="dxa"/>
            <w:tcBorders/>
            <w:tcMar>
              <w:bottom w:w="0" w:type="dxa"/>
            </w:tcMar>
            <w:vAlign w:val="center"/>
          </w:tcPr>
          <w:p>
            <w:pPr>
              <w:pStyle w:val="TableContents"/>
              <w:bidi w:val="0"/>
              <w:spacing w:before="0" w:after="283"/>
              <w:jc w:val="left"/>
              <w:rPr/>
            </w:pPr>
            <w:r>
              <w:rPr/>
              <w:t> </w:t>
            </w:r>
          </w:p>
        </w:tc>
      </w:tr>
      <w:tr>
        <w:trPr/>
        <w:tc>
          <w:tcPr>
            <w:tcW w:w="4475" w:type="dxa"/>
            <w:tcBorders/>
            <w:shd w:fill="CCEEFF" w:val="clear"/>
            <w:tcMar>
              <w:bottom w:w="0" w:type="dxa"/>
            </w:tcMar>
            <w:vAlign w:val="center"/>
          </w:tcPr>
          <w:p>
            <w:pPr>
              <w:pStyle w:val="TableContents"/>
              <w:bidi w:val="0"/>
              <w:spacing w:before="0" w:after="283"/>
              <w:jc w:val="left"/>
              <w:rPr/>
            </w:pPr>
            <w:r>
              <w:rPr/>
              <w:t>Prepaid expenses, 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7"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pPr>
            <w:r>
              <w:rPr/>
              <w:t>82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75" w:type="dxa"/>
            <w:tcBorders/>
            <w:tcMar>
              <w:bottom w:w="0" w:type="dxa"/>
            </w:tcMar>
            <w:vAlign w:val="center"/>
          </w:tcPr>
          <w:p>
            <w:pPr>
              <w:pStyle w:val="TableContents"/>
              <w:bidi w:val="0"/>
              <w:spacing w:before="0" w:after="283"/>
              <w:jc w:val="left"/>
              <w:rPr/>
            </w:pPr>
            <w:r>
              <w:rPr/>
              <w:t>Other receivables</w:t>
            </w:r>
          </w:p>
        </w:tc>
        <w:tc>
          <w:tcPr>
            <w:tcW w:w="60" w:type="dxa"/>
            <w:tcBorders/>
            <w:tcMar>
              <w:bottom w:w="0" w:type="dxa"/>
            </w:tcMar>
            <w:vAlign w:val="center"/>
          </w:tcPr>
          <w:p>
            <w:pPr>
              <w:pStyle w:val="TableContents"/>
              <w:bidi w:val="0"/>
              <w:spacing w:before="0" w:after="283"/>
              <w:jc w:val="left"/>
              <w:rPr/>
            </w:pPr>
            <w:r>
              <w:rPr/>
              <w:t> </w:t>
            </w:r>
          </w:p>
        </w:tc>
        <w:tc>
          <w:tcPr>
            <w:tcW w:w="397" w:type="dxa"/>
            <w:tcBorders/>
            <w:tcMar>
              <w:bottom w:w="0" w:type="dxa"/>
            </w:tcMar>
            <w:vAlign w:val="center"/>
          </w:tcPr>
          <w:p>
            <w:pPr>
              <w:pStyle w:val="TableContents"/>
              <w:bidi w:val="0"/>
              <w:spacing w:before="0" w:after="283"/>
              <w:jc w:val="left"/>
              <w:rPr/>
            </w:pPr>
            <w:r>
              <w:rPr/>
              <w:t> </w:t>
            </w:r>
          </w:p>
        </w:tc>
        <w:tc>
          <w:tcPr>
            <w:tcW w:w="1078" w:type="dxa"/>
            <w:tcBorders/>
            <w:tcMar>
              <w:bottom w:w="0" w:type="dxa"/>
            </w:tcMar>
            <w:vAlign w:val="center"/>
          </w:tcPr>
          <w:p>
            <w:pPr>
              <w:pStyle w:val="TableContents"/>
              <w:bidi w:val="0"/>
              <w:spacing w:before="0" w:after="283"/>
              <w:jc w:val="right"/>
              <w:rPr/>
            </w:pPr>
            <w:r>
              <w:rPr/>
              <w:t>54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3" w:type="dxa"/>
            <w:tcBorders/>
            <w:tcMar>
              <w:bottom w:w="0" w:type="dxa"/>
            </w:tcMar>
            <w:vAlign w:val="center"/>
          </w:tcPr>
          <w:p>
            <w:pPr>
              <w:pStyle w:val="TableContents"/>
              <w:bidi w:val="0"/>
              <w:spacing w:before="0" w:after="283"/>
              <w:jc w:val="left"/>
              <w:rPr/>
            </w:pPr>
            <w:r>
              <w:rPr/>
              <w:t> </w:t>
            </w:r>
          </w:p>
        </w:tc>
        <w:tc>
          <w:tcPr>
            <w:tcW w:w="1132" w:type="dxa"/>
            <w:tcBorders/>
            <w:tcMar>
              <w:bottom w:w="0" w:type="dxa"/>
            </w:tcMar>
            <w:vAlign w:val="center"/>
          </w:tcPr>
          <w:p>
            <w:pPr>
              <w:pStyle w:val="TableContents"/>
              <w:bidi w:val="0"/>
              <w:spacing w:before="0" w:after="283"/>
              <w:jc w:val="right"/>
              <w:rPr/>
            </w:pPr>
            <w:r>
              <w:rPr/>
              <w:t>34</w:t>
            </w:r>
          </w:p>
        </w:tc>
        <w:tc>
          <w:tcPr>
            <w:tcW w:w="75" w:type="dxa"/>
            <w:tcBorders/>
            <w:tcMar>
              <w:bottom w:w="0" w:type="dxa"/>
            </w:tcMar>
            <w:vAlign w:val="center"/>
          </w:tcPr>
          <w:p>
            <w:pPr>
              <w:pStyle w:val="TableContents"/>
              <w:bidi w:val="0"/>
              <w:spacing w:before="0" w:after="283"/>
              <w:jc w:val="left"/>
              <w:rPr/>
            </w:pPr>
            <w:r>
              <w:rPr/>
              <w:t> </w:t>
            </w:r>
          </w:p>
        </w:tc>
      </w:tr>
      <w:tr>
        <w:trPr/>
        <w:tc>
          <w:tcPr>
            <w:tcW w:w="4475" w:type="dxa"/>
            <w:tcBorders/>
            <w:shd w:fill="CCEEFF" w:val="clear"/>
            <w:tcMar>
              <w:bottom w:w="0" w:type="dxa"/>
            </w:tcMar>
            <w:vAlign w:val="center"/>
          </w:tcPr>
          <w:p>
            <w:pPr>
              <w:pStyle w:val="TableContents"/>
              <w:bidi w:val="0"/>
              <w:spacing w:before="0" w:after="283"/>
              <w:jc w:val="left"/>
              <w:rPr/>
            </w:pPr>
            <w:r>
              <w:rPr/>
              <w:t>Prepaid software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7"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pPr>
            <w:r>
              <w:rPr/>
              <w:t>70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75" w:type="dxa"/>
            <w:tcBorders/>
            <w:tcMar>
              <w:bottom w:w="0" w:type="dxa"/>
            </w:tcMar>
            <w:vAlign w:val="center"/>
          </w:tcPr>
          <w:p>
            <w:pPr>
              <w:pStyle w:val="TableContents"/>
              <w:bidi w:val="0"/>
              <w:spacing w:before="0" w:after="283"/>
              <w:jc w:val="left"/>
              <w:rPr/>
            </w:pPr>
            <w:r>
              <w:rPr/>
              <w:t>Prepaid materials</w:t>
            </w:r>
          </w:p>
        </w:tc>
        <w:tc>
          <w:tcPr>
            <w:tcW w:w="60" w:type="dxa"/>
            <w:tcBorders/>
            <w:tcMar>
              <w:bottom w:w="0" w:type="dxa"/>
            </w:tcMar>
            <w:vAlign w:val="center"/>
          </w:tcPr>
          <w:p>
            <w:pPr>
              <w:pStyle w:val="TableContents"/>
              <w:bidi w:val="0"/>
              <w:spacing w:before="0" w:after="283"/>
              <w:jc w:val="left"/>
              <w:rPr/>
            </w:pPr>
            <w:r>
              <w:rPr/>
              <w:t> </w:t>
            </w:r>
          </w:p>
        </w:tc>
        <w:tc>
          <w:tcPr>
            <w:tcW w:w="397" w:type="dxa"/>
            <w:tcBorders/>
            <w:tcMar>
              <w:bottom w:w="0" w:type="dxa"/>
            </w:tcMar>
            <w:vAlign w:val="center"/>
          </w:tcPr>
          <w:p>
            <w:pPr>
              <w:pStyle w:val="TableContents"/>
              <w:bidi w:val="0"/>
              <w:spacing w:before="0" w:after="283"/>
              <w:jc w:val="left"/>
              <w:rPr/>
            </w:pPr>
            <w:r>
              <w:rPr/>
              <w:t> </w:t>
            </w:r>
          </w:p>
        </w:tc>
        <w:tc>
          <w:tcPr>
            <w:tcW w:w="1078" w:type="dxa"/>
            <w:tcBorders/>
            <w:tcMar>
              <w:bottom w:w="0" w:type="dxa"/>
            </w:tcMar>
            <w:vAlign w:val="center"/>
          </w:tcPr>
          <w:p>
            <w:pPr>
              <w:pStyle w:val="TableContents"/>
              <w:bidi w:val="0"/>
              <w:spacing w:before="0" w:after="283"/>
              <w:jc w:val="right"/>
              <w:rPr/>
            </w:pPr>
            <w:r>
              <w:rPr/>
              <w:t>21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3" w:type="dxa"/>
            <w:tcBorders/>
            <w:tcMar>
              <w:bottom w:w="0" w:type="dxa"/>
            </w:tcMar>
            <w:vAlign w:val="center"/>
          </w:tcPr>
          <w:p>
            <w:pPr>
              <w:pStyle w:val="TableContents"/>
              <w:bidi w:val="0"/>
              <w:spacing w:before="0" w:after="283"/>
              <w:jc w:val="left"/>
              <w:rPr/>
            </w:pPr>
            <w:r>
              <w:rPr/>
              <w:t> </w:t>
            </w:r>
          </w:p>
        </w:tc>
        <w:tc>
          <w:tcPr>
            <w:tcW w:w="1132" w:type="dxa"/>
            <w:tcBorders/>
            <w:tcMar>
              <w:bottom w:w="0" w:type="dxa"/>
            </w:tcMar>
            <w:vAlign w:val="center"/>
          </w:tcPr>
          <w:p>
            <w:pPr>
              <w:pStyle w:val="TableContents"/>
              <w:bidi w:val="0"/>
              <w:spacing w:before="0" w:after="283"/>
              <w:jc w:val="right"/>
              <w:rPr/>
            </w:pPr>
            <w:r>
              <w:rPr/>
              <w:t>13</w:t>
            </w:r>
          </w:p>
        </w:tc>
        <w:tc>
          <w:tcPr>
            <w:tcW w:w="75" w:type="dxa"/>
            <w:tcBorders/>
            <w:tcMar>
              <w:bottom w:w="0" w:type="dxa"/>
            </w:tcMar>
            <w:vAlign w:val="center"/>
          </w:tcPr>
          <w:p>
            <w:pPr>
              <w:pStyle w:val="TableContents"/>
              <w:bidi w:val="0"/>
              <w:spacing w:before="0" w:after="283"/>
              <w:jc w:val="left"/>
              <w:rPr/>
            </w:pPr>
            <w:r>
              <w:rPr/>
              <w:t> </w:t>
            </w:r>
          </w:p>
        </w:tc>
      </w:tr>
      <w:tr>
        <w:trPr/>
        <w:tc>
          <w:tcPr>
            <w:tcW w:w="4475" w:type="dxa"/>
            <w:tcBorders/>
            <w:shd w:fill="CCEEFF" w:val="clear"/>
            <w:tcMar>
              <w:bottom w:w="0" w:type="dxa"/>
            </w:tcMar>
            <w:vAlign w:val="center"/>
          </w:tcPr>
          <w:p>
            <w:pPr>
              <w:pStyle w:val="TableContents"/>
              <w:bidi w:val="0"/>
              <w:spacing w:before="0" w:after="283"/>
              <w:jc w:val="left"/>
              <w:rPr/>
            </w:pPr>
            <w:r>
              <w:rPr/>
              <w:t>Prepaid settlement asset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7" w:type="dxa"/>
            <w:tcBorders>
              <w:bottom w:val="single" w:sz="12" w:space="0" w:color="000000"/>
            </w:tcBorders>
            <w:shd w:fill="CCEEFF" w:val="clear"/>
            <w:vAlign w:val="center"/>
          </w:tcPr>
          <w:p>
            <w:pPr>
              <w:pStyle w:val="TableContents"/>
              <w:bidi w:val="0"/>
              <w:spacing w:before="0" w:after="283"/>
              <w:jc w:val="left"/>
              <w:rPr/>
            </w:pPr>
            <w:r>
              <w:rPr/>
              <w:t> </w:t>
            </w:r>
          </w:p>
        </w:tc>
        <w:tc>
          <w:tcPr>
            <w:tcW w:w="1078" w:type="dxa"/>
            <w:tcBorders>
              <w:bottom w:val="single" w:sz="12"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bottom w:val="single" w:sz="12" w:space="0" w:color="000000"/>
            </w:tcBorders>
            <w:shd w:fill="CCEEFF" w:val="clear"/>
            <w:vAlign w:val="center"/>
          </w:tcPr>
          <w:p>
            <w:pPr>
              <w:pStyle w:val="TableContents"/>
              <w:bidi w:val="0"/>
              <w:spacing w:before="0" w:after="283"/>
              <w:jc w:val="left"/>
              <w:rPr/>
            </w:pPr>
            <w:r>
              <w:rPr/>
              <w:t> </w:t>
            </w:r>
          </w:p>
        </w:tc>
        <w:tc>
          <w:tcPr>
            <w:tcW w:w="1132" w:type="dxa"/>
            <w:tcBorders>
              <w:bottom w:val="single" w:sz="12" w:space="0" w:color="000000"/>
            </w:tcBorders>
            <w:shd w:fill="CCEEFF" w:val="clear"/>
            <w:vAlign w:val="center"/>
          </w:tcPr>
          <w:p>
            <w:pPr>
              <w:pStyle w:val="TableContents"/>
              <w:bidi w:val="0"/>
              <w:spacing w:before="0" w:after="283"/>
              <w:jc w:val="right"/>
              <w:rPr/>
            </w:pPr>
            <w:r>
              <w:rPr/>
              <w:t>2,054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75" w:type="dxa"/>
            <w:tcBorders/>
            <w:tcMar>
              <w:bottom w:w="0" w:type="dxa"/>
            </w:tcMar>
            <w:vAlign w:val="center"/>
          </w:tcPr>
          <w:p>
            <w:pPr>
              <w:pStyle w:val="TableContents"/>
              <w:bidi w:val="0"/>
              <w:spacing w:before="0" w:after="283"/>
              <w:jc w:val="left"/>
              <w:rPr/>
            </w:pPr>
            <w:r>
              <w:rPr/>
              <w:t>Total prepaid expenses and other current assets</w:t>
            </w:r>
          </w:p>
        </w:tc>
        <w:tc>
          <w:tcPr>
            <w:tcW w:w="60" w:type="dxa"/>
            <w:tcBorders/>
            <w:tcMar>
              <w:bottom w:w="0" w:type="dxa"/>
            </w:tcMar>
            <w:vAlign w:val="center"/>
          </w:tcPr>
          <w:p>
            <w:pPr>
              <w:pStyle w:val="TableContents"/>
              <w:bidi w:val="0"/>
              <w:spacing w:before="0" w:after="283"/>
              <w:jc w:val="left"/>
              <w:rPr/>
            </w:pPr>
            <w:r>
              <w:rPr/>
              <w:t> </w:t>
            </w:r>
          </w:p>
        </w:tc>
        <w:tc>
          <w:tcPr>
            <w:tcW w:w="397" w:type="dxa"/>
            <w:tcBorders>
              <w:bottom w:val="double" w:sz="10" w:space="0" w:color="000000"/>
            </w:tcBorders>
            <w:vAlign w:val="center"/>
          </w:tcPr>
          <w:p>
            <w:pPr>
              <w:pStyle w:val="TableContents"/>
              <w:bidi w:val="0"/>
              <w:spacing w:before="0" w:after="283"/>
              <w:jc w:val="left"/>
              <w:rPr/>
            </w:pPr>
            <w:r>
              <w:rPr/>
              <w:t>$</w:t>
            </w:r>
          </w:p>
        </w:tc>
        <w:tc>
          <w:tcPr>
            <w:tcW w:w="1078" w:type="dxa"/>
            <w:tcBorders>
              <w:bottom w:val="double" w:sz="10" w:space="0" w:color="000000"/>
            </w:tcBorders>
            <w:vAlign w:val="center"/>
          </w:tcPr>
          <w:p>
            <w:pPr>
              <w:pStyle w:val="TableContents"/>
              <w:bidi w:val="0"/>
              <w:spacing w:before="0" w:after="283"/>
              <w:jc w:val="right"/>
              <w:rPr/>
            </w:pPr>
            <w:r>
              <w:rPr/>
              <w:t>410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3" w:type="dxa"/>
            <w:tcBorders>
              <w:bottom w:val="double" w:sz="10" w:space="0" w:color="000000"/>
            </w:tcBorders>
            <w:vAlign w:val="center"/>
          </w:tcPr>
          <w:p>
            <w:pPr>
              <w:pStyle w:val="TableContents"/>
              <w:bidi w:val="0"/>
              <w:spacing w:before="0" w:after="283"/>
              <w:jc w:val="left"/>
              <w:rPr/>
            </w:pPr>
            <w:r>
              <w:rPr/>
              <w:t>$</w:t>
            </w:r>
          </w:p>
        </w:tc>
        <w:tc>
          <w:tcPr>
            <w:tcW w:w="1132" w:type="dxa"/>
            <w:tcBorders>
              <w:bottom w:val="double" w:sz="10" w:space="0" w:color="000000"/>
            </w:tcBorders>
            <w:vAlign w:val="center"/>
          </w:tcPr>
          <w:p>
            <w:pPr>
              <w:pStyle w:val="TableContents"/>
              <w:bidi w:val="0"/>
              <w:spacing w:before="0" w:after="283"/>
              <w:jc w:val="right"/>
              <w:rPr/>
            </w:pPr>
            <w:r>
              <w:rPr/>
              <w:t>3,332</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in the fourth quarter of the year ended December 31, 2023 a prepaid settlement asset in connection with the Modification and Settlement Agreement entered into with Mack Molding Co. as described in detail within Note 14 — Commitments and Contingencies. This amount represents the value of warrants to be issued to Mack Molding Co. upon satisfaction of the terms of the settlement agreement and one $500 thousand prepayment to Mack Molding Co. During the quarter ended March 31, 2024, the conditions of the agreement were met and the prepaid settlement asset was derecognized and recorded into gain on settlement of contingent liabilities upon the closing of the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 as of September 30, 2024 and December 31, 2023:</w:t>
      </w:r>
    </w:p>
    <w:p>
      <w:pPr>
        <w:pStyle w:val="TextBody"/>
        <w:bidi w:val="0"/>
        <w:spacing w:before="0" w:after="0"/>
        <w:ind w:left="0" w:right="0" w:firstLine="360"/>
        <w:jc w:val="left"/>
        <w:rPr>
          <w:caps w:val="false"/>
          <w:smallCaps w:val="false"/>
        </w:rPr>
      </w:pPr>
      <w:r>
        <w:rPr>
          <w:caps w:val="false"/>
          <w:smallCaps w:val="false"/>
        </w:rPr>
        <w:t> </w:t>
      </w:r>
    </w:p>
    <w:tbl>
      <w:tblPr>
        <w:tblW w:w="7929" w:type="dxa"/>
        <w:jc w:val="left"/>
        <w:tblInd w:w="0" w:type="dxa"/>
        <w:tblLayout w:type="fixed"/>
        <w:tblCellMar>
          <w:top w:w="0" w:type="dxa"/>
          <w:left w:w="0" w:type="dxa"/>
          <w:bottom w:w="28" w:type="dxa"/>
          <w:right w:w="0" w:type="dxa"/>
        </w:tblCellMar>
      </w:tblPr>
      <w:tblGrid>
        <w:gridCol w:w="4655"/>
        <w:gridCol w:w="60"/>
        <w:gridCol w:w="276"/>
        <w:gridCol w:w="1258"/>
        <w:gridCol w:w="95"/>
        <w:gridCol w:w="60"/>
        <w:gridCol w:w="255"/>
        <w:gridCol w:w="1160"/>
        <w:gridCol w:w="110"/>
      </w:tblGrid>
      <w:tr>
        <w:trPr/>
        <w:tc>
          <w:tcPr>
            <w:tcW w:w="465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12" w:space="0" w:color="000000"/>
            </w:tcBorders>
            <w:vAlign w:val="center"/>
          </w:tcPr>
          <w:p>
            <w:pPr>
              <w:pStyle w:val="TableContents"/>
              <w:bidi w:val="0"/>
              <w:spacing w:before="0" w:after="283"/>
              <w:jc w:val="center"/>
              <w:rPr>
                <w:b/>
              </w:rPr>
            </w:pPr>
            <w:r>
              <w:rPr>
                <w:b/>
              </w:rPr>
              <w:t xml:space="preserve">September 30, </w:t>
              <w:b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2023</w:t>
            </w:r>
          </w:p>
        </w:tc>
        <w:tc>
          <w:tcPr>
            <w:tcW w:w="110" w:type="dxa"/>
            <w:tcBorders/>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left"/>
              <w:rPr/>
            </w:pPr>
            <w:r>
              <w:rPr/>
              <w:t>Leased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w:t>
            </w:r>
          </w:p>
        </w:tc>
        <w:tc>
          <w:tcPr>
            <w:tcW w:w="1258" w:type="dxa"/>
            <w:tcBorders/>
            <w:shd w:fill="CCEEFF" w:val="clear"/>
            <w:tcMar>
              <w:bottom w:w="0" w:type="dxa"/>
            </w:tcMar>
            <w:vAlign w:val="center"/>
          </w:tcPr>
          <w:p>
            <w:pPr>
              <w:pStyle w:val="TableContents"/>
              <w:bidi w:val="0"/>
              <w:spacing w:before="0" w:after="283"/>
              <w:jc w:val="right"/>
              <w:rPr/>
            </w:pPr>
            <w:r>
              <w:rPr/>
              <w:t>4,465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4,465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tcMar>
              <w:bottom w:w="0" w:type="dxa"/>
            </w:tcMar>
            <w:vAlign w:val="center"/>
          </w:tcPr>
          <w:p>
            <w:pPr>
              <w:pStyle w:val="TableContents"/>
              <w:bidi w:val="0"/>
              <w:spacing w:before="0" w:after="283"/>
              <w:jc w:val="left"/>
              <w:rPr/>
            </w:pPr>
            <w:r>
              <w:rPr/>
              <w:t>Machinery and equipment</w:t>
            </w:r>
          </w:p>
        </w:tc>
        <w:tc>
          <w:tcPr>
            <w:tcW w:w="60" w:type="dxa"/>
            <w:tcBorders/>
            <w:tcMar>
              <w:bottom w:w="0" w:type="dxa"/>
            </w:tcMar>
            <w:vAlign w:val="center"/>
          </w:tcPr>
          <w:p>
            <w:pPr>
              <w:pStyle w:val="TableContents"/>
              <w:bidi w:val="0"/>
              <w:spacing w:before="0" w:after="283"/>
              <w:jc w:val="left"/>
              <w:rPr/>
            </w:pPr>
            <w:r>
              <w:rPr/>
              <w:t> </w:t>
            </w:r>
          </w:p>
        </w:tc>
        <w:tc>
          <w:tcPr>
            <w:tcW w:w="276" w:type="dxa"/>
            <w:tcBorders/>
            <w:tcMar>
              <w:bottom w:w="0" w:type="dxa"/>
            </w:tcMar>
            <w:vAlign w:val="center"/>
          </w:tcPr>
          <w:p>
            <w:pPr>
              <w:pStyle w:val="TableContents"/>
              <w:bidi w:val="0"/>
              <w:spacing w:before="0" w:after="283"/>
              <w:jc w:val="left"/>
              <w:rPr/>
            </w:pPr>
            <w:r>
              <w:rPr/>
              <w:t> </w:t>
            </w:r>
          </w:p>
        </w:tc>
        <w:tc>
          <w:tcPr>
            <w:tcW w:w="1258" w:type="dxa"/>
            <w:tcBorders/>
            <w:tcMar>
              <w:bottom w:w="0" w:type="dxa"/>
            </w:tcMar>
            <w:vAlign w:val="center"/>
          </w:tcPr>
          <w:p>
            <w:pPr>
              <w:pStyle w:val="TableContents"/>
              <w:bidi w:val="0"/>
              <w:spacing w:before="0" w:after="283"/>
              <w:jc w:val="right"/>
              <w:rPr/>
            </w:pPr>
            <w:r>
              <w:rPr/>
              <w:t>895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904</w:t>
            </w:r>
          </w:p>
        </w:tc>
        <w:tc>
          <w:tcPr>
            <w:tcW w:w="110" w:type="dxa"/>
            <w:tcBorders/>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left"/>
              <w:rPr/>
            </w:pPr>
            <w:r>
              <w:rPr/>
              <w:t>Software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right"/>
              <w:rPr/>
            </w:pPr>
            <w:r>
              <w:rPr/>
              <w:t>598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606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tcMar>
              <w:bottom w:w="0" w:type="dxa"/>
            </w:tcMar>
            <w:vAlign w:val="center"/>
          </w:tcPr>
          <w:p>
            <w:pPr>
              <w:pStyle w:val="TableContents"/>
              <w:bidi w:val="0"/>
              <w:spacing w:before="0" w:after="283"/>
              <w:jc w:val="left"/>
              <w:rPr/>
            </w:pPr>
            <w:r>
              <w:rPr/>
              <w:t>Computer and office equipment</w:t>
            </w:r>
          </w:p>
        </w:tc>
        <w:tc>
          <w:tcPr>
            <w:tcW w:w="60" w:type="dxa"/>
            <w:tcBorders/>
            <w:tcMar>
              <w:bottom w:w="0" w:type="dxa"/>
            </w:tcMar>
            <w:vAlign w:val="center"/>
          </w:tcPr>
          <w:p>
            <w:pPr>
              <w:pStyle w:val="TableContents"/>
              <w:bidi w:val="0"/>
              <w:spacing w:before="0" w:after="283"/>
              <w:jc w:val="left"/>
              <w:rPr/>
            </w:pPr>
            <w:r>
              <w:rPr/>
              <w:t> </w:t>
            </w:r>
          </w:p>
        </w:tc>
        <w:tc>
          <w:tcPr>
            <w:tcW w:w="276" w:type="dxa"/>
            <w:tcBorders/>
            <w:tcMar>
              <w:bottom w:w="0" w:type="dxa"/>
            </w:tcMar>
            <w:vAlign w:val="center"/>
          </w:tcPr>
          <w:p>
            <w:pPr>
              <w:pStyle w:val="TableContents"/>
              <w:bidi w:val="0"/>
              <w:spacing w:before="0" w:after="283"/>
              <w:jc w:val="left"/>
              <w:rPr/>
            </w:pPr>
            <w:r>
              <w:rPr/>
              <w:t> </w:t>
            </w:r>
          </w:p>
        </w:tc>
        <w:tc>
          <w:tcPr>
            <w:tcW w:w="1258" w:type="dxa"/>
            <w:tcBorders/>
            <w:tcMar>
              <w:bottom w:w="0" w:type="dxa"/>
            </w:tcMar>
            <w:vAlign w:val="center"/>
          </w:tcPr>
          <w:p>
            <w:pPr>
              <w:pStyle w:val="TableContents"/>
              <w:bidi w:val="0"/>
              <w:spacing w:before="0" w:after="283"/>
              <w:jc w:val="right"/>
              <w:rPr/>
            </w:pPr>
            <w:r>
              <w:rPr/>
              <w:t>534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588</w:t>
            </w:r>
          </w:p>
        </w:tc>
        <w:tc>
          <w:tcPr>
            <w:tcW w:w="110" w:type="dxa"/>
            <w:tcBorders/>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left"/>
              <w:rPr/>
            </w:pPr>
            <w:r>
              <w:rPr/>
              <w:t>Leasehold improvements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right"/>
              <w:rPr/>
            </w:pPr>
            <w:r>
              <w:rPr/>
              <w:t>200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702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tcMar>
              <w:bottom w:w="0" w:type="dxa"/>
            </w:tcMar>
            <w:vAlign w:val="center"/>
          </w:tcPr>
          <w:p>
            <w:pPr>
              <w:pStyle w:val="TableContents"/>
              <w:bidi w:val="0"/>
              <w:spacing w:before="0" w:after="283"/>
              <w:jc w:val="left"/>
              <w:rPr/>
            </w:pPr>
            <w:r>
              <w:rPr/>
              <w:t>Research and development laboratory equipment</w:t>
            </w:r>
          </w:p>
        </w:tc>
        <w:tc>
          <w:tcPr>
            <w:tcW w:w="60" w:type="dxa"/>
            <w:tcBorders/>
            <w:tcMar>
              <w:bottom w:w="0" w:type="dxa"/>
            </w:tcMar>
            <w:vAlign w:val="center"/>
          </w:tcPr>
          <w:p>
            <w:pPr>
              <w:pStyle w:val="TableContents"/>
              <w:bidi w:val="0"/>
              <w:spacing w:before="0" w:after="283"/>
              <w:jc w:val="left"/>
              <w:rPr/>
            </w:pPr>
            <w:r>
              <w:rPr/>
              <w:t> </w:t>
            </w:r>
          </w:p>
        </w:tc>
        <w:tc>
          <w:tcPr>
            <w:tcW w:w="276" w:type="dxa"/>
            <w:tcBorders/>
            <w:tcMar>
              <w:bottom w:w="0" w:type="dxa"/>
            </w:tcMar>
            <w:vAlign w:val="center"/>
          </w:tcPr>
          <w:p>
            <w:pPr>
              <w:pStyle w:val="TableContents"/>
              <w:bidi w:val="0"/>
              <w:spacing w:before="0" w:after="283"/>
              <w:jc w:val="left"/>
              <w:rPr/>
            </w:pPr>
            <w:r>
              <w:rPr/>
              <w:t> </w:t>
            </w:r>
          </w:p>
        </w:tc>
        <w:tc>
          <w:tcPr>
            <w:tcW w:w="1258" w:type="dxa"/>
            <w:tcBorders/>
            <w:tcMar>
              <w:bottom w:w="0" w:type="dxa"/>
            </w:tcMar>
            <w:vAlign w:val="center"/>
          </w:tcPr>
          <w:p>
            <w:pPr>
              <w:pStyle w:val="TableContents"/>
              <w:bidi w:val="0"/>
              <w:spacing w:before="0" w:after="283"/>
              <w:jc w:val="right"/>
              <w:rPr/>
            </w:pPr>
            <w:r>
              <w:rPr/>
              <w:t>175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183</w:t>
            </w:r>
          </w:p>
        </w:tc>
        <w:tc>
          <w:tcPr>
            <w:tcW w:w="110" w:type="dxa"/>
            <w:tcBorders/>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left"/>
              <w:rPr/>
            </w:pPr>
            <w:r>
              <w:rPr/>
              <w:t>Furniture and fixtures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right"/>
              <w:rPr/>
            </w:pPr>
            <w:r>
              <w:rPr/>
              <w:t>113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116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tcMar>
              <w:bottom w:w="0" w:type="dxa"/>
            </w:tcMar>
            <w:vAlign w:val="center"/>
          </w:tcPr>
          <w:p>
            <w:pPr>
              <w:pStyle w:val="TableContents"/>
              <w:bidi w:val="0"/>
              <w:spacing w:before="0" w:after="283"/>
              <w:jc w:val="left"/>
              <w:rPr/>
            </w:pPr>
            <w:r>
              <w:rPr/>
              <w:t>Trade show assets</w:t>
            </w:r>
          </w:p>
        </w:tc>
        <w:tc>
          <w:tcPr>
            <w:tcW w:w="60" w:type="dxa"/>
            <w:tcBorders/>
            <w:tcMar>
              <w:bottom w:w="0" w:type="dxa"/>
            </w:tcMar>
            <w:vAlign w:val="center"/>
          </w:tcPr>
          <w:p>
            <w:pPr>
              <w:pStyle w:val="TableContents"/>
              <w:bidi w:val="0"/>
              <w:spacing w:before="0" w:after="283"/>
              <w:jc w:val="left"/>
              <w:rPr/>
            </w:pPr>
            <w:r>
              <w:rPr/>
              <w:t> </w:t>
            </w:r>
          </w:p>
        </w:tc>
        <w:tc>
          <w:tcPr>
            <w:tcW w:w="276" w:type="dxa"/>
            <w:tcBorders/>
            <w:tcMar>
              <w:bottom w:w="0" w:type="dxa"/>
            </w:tcMar>
            <w:vAlign w:val="center"/>
          </w:tcPr>
          <w:p>
            <w:pPr>
              <w:pStyle w:val="TableContents"/>
              <w:bidi w:val="0"/>
              <w:spacing w:before="0" w:after="283"/>
              <w:jc w:val="left"/>
              <w:rPr/>
            </w:pPr>
            <w:r>
              <w:rPr/>
              <w:t> </w:t>
            </w:r>
          </w:p>
        </w:tc>
        <w:tc>
          <w:tcPr>
            <w:tcW w:w="1258" w:type="dxa"/>
            <w:tcBorders/>
            <w:tcMar>
              <w:bottom w:w="0" w:type="dxa"/>
            </w:tcMar>
            <w:vAlign w:val="center"/>
          </w:tcPr>
          <w:p>
            <w:pPr>
              <w:pStyle w:val="TableContents"/>
              <w:bidi w:val="0"/>
              <w:spacing w:before="0" w:after="283"/>
              <w:jc w:val="right"/>
              <w:rPr/>
            </w:pPr>
            <w:r>
              <w:rPr/>
              <w:t>59</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78</w:t>
            </w:r>
          </w:p>
        </w:tc>
        <w:tc>
          <w:tcPr>
            <w:tcW w:w="110" w:type="dxa"/>
            <w:tcBorders/>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left"/>
              <w:rPr/>
            </w:pPr>
            <w:r>
              <w:rPr/>
              <w:t>Vehicles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bottom w:val="single" w:sz="12" w:space="0" w:color="000000"/>
            </w:tcBorders>
            <w:shd w:fill="CCEEFF" w:val="clear"/>
            <w:vAlign w:val="center"/>
          </w:tcPr>
          <w:p>
            <w:pPr>
              <w:pStyle w:val="TableContents"/>
              <w:bidi w:val="0"/>
              <w:spacing w:before="0" w:after="283"/>
              <w:jc w:val="left"/>
              <w:rPr/>
            </w:pPr>
            <w:r>
              <w:rPr/>
              <w:t> </w:t>
            </w:r>
          </w:p>
        </w:tc>
        <w:tc>
          <w:tcPr>
            <w:tcW w:w="1258" w:type="dxa"/>
            <w:tcBorders>
              <w:bottom w:val="single" w:sz="12" w:space="0" w:color="000000"/>
            </w:tcBorders>
            <w:shd w:fill="CCEEFF" w:val="clear"/>
            <w:vAlign w:val="center"/>
          </w:tcPr>
          <w:p>
            <w:pPr>
              <w:pStyle w:val="TableContents"/>
              <w:bidi w:val="0"/>
              <w:spacing w:before="0" w:after="283"/>
              <w:jc w:val="right"/>
              <w:rPr/>
            </w:pPr>
            <w:r>
              <w:rPr/>
              <w:t>43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bottom w:val="single" w:sz="12" w:space="0" w:color="000000"/>
            </w:tcBorders>
            <w:shd w:fill="CCEEFF" w:val="clear"/>
            <w:vAlign w:val="center"/>
          </w:tcPr>
          <w:p>
            <w:pPr>
              <w:pStyle w:val="TableContents"/>
              <w:bidi w:val="0"/>
              <w:spacing w:before="0" w:after="283"/>
              <w:jc w:val="left"/>
              <w:rPr/>
            </w:pPr>
            <w:r>
              <w:rPr/>
              <w:t> </w:t>
            </w:r>
          </w:p>
        </w:tc>
        <w:tc>
          <w:tcPr>
            <w:tcW w:w="1160" w:type="dxa"/>
            <w:tcBorders>
              <w:bottom w:val="single" w:sz="12" w:space="0" w:color="000000"/>
            </w:tcBorders>
            <w:shd w:fill="CCEEFF" w:val="clear"/>
            <w:vAlign w:val="center"/>
          </w:tcPr>
          <w:p>
            <w:pPr>
              <w:pStyle w:val="TableContents"/>
              <w:bidi w:val="0"/>
              <w:spacing w:before="0" w:after="283"/>
              <w:jc w:val="right"/>
              <w:rPr/>
            </w:pPr>
            <w:r>
              <w:rPr/>
              <w:t>43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tcMar>
              <w:bottom w:w="0" w:type="dxa"/>
            </w:tcMar>
            <w:vAlign w:val="center"/>
          </w:tcPr>
          <w:p>
            <w:pPr>
              <w:pStyle w:val="TableContents"/>
              <w:bidi w:val="0"/>
              <w:spacing w:before="0" w:after="283"/>
              <w:jc w:val="left"/>
              <w:rPr/>
            </w:pPr>
            <w:r>
              <w:rPr/>
              <w:t>Total property and equipment, gross</w:t>
            </w:r>
          </w:p>
        </w:tc>
        <w:tc>
          <w:tcPr>
            <w:tcW w:w="60" w:type="dxa"/>
            <w:tcBorders/>
            <w:tcMar>
              <w:bottom w:w="0" w:type="dxa"/>
            </w:tcMar>
            <w:vAlign w:val="center"/>
          </w:tcPr>
          <w:p>
            <w:pPr>
              <w:pStyle w:val="TableContents"/>
              <w:bidi w:val="0"/>
              <w:spacing w:before="0" w:after="283"/>
              <w:jc w:val="left"/>
              <w:rPr/>
            </w:pPr>
            <w:r>
              <w:rPr/>
              <w:t> </w:t>
            </w:r>
          </w:p>
        </w:tc>
        <w:tc>
          <w:tcPr>
            <w:tcW w:w="276" w:type="dxa"/>
            <w:tcBorders>
              <w:bottom w:val="single" w:sz="12" w:space="0" w:color="000000"/>
            </w:tcBorders>
            <w:vAlign w:val="center"/>
          </w:tcPr>
          <w:p>
            <w:pPr>
              <w:pStyle w:val="TableContents"/>
              <w:bidi w:val="0"/>
              <w:spacing w:before="0" w:after="283"/>
              <w:jc w:val="left"/>
              <w:rPr/>
            </w:pPr>
            <w:r>
              <w:rPr/>
              <w:t> </w:t>
            </w:r>
          </w:p>
        </w:tc>
        <w:tc>
          <w:tcPr>
            <w:tcW w:w="1258" w:type="dxa"/>
            <w:tcBorders>
              <w:bottom w:val="single" w:sz="12" w:space="0" w:color="000000"/>
            </w:tcBorders>
            <w:vAlign w:val="center"/>
          </w:tcPr>
          <w:p>
            <w:pPr>
              <w:pStyle w:val="TableContents"/>
              <w:bidi w:val="0"/>
              <w:spacing w:before="0" w:after="283"/>
              <w:jc w:val="right"/>
              <w:rPr/>
            </w:pPr>
            <w:r>
              <w:rPr/>
              <w:t>7,082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 w:type="dxa"/>
            <w:tcBorders>
              <w:bottom w:val="single" w:sz="12" w:space="0" w:color="000000"/>
            </w:tcBorders>
            <w:vAlign w:val="center"/>
          </w:tcPr>
          <w:p>
            <w:pPr>
              <w:pStyle w:val="TableContents"/>
              <w:bidi w:val="0"/>
              <w:spacing w:before="0" w:after="283"/>
              <w:jc w:val="left"/>
              <w:rPr/>
            </w:pPr>
            <w:r>
              <w:rPr/>
              <w:t> </w:t>
            </w:r>
          </w:p>
        </w:tc>
        <w:tc>
          <w:tcPr>
            <w:tcW w:w="1160" w:type="dxa"/>
            <w:tcBorders>
              <w:bottom w:val="single" w:sz="12" w:space="0" w:color="000000"/>
            </w:tcBorders>
            <w:vAlign w:val="center"/>
          </w:tcPr>
          <w:p>
            <w:pPr>
              <w:pStyle w:val="TableContents"/>
              <w:bidi w:val="0"/>
              <w:spacing w:before="0" w:after="283"/>
              <w:jc w:val="right"/>
              <w:rPr/>
            </w:pPr>
            <w:r>
              <w:rPr/>
              <w:t>7,685</w:t>
            </w:r>
          </w:p>
        </w:tc>
        <w:tc>
          <w:tcPr>
            <w:tcW w:w="110" w:type="dxa"/>
            <w:tcBorders/>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left"/>
              <w:rPr/>
            </w:pPr>
            <w:r>
              <w:rPr/>
              <w:t>Accumulated depreciation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bottom w:val="single" w:sz="12" w:space="0" w:color="000000"/>
            </w:tcBorders>
            <w:shd w:fill="CCEEFF" w:val="clear"/>
            <w:vAlign w:val="center"/>
          </w:tcPr>
          <w:p>
            <w:pPr>
              <w:pStyle w:val="TableContents"/>
              <w:bidi w:val="0"/>
              <w:spacing w:before="0" w:after="283"/>
              <w:jc w:val="left"/>
              <w:rPr/>
            </w:pPr>
            <w:r>
              <w:rPr/>
              <w:t> </w:t>
            </w:r>
          </w:p>
        </w:tc>
        <w:tc>
          <w:tcPr>
            <w:tcW w:w="1258" w:type="dxa"/>
            <w:tcBorders>
              <w:bottom w:val="single" w:sz="12" w:space="0" w:color="000000"/>
            </w:tcBorders>
            <w:shd w:fill="CCEEFF" w:val="clear"/>
            <w:vAlign w:val="center"/>
          </w:tcPr>
          <w:p>
            <w:pPr>
              <w:pStyle w:val="TableContents"/>
              <w:bidi w:val="0"/>
              <w:spacing w:before="0" w:after="283"/>
              <w:jc w:val="right"/>
              <w:rPr/>
            </w:pPr>
            <w:r>
              <w:rPr/>
              <w:t>(3,413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bottom w:val="single" w:sz="12" w:space="0" w:color="000000"/>
            </w:tcBorders>
            <w:shd w:fill="CCEEFF" w:val="clear"/>
            <w:vAlign w:val="center"/>
          </w:tcPr>
          <w:p>
            <w:pPr>
              <w:pStyle w:val="TableContents"/>
              <w:bidi w:val="0"/>
              <w:spacing w:before="0" w:after="283"/>
              <w:jc w:val="left"/>
              <w:rPr/>
            </w:pPr>
            <w:r>
              <w:rPr/>
              <w:t> </w:t>
            </w:r>
          </w:p>
        </w:tc>
        <w:tc>
          <w:tcPr>
            <w:tcW w:w="1160" w:type="dxa"/>
            <w:tcBorders>
              <w:bottom w:val="single" w:sz="12" w:space="0" w:color="000000"/>
            </w:tcBorders>
            <w:shd w:fill="CCEEFF" w:val="clear"/>
            <w:vAlign w:val="center"/>
          </w:tcPr>
          <w:p>
            <w:pPr>
              <w:pStyle w:val="TableContents"/>
              <w:bidi w:val="0"/>
              <w:spacing w:before="0" w:after="283"/>
              <w:jc w:val="right"/>
              <w:rPr/>
            </w:pPr>
            <w:r>
              <w:rPr/>
              <w:t>(2,894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655" w:type="dxa"/>
            <w:tcBorders/>
            <w:tcMar>
              <w:bottom w:w="0" w:type="dxa"/>
            </w:tcMar>
            <w:vAlign w:val="center"/>
          </w:tcPr>
          <w:p>
            <w:pPr>
              <w:pStyle w:val="TableContents"/>
              <w:bidi w:val="0"/>
              <w:spacing w:before="0" w:after="283"/>
              <w:jc w:val="left"/>
              <w:rPr/>
            </w:pPr>
            <w:r>
              <w:rPr/>
              <w:t>Construction in progress</w:t>
            </w:r>
          </w:p>
        </w:tc>
        <w:tc>
          <w:tcPr>
            <w:tcW w:w="60" w:type="dxa"/>
            <w:tcBorders/>
            <w:tcMar>
              <w:bottom w:w="0" w:type="dxa"/>
            </w:tcMar>
            <w:vAlign w:val="center"/>
          </w:tcPr>
          <w:p>
            <w:pPr>
              <w:pStyle w:val="TableContents"/>
              <w:bidi w:val="0"/>
              <w:spacing w:before="0" w:after="283"/>
              <w:jc w:val="left"/>
              <w:rPr/>
            </w:pPr>
            <w:r>
              <w:rPr/>
              <w:t> </w:t>
            </w:r>
          </w:p>
        </w:tc>
        <w:tc>
          <w:tcPr>
            <w:tcW w:w="276" w:type="dxa"/>
            <w:tcBorders>
              <w:bottom w:val="single" w:sz="12" w:space="0" w:color="000000"/>
            </w:tcBorders>
            <w:vAlign w:val="center"/>
          </w:tcPr>
          <w:p>
            <w:pPr>
              <w:pStyle w:val="TableContents"/>
              <w:bidi w:val="0"/>
              <w:spacing w:before="0" w:after="283"/>
              <w:jc w:val="left"/>
              <w:rPr/>
            </w:pPr>
            <w:r>
              <w:rPr/>
              <w:t> </w:t>
            </w:r>
          </w:p>
        </w:tc>
        <w:tc>
          <w:tcPr>
            <w:tcW w:w="1258" w:type="dxa"/>
            <w:tcBorders>
              <w:bottom w:val="single" w:sz="12" w:space="0" w:color="000000"/>
            </w:tcBorders>
            <w:vAlign w:val="center"/>
          </w:tcPr>
          <w:p>
            <w:pPr>
              <w:pStyle w:val="TableContents"/>
              <w:bidi w:val="0"/>
              <w:spacing w:before="0" w:after="283"/>
              <w:jc w:val="right"/>
              <w:rPr/>
            </w:pPr>
            <w:r>
              <w:rPr/>
              <w:t>2,927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 w:type="dxa"/>
            <w:tcBorders>
              <w:bottom w:val="single" w:sz="12" w:space="0" w:color="000000"/>
            </w:tcBorders>
            <w:vAlign w:val="center"/>
          </w:tcPr>
          <w:p>
            <w:pPr>
              <w:pStyle w:val="TableContents"/>
              <w:bidi w:val="0"/>
              <w:spacing w:before="0" w:after="283"/>
              <w:jc w:val="left"/>
              <w:rPr/>
            </w:pPr>
            <w:r>
              <w:rPr/>
              <w:t> </w:t>
            </w:r>
          </w:p>
        </w:tc>
        <w:tc>
          <w:tcPr>
            <w:tcW w:w="1160" w:type="dxa"/>
            <w:tcBorders>
              <w:bottom w:val="single" w:sz="12" w:space="0" w:color="000000"/>
            </w:tcBorders>
            <w:vAlign w:val="center"/>
          </w:tcPr>
          <w:p>
            <w:pPr>
              <w:pStyle w:val="TableContents"/>
              <w:bidi w:val="0"/>
              <w:spacing w:before="0" w:after="283"/>
              <w:jc w:val="right"/>
              <w:rPr/>
            </w:pPr>
            <w:r>
              <w:rPr/>
              <w:t>2,943</w:t>
            </w:r>
          </w:p>
        </w:tc>
        <w:tc>
          <w:tcPr>
            <w:tcW w:w="110" w:type="dxa"/>
            <w:tcBorders/>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283"/>
              <w:jc w:val="left"/>
              <w:rPr/>
            </w:pPr>
            <w:r>
              <w:rPr/>
              <w:t>Total property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bottom w:val="double" w:sz="10" w:space="0" w:color="000000"/>
            </w:tcBorders>
            <w:shd w:fill="CCEEFF" w:val="clear"/>
            <w:vAlign w:val="center"/>
          </w:tcPr>
          <w:p>
            <w:pPr>
              <w:pStyle w:val="TableContents"/>
              <w:bidi w:val="0"/>
              <w:spacing w:before="0" w:after="283"/>
              <w:jc w:val="left"/>
              <w:rPr/>
            </w:pPr>
            <w:r>
              <w:rPr/>
              <w:t>$</w:t>
            </w:r>
          </w:p>
        </w:tc>
        <w:tc>
          <w:tcPr>
            <w:tcW w:w="1258" w:type="dxa"/>
            <w:tcBorders>
              <w:bottom w:val="double" w:sz="10" w:space="0" w:color="000000"/>
            </w:tcBorders>
            <w:shd w:fill="CCEEFF" w:val="clear"/>
            <w:vAlign w:val="center"/>
          </w:tcPr>
          <w:p>
            <w:pPr>
              <w:pStyle w:val="TableContents"/>
              <w:bidi w:val="0"/>
              <w:spacing w:before="0" w:after="283"/>
              <w:jc w:val="right"/>
              <w:rPr/>
            </w:pPr>
            <w:r>
              <w:rPr/>
              <w:t>6,596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bottom w:val="double" w:sz="10" w:space="0" w:color="000000"/>
            </w:tcBorders>
            <w:shd w:fill="CCEEFF" w:val="clear"/>
            <w:vAlign w:val="center"/>
          </w:tcPr>
          <w:p>
            <w:pPr>
              <w:pStyle w:val="TableContents"/>
              <w:bidi w:val="0"/>
              <w:spacing w:before="0" w:after="283"/>
              <w:jc w:val="left"/>
              <w:rPr/>
            </w:pPr>
            <w:r>
              <w:rPr/>
              <w:t>$</w:t>
            </w:r>
          </w:p>
        </w:tc>
        <w:tc>
          <w:tcPr>
            <w:tcW w:w="1160" w:type="dxa"/>
            <w:tcBorders>
              <w:bottom w:val="double" w:sz="10" w:space="0" w:color="000000"/>
            </w:tcBorders>
            <w:shd w:fill="CCEEFF" w:val="clear"/>
            <w:vAlign w:val="center"/>
          </w:tcPr>
          <w:p>
            <w:pPr>
              <w:pStyle w:val="TableContents"/>
              <w:bidi w:val="0"/>
              <w:spacing w:before="0" w:after="283"/>
              <w:jc w:val="right"/>
              <w:rPr/>
            </w:pPr>
            <w:r>
              <w:rPr/>
              <w:t>7,734</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September 30, 2024 and 2023 was $0.3 million and $0.5 million, respectively, and $1.1 and $1.5 million for the nine months ended September 30, 2024 and 2023, respectively. Depreciation expense is recorded within general and administrative, selling and marketing, and research and development depending on the nature of the related 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in Progress (“CIP”) includes all direct and indirect costs related to the construction, development, or acquisition of tangible property and equipment that is not yet ready for use. All costs incurred during the construction phase are accumulated in the CIP account. Costs remain in the CIP account until the asset is substantially complete and ready for its intended use. Once the asset is ready for use, the total accumulated costs are transferred from the CIP account to the appropriate property and equipment account. The asset is then depreciated over its estimated useful life from the date it is placed into service. CIP is reviewed regularly to ensure that all costs are accurate and that the project is progressing as planned. Any indication of impairment is assessed, and if the carrying amount exceeds the recoverable amount, an impairment loss is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2024, the Company sold property and equipment with a cost basis of $1,000 in exchange for proceeds of $10,000, resulting in a gain of $9,000. During the three and nine months ended September 30, 2024, the Company disposed certain property and equipment for a loss of $26,000, including $16,000 of research and development laboratory equipment recorded as research and development expense on the statements of operations. During the three and nine months ended September 30, 2024, the Company retired certain fully depreciated property and equipment which had an original cost of $23,000 and $544,000,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sold property and equipment in exchange for proceeds of $105,000, resulting in a gain of $144,000. During the year ended December 31, 2023, the Company retired certain fully depreciated property and equipment which had an original cost of $444,000.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Non-Current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consists only of security deposits as of September 30, 2024 and December 31,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as of September 30, 2024 and December 31, 2023:</w:t>
      </w:r>
    </w:p>
    <w:p>
      <w:pPr>
        <w:pStyle w:val="TextBody"/>
        <w:bidi w:val="0"/>
        <w:spacing w:before="0" w:after="0"/>
        <w:ind w:left="0" w:right="0" w:firstLine="360"/>
        <w:jc w:val="left"/>
        <w:rPr>
          <w:caps w:val="false"/>
          <w:smallCaps w:val="false"/>
        </w:rPr>
      </w:pPr>
      <w:r>
        <w:rPr>
          <w:caps w:val="false"/>
          <w:smallCaps w:val="false"/>
        </w:rPr>
        <w:t> </w:t>
      </w:r>
    </w:p>
    <w:tbl>
      <w:tblPr>
        <w:tblW w:w="7950" w:type="dxa"/>
        <w:jc w:val="left"/>
        <w:tblInd w:w="0" w:type="dxa"/>
        <w:tblLayout w:type="fixed"/>
        <w:tblCellMar>
          <w:top w:w="0" w:type="dxa"/>
          <w:left w:w="0" w:type="dxa"/>
          <w:bottom w:w="28" w:type="dxa"/>
          <w:right w:w="0" w:type="dxa"/>
        </w:tblCellMar>
      </w:tblPr>
      <w:tblGrid>
        <w:gridCol w:w="4805"/>
        <w:gridCol w:w="60"/>
        <w:gridCol w:w="295"/>
        <w:gridCol w:w="1180"/>
        <w:gridCol w:w="60"/>
        <w:gridCol w:w="60"/>
        <w:gridCol w:w="241"/>
        <w:gridCol w:w="1174"/>
        <w:gridCol w:w="75"/>
      </w:tblGrid>
      <w:tr>
        <w:trPr/>
        <w:tc>
          <w:tcPr>
            <w:tcW w:w="480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12" w:space="0" w:color="000000"/>
            </w:tcBorders>
            <w:vAlign w:val="center"/>
          </w:tcPr>
          <w:p>
            <w:pPr>
              <w:pStyle w:val="TableContents"/>
              <w:bidi w:val="0"/>
              <w:spacing w:before="0" w:after="283"/>
              <w:jc w:val="center"/>
              <w:rPr>
                <w:b/>
              </w:rPr>
            </w:pPr>
            <w:r>
              <w:rPr>
                <w:b/>
              </w:rPr>
              <w:t>September 30,</w:t>
              <w:b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2023</w:t>
            </w:r>
          </w:p>
        </w:tc>
        <w:tc>
          <w:tcPr>
            <w:tcW w:w="75" w:type="dxa"/>
            <w:tcBorders/>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283"/>
              <w:jc w:val="left"/>
              <w:rPr/>
            </w:pPr>
            <w:r>
              <w:rPr/>
              <w:t>Sales tax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1180" w:type="dxa"/>
            <w:tcBorders/>
            <w:shd w:fill="CCEEFF" w:val="clear"/>
            <w:tcMar>
              <w:bottom w:w="0" w:type="dxa"/>
            </w:tcMar>
            <w:vAlign w:val="center"/>
          </w:tcPr>
          <w:p>
            <w:pPr>
              <w:pStyle w:val="TableContents"/>
              <w:bidi w:val="0"/>
              <w:spacing w:before="0" w:after="283"/>
              <w:jc w:val="right"/>
              <w:rPr/>
            </w:pPr>
            <w:r>
              <w:rPr/>
              <w:t>4,822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w:t>
            </w:r>
          </w:p>
        </w:tc>
        <w:tc>
          <w:tcPr>
            <w:tcW w:w="1174" w:type="dxa"/>
            <w:tcBorders/>
            <w:shd w:fill="CCEEFF" w:val="clear"/>
            <w:tcMar>
              <w:bottom w:w="0" w:type="dxa"/>
            </w:tcMar>
            <w:vAlign w:val="center"/>
          </w:tcPr>
          <w:p>
            <w:pPr>
              <w:pStyle w:val="TableContents"/>
              <w:bidi w:val="0"/>
              <w:spacing w:before="0" w:after="283"/>
              <w:jc w:val="right"/>
              <w:rPr/>
            </w:pPr>
            <w:r>
              <w:rPr/>
              <w:t>5,338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tcMar>
              <w:bottom w:w="0" w:type="dxa"/>
            </w:tcMar>
            <w:vAlign w:val="center"/>
          </w:tcPr>
          <w:p>
            <w:pPr>
              <w:pStyle w:val="TableContents"/>
              <w:bidi w:val="0"/>
              <w:spacing w:before="0" w:after="283"/>
              <w:jc w:val="left"/>
              <w:rPr/>
            </w:pPr>
            <w:r>
              <w:rPr/>
              <w:t>Accrued construction costs</w:t>
            </w:r>
          </w:p>
        </w:tc>
        <w:tc>
          <w:tcPr>
            <w:tcW w:w="6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right"/>
              <w:rPr/>
            </w:pPr>
            <w:r>
              <w:rPr/>
              <w:t>1,281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 w:type="dxa"/>
            <w:tcBorders/>
            <w:tcMar>
              <w:bottom w:w="0" w:type="dxa"/>
            </w:tcMar>
            <w:vAlign w:val="center"/>
          </w:tcPr>
          <w:p>
            <w:pPr>
              <w:pStyle w:val="TableContents"/>
              <w:bidi w:val="0"/>
              <w:spacing w:before="0" w:after="283"/>
              <w:jc w:val="left"/>
              <w:rPr/>
            </w:pPr>
            <w:r>
              <w:rPr/>
              <w:t> </w:t>
            </w:r>
          </w:p>
        </w:tc>
        <w:tc>
          <w:tcPr>
            <w:tcW w:w="1174" w:type="dxa"/>
            <w:tcBorders/>
            <w:tcMar>
              <w:bottom w:w="0" w:type="dxa"/>
            </w:tcMar>
            <w:vAlign w:val="center"/>
          </w:tcPr>
          <w:p>
            <w:pPr>
              <w:pStyle w:val="TableContents"/>
              <w:bidi w:val="0"/>
              <w:spacing w:before="0" w:after="283"/>
              <w:jc w:val="right"/>
              <w:rPr/>
            </w:pPr>
            <w:r>
              <w:rPr/>
              <w:t>1,412</w:t>
            </w:r>
          </w:p>
        </w:tc>
        <w:tc>
          <w:tcPr>
            <w:tcW w:w="75" w:type="dxa"/>
            <w:tcBorders/>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283"/>
              <w:jc w:val="left"/>
              <w:rPr/>
            </w:pPr>
            <w:r>
              <w:rPr/>
              <w:t>Accrued professional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362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457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tcMar>
              <w:bottom w:w="0" w:type="dxa"/>
            </w:tcMar>
            <w:vAlign w:val="center"/>
          </w:tcPr>
          <w:p>
            <w:pPr>
              <w:pStyle w:val="TableContents"/>
              <w:bidi w:val="0"/>
              <w:spacing w:before="0" w:after="283"/>
              <w:jc w:val="left"/>
              <w:rPr/>
            </w:pPr>
            <w:r>
              <w:rPr/>
              <w:t>Compensation related fees</w:t>
            </w:r>
          </w:p>
        </w:tc>
        <w:tc>
          <w:tcPr>
            <w:tcW w:w="6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right"/>
              <w:rPr/>
            </w:pPr>
            <w:r>
              <w:rPr/>
              <w:t>369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 w:type="dxa"/>
            <w:tcBorders/>
            <w:tcMar>
              <w:bottom w:w="0" w:type="dxa"/>
            </w:tcMar>
            <w:vAlign w:val="center"/>
          </w:tcPr>
          <w:p>
            <w:pPr>
              <w:pStyle w:val="TableContents"/>
              <w:bidi w:val="0"/>
              <w:spacing w:before="0" w:after="283"/>
              <w:jc w:val="left"/>
              <w:rPr/>
            </w:pPr>
            <w:r>
              <w:rPr/>
              <w:t> </w:t>
            </w:r>
          </w:p>
        </w:tc>
        <w:tc>
          <w:tcPr>
            <w:tcW w:w="1174" w:type="dxa"/>
            <w:tcBorders/>
            <w:tcMar>
              <w:bottom w:w="0" w:type="dxa"/>
            </w:tcMar>
            <w:vAlign w:val="center"/>
          </w:tcPr>
          <w:p>
            <w:pPr>
              <w:pStyle w:val="TableContents"/>
              <w:bidi w:val="0"/>
              <w:spacing w:before="0" w:after="283"/>
              <w:jc w:val="right"/>
              <w:rPr/>
            </w:pPr>
            <w:r>
              <w:rPr/>
              <w:t>474</w:t>
            </w:r>
          </w:p>
        </w:tc>
        <w:tc>
          <w:tcPr>
            <w:tcW w:w="75" w:type="dxa"/>
            <w:tcBorders/>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283"/>
              <w:jc w:val="left"/>
              <w:rPr/>
            </w:pPr>
            <w:r>
              <w:rPr/>
              <w:t>Stock subscription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345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tcMar>
              <w:bottom w:w="0" w:type="dxa"/>
            </w:tcMar>
            <w:vAlign w:val="center"/>
          </w:tcPr>
          <w:p>
            <w:pPr>
              <w:pStyle w:val="TableContents"/>
              <w:bidi w:val="0"/>
              <w:spacing w:before="0" w:after="283"/>
              <w:jc w:val="left"/>
              <w:rPr/>
            </w:pPr>
            <w:r>
              <w:rPr/>
              <w:t>Accrued warranty expenses</w:t>
            </w:r>
          </w:p>
        </w:tc>
        <w:tc>
          <w:tcPr>
            <w:tcW w:w="6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right"/>
              <w:rPr/>
            </w:pPr>
            <w:r>
              <w:rPr/>
              <w:t>247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 w:type="dxa"/>
            <w:tcBorders/>
            <w:tcMar>
              <w:bottom w:w="0" w:type="dxa"/>
            </w:tcMar>
            <w:vAlign w:val="center"/>
          </w:tcPr>
          <w:p>
            <w:pPr>
              <w:pStyle w:val="TableContents"/>
              <w:bidi w:val="0"/>
              <w:spacing w:before="0" w:after="283"/>
              <w:jc w:val="left"/>
              <w:rPr/>
            </w:pPr>
            <w:r>
              <w:rPr/>
              <w:t> </w:t>
            </w:r>
          </w:p>
        </w:tc>
        <w:tc>
          <w:tcPr>
            <w:tcW w:w="1174" w:type="dxa"/>
            <w:tcBorders/>
            <w:tcMar>
              <w:bottom w:w="0" w:type="dxa"/>
            </w:tcMar>
            <w:vAlign w:val="center"/>
          </w:tcPr>
          <w:p>
            <w:pPr>
              <w:pStyle w:val="TableContents"/>
              <w:bidi w:val="0"/>
              <w:spacing w:before="0" w:after="283"/>
              <w:jc w:val="right"/>
              <w:rPr/>
            </w:pPr>
            <w:r>
              <w:rPr/>
              <w:t>420</w:t>
            </w:r>
          </w:p>
        </w:tc>
        <w:tc>
          <w:tcPr>
            <w:tcW w:w="75" w:type="dxa"/>
            <w:tcBorders/>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283"/>
              <w:jc w:val="left"/>
              <w:rPr/>
            </w:pPr>
            <w:r>
              <w:rPr/>
              <w:t>Accrued 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321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tcMar>
              <w:bottom w:w="0" w:type="dxa"/>
            </w:tcMar>
            <w:vAlign w:val="center"/>
          </w:tcPr>
          <w:p>
            <w:pPr>
              <w:pStyle w:val="TableContents"/>
              <w:bidi w:val="0"/>
              <w:spacing w:before="0" w:after="283"/>
              <w:jc w:val="left"/>
              <w:rPr/>
            </w:pPr>
            <w:r>
              <w:rPr/>
              <w:t>Accrued consulting fees</w:t>
            </w:r>
          </w:p>
        </w:tc>
        <w:tc>
          <w:tcPr>
            <w:tcW w:w="6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right"/>
              <w:rPr/>
            </w:pPr>
            <w:r>
              <w:rPr/>
              <w:t>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 w:type="dxa"/>
            <w:tcBorders/>
            <w:tcMar>
              <w:bottom w:w="0" w:type="dxa"/>
            </w:tcMar>
            <w:vAlign w:val="center"/>
          </w:tcPr>
          <w:p>
            <w:pPr>
              <w:pStyle w:val="TableContents"/>
              <w:bidi w:val="0"/>
              <w:spacing w:before="0" w:after="283"/>
              <w:jc w:val="left"/>
              <w:rPr/>
            </w:pPr>
            <w:r>
              <w:rPr/>
              <w:t> </w:t>
            </w:r>
          </w:p>
        </w:tc>
        <w:tc>
          <w:tcPr>
            <w:tcW w:w="1174" w:type="dxa"/>
            <w:tcBorders/>
            <w:tcMar>
              <w:bottom w:w="0" w:type="dxa"/>
            </w:tcMar>
            <w:vAlign w:val="center"/>
          </w:tcPr>
          <w:p>
            <w:pPr>
              <w:pStyle w:val="TableContents"/>
              <w:bidi w:val="0"/>
              <w:spacing w:before="0" w:after="283"/>
              <w:jc w:val="right"/>
              <w:rPr/>
            </w:pPr>
            <w:r>
              <w:rPr/>
              <w:t>43</w:t>
            </w:r>
          </w:p>
        </w:tc>
        <w:tc>
          <w:tcPr>
            <w:tcW w:w="75" w:type="dxa"/>
            <w:tcBorders/>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283"/>
              <w:jc w:val="left"/>
              <w:rPr/>
            </w:pPr>
            <w:r>
              <w:rPr/>
              <w:t>Accrued inventory purchases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tcMar>
              <w:bottom w:w="0" w:type="dxa"/>
            </w:tcMar>
            <w:vAlign w:val="center"/>
          </w:tcPr>
          <w:p>
            <w:pPr>
              <w:pStyle w:val="TableContents"/>
              <w:bidi w:val="0"/>
              <w:spacing w:before="0" w:after="283"/>
              <w:jc w:val="left"/>
              <w:rPr/>
            </w:pPr>
            <w:r>
              <w:rPr/>
              <w:t>Accrued acquisition liabilities</w:t>
            </w:r>
          </w:p>
        </w:tc>
        <w:tc>
          <w:tcPr>
            <w:tcW w:w="60" w:type="dxa"/>
            <w:tcBorders/>
            <w:tcMar>
              <w:bottom w:w="0" w:type="dxa"/>
            </w:tcMar>
            <w:vAlign w:val="center"/>
          </w:tcPr>
          <w:p>
            <w:pPr>
              <w:pStyle w:val="TableContents"/>
              <w:bidi w:val="0"/>
              <w:spacing w:before="0" w:after="283"/>
              <w:jc w:val="left"/>
              <w:rPr/>
            </w:pPr>
            <w:r>
              <w:rPr/>
              <w:t> </w:t>
            </w:r>
          </w:p>
        </w:tc>
        <w:tc>
          <w:tcPr>
            <w:tcW w:w="295" w:type="dxa"/>
            <w:tcBorders>
              <w:bottom w:val="single" w:sz="12" w:space="0" w:color="000000"/>
            </w:tcBorders>
            <w:vAlign w:val="center"/>
          </w:tcPr>
          <w:p>
            <w:pPr>
              <w:pStyle w:val="TableContents"/>
              <w:bidi w:val="0"/>
              <w:spacing w:before="0" w:after="283"/>
              <w:jc w:val="left"/>
              <w:rPr/>
            </w:pPr>
            <w:r>
              <w:rPr/>
              <w:t> </w:t>
            </w:r>
          </w:p>
        </w:tc>
        <w:tc>
          <w:tcPr>
            <w:tcW w:w="1180" w:type="dxa"/>
            <w:tcBorders>
              <w:bottom w:val="single" w:sz="12" w:space="0" w:color="000000"/>
            </w:tcBorders>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 w:type="dxa"/>
            <w:tcBorders>
              <w:bottom w:val="single" w:sz="12" w:space="0" w:color="000000"/>
            </w:tcBorders>
            <w:vAlign w:val="center"/>
          </w:tcPr>
          <w:p>
            <w:pPr>
              <w:pStyle w:val="TableContents"/>
              <w:bidi w:val="0"/>
              <w:spacing w:before="0" w:after="283"/>
              <w:jc w:val="left"/>
              <w:rPr/>
            </w:pPr>
            <w:r>
              <w:rPr/>
              <w:t> </w:t>
            </w:r>
          </w:p>
        </w:tc>
        <w:tc>
          <w:tcPr>
            <w:tcW w:w="1174" w:type="dxa"/>
            <w:tcBorders>
              <w:bottom w:val="single" w:sz="12" w:space="0" w:color="000000"/>
            </w:tcBorders>
            <w:vAlign w:val="center"/>
          </w:tcPr>
          <w:p>
            <w:pPr>
              <w:pStyle w:val="TableContents"/>
              <w:bidi w:val="0"/>
              <w:spacing w:before="0" w:after="283"/>
              <w:jc w:val="right"/>
              <w:rPr/>
            </w:pPr>
            <w:r>
              <w:rPr/>
              <w:t>2,180</w:t>
            </w:r>
          </w:p>
        </w:tc>
        <w:tc>
          <w:tcPr>
            <w:tcW w:w="75" w:type="dxa"/>
            <w:tcBorders/>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283"/>
              <w:jc w:val="left"/>
              <w:rPr/>
            </w:pPr>
            <w:r>
              <w:rPr/>
              <w:t>Total accrued expenses and 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bottom w:val="double" w:sz="10" w:space="0" w:color="000000"/>
            </w:tcBorders>
            <w:shd w:fill="CCEEFF" w:val="clear"/>
            <w:vAlign w:val="center"/>
          </w:tcPr>
          <w:p>
            <w:pPr>
              <w:pStyle w:val="TableContents"/>
              <w:bidi w:val="0"/>
              <w:spacing w:before="0" w:after="283"/>
              <w:jc w:val="left"/>
              <w:rPr/>
            </w:pPr>
            <w:r>
              <w:rPr/>
              <w:t>$</w:t>
            </w:r>
          </w:p>
        </w:tc>
        <w:tc>
          <w:tcPr>
            <w:tcW w:w="1180" w:type="dxa"/>
            <w:tcBorders>
              <w:bottom w:val="double" w:sz="10" w:space="0" w:color="000000"/>
            </w:tcBorders>
            <w:shd w:fill="CCEEFF" w:val="clear"/>
            <w:vAlign w:val="center"/>
          </w:tcPr>
          <w:p>
            <w:pPr>
              <w:pStyle w:val="TableContents"/>
              <w:bidi w:val="0"/>
              <w:spacing w:before="0" w:after="283"/>
              <w:jc w:val="right"/>
              <w:rPr/>
            </w:pPr>
            <w:r>
              <w:rPr/>
              <w:t>7,473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bottom w:val="double" w:sz="10" w:space="0" w:color="000000"/>
            </w:tcBorders>
            <w:shd w:fill="CCEEFF" w:val="clear"/>
            <w:vAlign w:val="center"/>
          </w:tcPr>
          <w:p>
            <w:pPr>
              <w:pStyle w:val="TableContents"/>
              <w:bidi w:val="0"/>
              <w:spacing w:before="0" w:after="283"/>
              <w:jc w:val="left"/>
              <w:rPr/>
            </w:pPr>
            <w:r>
              <w:rPr/>
              <w:t>$</w:t>
            </w:r>
          </w:p>
        </w:tc>
        <w:tc>
          <w:tcPr>
            <w:tcW w:w="1174" w:type="dxa"/>
            <w:tcBorders>
              <w:bottom w:val="double" w:sz="10" w:space="0" w:color="000000"/>
            </w:tcBorders>
            <w:shd w:fill="CCEEFF" w:val="clear"/>
            <w:vAlign w:val="center"/>
          </w:tcPr>
          <w:p>
            <w:pPr>
              <w:pStyle w:val="TableContents"/>
              <w:bidi w:val="0"/>
              <w:spacing w:before="0" w:after="283"/>
              <w:jc w:val="right"/>
              <w:rPr/>
            </w:pPr>
            <w:r>
              <w:rPr/>
              <w:t>10,655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tax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tax payable primarily represents identified sales and use tax liabilities arising from our 2021 acquisitions of Precision Extraction Newco, LLC (“Precision”) and Cascade Sciences, LLC (“Cascade”) from Sinclair Scientific, LLC (“Sinclair”). These amounts are included as part of our initial purchase price allocations and are the subject matter of an indemnification claim under the Precision and Cascade acquisition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Accrued acquisition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Resulting from the 2021 acquisitions of Precision and Cascade from Sinclair, the Company withheld from the transaction shares issuable to Precision and Cascade for the purpose of securing any post-closing adjustment owed to the Company and any claim for indemnification or payment of damages to which the Company may be entitled under the purchase agreement. The accrued acquisition liabilities as of December 31, 2023 represent the value of this held back Common Stock at the price per share at the time of the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2023, the Company and its wholly-owned subsidiary, Precision, filed an Amended Verified Complaint in the Court of Chancery of the State of Delaware against Sinclair and certain individual defendants (the “Delaware Action”). The claims filed in the Delaware Action concern various breaches of the plan of merger and equity purchase agreement dated September 29, 2021, by and between the Company, Sinclair, Mass2Media, LLC, and certain of their members (the “Merger Agreement”). In response to the Delaware Action, certain of the defendants filed counterclaims for breach of contract and declaratory judgment against the Company and Precision alleging breach of the Merger Agreement. Pursuant to a Settlement and Release Agreement, dated December 14, 2023, the Company and Sinclair dismissed all legal claims and entered into a settlement for an undisclosed amount. As a result of this settlement, the Company derecognized the accrued acquisition liability and issued the held back Common Stock in the first quarter of 2024 at Agrify’s price per share at the time of issuance. The difference between the value of the shares at issuance and the derecognized liabilities was recorded as a gain within change in contingent consideration within the Company’s condensed and consolidated statement of operations for the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Fair Value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Values of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Topic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for identical assets or liabilities in active markets.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Other inputs that are observable directly or indirectly, such as quoted prices for similar instruments in active markets or</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similar markets that are not active.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for which there is little or no market data which require the Company to develop its own</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about how market participants would price the asset or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2024 and December 31, 2023, the Company’s assets and liabilities measured at fair value on a recurring basis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0"/>
        <w:gridCol w:w="60"/>
        <w:gridCol w:w="293"/>
        <w:gridCol w:w="406"/>
        <w:gridCol w:w="90"/>
        <w:gridCol w:w="90"/>
        <w:gridCol w:w="293"/>
        <w:gridCol w:w="406"/>
        <w:gridCol w:w="90"/>
        <w:gridCol w:w="90"/>
        <w:gridCol w:w="241"/>
        <w:gridCol w:w="577"/>
        <w:gridCol w:w="90"/>
        <w:gridCol w:w="90"/>
        <w:gridCol w:w="233"/>
        <w:gridCol w:w="577"/>
        <w:gridCol w:w="60"/>
        <w:gridCol w:w="60"/>
        <w:gridCol w:w="257"/>
        <w:gridCol w:w="402"/>
        <w:gridCol w:w="82"/>
        <w:gridCol w:w="82"/>
        <w:gridCol w:w="257"/>
        <w:gridCol w:w="402"/>
        <w:gridCol w:w="82"/>
        <w:gridCol w:w="82"/>
        <w:gridCol w:w="193"/>
        <w:gridCol w:w="772"/>
        <w:gridCol w:w="82"/>
        <w:gridCol w:w="82"/>
        <w:gridCol w:w="193"/>
        <w:gridCol w:w="772"/>
        <w:gridCol w:w="89"/>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89"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Measurements Using Input Types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Measurements Using Input Types</w:t>
            </w:r>
          </w:p>
        </w:tc>
        <w:tc>
          <w:tcPr>
            <w:tcW w:w="89" w:type="dxa"/>
            <w:tcBorders/>
            <w:vAlign w:val="center"/>
          </w:tcPr>
          <w:p>
            <w:pPr>
              <w:pStyle w:val="TableContents"/>
              <w:bidi w:val="0"/>
              <w:spacing w:before="0" w:after="283"/>
              <w:jc w:val="left"/>
              <w:rPr/>
            </w:pPr>
            <w:r>
              <w:rPr/>
              <w:t> </w:t>
            </w:r>
          </w:p>
        </w:tc>
      </w:tr>
      <w:tr>
        <w:trPr/>
        <w:tc>
          <w:tcPr>
            <w:tcW w:w="2630"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6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6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9"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69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8"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9"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659"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06"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0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7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77"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02"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0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7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89"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Total assets</w:t>
            </w:r>
          </w:p>
        </w:tc>
        <w:tc>
          <w:tcPr>
            <w:tcW w:w="60" w:type="dxa"/>
            <w:tcBorders/>
            <w:vAlign w:val="center"/>
          </w:tcPr>
          <w:p>
            <w:pPr>
              <w:pStyle w:val="TableContents"/>
              <w:bidi w:val="0"/>
              <w:spacing w:before="0" w:after="283"/>
              <w:jc w:val="left"/>
              <w:rPr/>
            </w:pPr>
            <w:r>
              <w:rPr/>
              <w:t> </w:t>
            </w:r>
          </w:p>
        </w:tc>
        <w:tc>
          <w:tcPr>
            <w:tcW w:w="293" w:type="dxa"/>
            <w:tcBorders>
              <w:bottom w:val="double" w:sz="10" w:space="0" w:color="000000"/>
            </w:tcBorders>
            <w:tcMar>
              <w:bottom w:w="28" w:type="dxa"/>
            </w:tcMar>
            <w:vAlign w:val="center"/>
          </w:tcPr>
          <w:p>
            <w:pPr>
              <w:pStyle w:val="TableContents"/>
              <w:bidi w:val="0"/>
              <w:spacing w:before="0" w:after="283"/>
              <w:jc w:val="left"/>
              <w:rPr/>
            </w:pPr>
            <w:r>
              <w:rPr/>
              <w:t>$</w:t>
            </w:r>
          </w:p>
        </w:tc>
        <w:tc>
          <w:tcPr>
            <w:tcW w:w="406" w:type="dxa"/>
            <w:tcBorders>
              <w:bottom w:val="double" w:sz="10" w:space="0" w:color="000000"/>
            </w:tcBorders>
            <w:tcMar>
              <w:bottom w:w="28" w:type="dxa"/>
            </w:tcMar>
            <w:vAlign w:val="center"/>
          </w:tcPr>
          <w:p>
            <w:pPr>
              <w:pStyle w:val="TableContents"/>
              <w:bidi w:val="0"/>
              <w:spacing w:before="0" w:after="283"/>
              <w:jc w:val="right"/>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bottom w:val="double" w:sz="10" w:space="0" w:color="000000"/>
            </w:tcBorders>
            <w:tcMar>
              <w:bottom w:w="28" w:type="dxa"/>
            </w:tcMar>
            <w:vAlign w:val="center"/>
          </w:tcPr>
          <w:p>
            <w:pPr>
              <w:pStyle w:val="TableContents"/>
              <w:bidi w:val="0"/>
              <w:spacing w:before="0" w:after="283"/>
              <w:jc w:val="left"/>
              <w:rPr/>
            </w:pPr>
            <w:r>
              <w:rPr/>
              <w:t>$</w:t>
            </w:r>
          </w:p>
        </w:tc>
        <w:tc>
          <w:tcPr>
            <w:tcW w:w="406"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double" w:sz="10" w:space="0" w:color="000000"/>
            </w:tcBorders>
            <w:tcMar>
              <w:bottom w:w="28" w:type="dxa"/>
            </w:tcMar>
            <w:vAlign w:val="center"/>
          </w:tcPr>
          <w:p>
            <w:pPr>
              <w:pStyle w:val="TableContents"/>
              <w:bidi w:val="0"/>
              <w:spacing w:before="0" w:after="283"/>
              <w:jc w:val="left"/>
              <w:rPr/>
            </w:pPr>
            <w:r>
              <w:rPr/>
              <w:t>$</w:t>
            </w:r>
          </w:p>
        </w:tc>
        <w:tc>
          <w:tcPr>
            <w:tcW w:w="577"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bottom w:val="double" w:sz="10" w:space="0" w:color="000000"/>
            </w:tcBorders>
            <w:tcMar>
              <w:bottom w:w="28" w:type="dxa"/>
            </w:tcMar>
            <w:vAlign w:val="center"/>
          </w:tcPr>
          <w:p>
            <w:pPr>
              <w:pStyle w:val="TableContents"/>
              <w:bidi w:val="0"/>
              <w:spacing w:before="0" w:after="283"/>
              <w:jc w:val="left"/>
              <w:rPr/>
            </w:pPr>
            <w:r>
              <w:rPr/>
              <w:t>$</w:t>
            </w:r>
          </w:p>
        </w:tc>
        <w:tc>
          <w:tcPr>
            <w:tcW w:w="577" w:type="dxa"/>
            <w:tcBorders>
              <w:bottom w:val="double" w:sz="10" w:space="0" w:color="000000"/>
            </w:tcBorders>
            <w:tcMar>
              <w:bottom w:w="28" w:type="dxa"/>
            </w:tcMar>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 w:type="dxa"/>
            <w:tcBorders>
              <w:bottom w:val="double" w:sz="10" w:space="0" w:color="000000"/>
            </w:tcBorders>
            <w:tcMar>
              <w:bottom w:w="28" w:type="dxa"/>
            </w:tcMar>
            <w:vAlign w:val="center"/>
          </w:tcPr>
          <w:p>
            <w:pPr>
              <w:pStyle w:val="TableContents"/>
              <w:bidi w:val="0"/>
              <w:spacing w:before="0" w:after="283"/>
              <w:jc w:val="left"/>
              <w:rPr/>
            </w:pPr>
            <w:r>
              <w:rPr/>
              <w:t>$</w:t>
            </w:r>
          </w:p>
        </w:tc>
        <w:tc>
          <w:tcPr>
            <w:tcW w:w="402" w:type="dxa"/>
            <w:tcBorders>
              <w:bottom w:val="double" w:sz="10" w:space="0" w:color="000000"/>
            </w:tcBorders>
            <w:tcMar>
              <w:bottom w:w="28" w:type="dxa"/>
            </w:tcMar>
            <w:vAlign w:val="center"/>
          </w:tcPr>
          <w:p>
            <w:pPr>
              <w:pStyle w:val="TableContents"/>
              <w:bidi w:val="0"/>
              <w:spacing w:before="0" w:after="283"/>
              <w:jc w:val="right"/>
              <w:rPr/>
            </w:pPr>
            <w:r>
              <w:rPr/>
              <w:t>4</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257" w:type="dxa"/>
            <w:tcBorders>
              <w:bottom w:val="double" w:sz="10" w:space="0" w:color="000000"/>
            </w:tcBorders>
            <w:tcMar>
              <w:bottom w:w="28" w:type="dxa"/>
            </w:tcMar>
            <w:vAlign w:val="center"/>
          </w:tcPr>
          <w:p>
            <w:pPr>
              <w:pStyle w:val="TableContents"/>
              <w:bidi w:val="0"/>
              <w:spacing w:before="0" w:after="283"/>
              <w:jc w:val="left"/>
              <w:rPr/>
            </w:pPr>
            <w:r>
              <w:rPr/>
              <w:t>$</w:t>
            </w:r>
          </w:p>
        </w:tc>
        <w:tc>
          <w:tcPr>
            <w:tcW w:w="402" w:type="dxa"/>
            <w:tcBorders>
              <w:bottom w:val="double" w:sz="10" w:space="0" w:color="000000"/>
            </w:tcBorders>
            <w:tcMar>
              <w:bottom w:w="28" w:type="dxa"/>
            </w:tcMar>
            <w:vAlign w:val="center"/>
          </w:tcPr>
          <w:p>
            <w:pPr>
              <w:pStyle w:val="TableContents"/>
              <w:bidi w:val="0"/>
              <w:spacing w:before="0" w:after="0"/>
              <w:jc w:val="right"/>
              <w:rPr/>
            </w:pPr>
            <w:r>
              <w:rPr/>
              <w:t>—</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pPr>
            <w:r>
              <w:rPr/>
              <w:t>$</w:t>
            </w:r>
          </w:p>
        </w:tc>
        <w:tc>
          <w:tcPr>
            <w:tcW w:w="772" w:type="dxa"/>
            <w:tcBorders>
              <w:bottom w:val="double" w:sz="10" w:space="0" w:color="000000"/>
            </w:tcBorders>
            <w:tcMar>
              <w:bottom w:w="28" w:type="dxa"/>
            </w:tcMar>
            <w:vAlign w:val="center"/>
          </w:tcPr>
          <w:p>
            <w:pPr>
              <w:pStyle w:val="TableContents"/>
              <w:bidi w:val="0"/>
              <w:spacing w:before="0" w:after="0"/>
              <w:jc w:val="right"/>
              <w:rPr/>
            </w:pPr>
            <w:r>
              <w:rPr/>
              <w:t>—</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pPr>
            <w:r>
              <w:rPr/>
              <w:t>$</w:t>
            </w:r>
          </w:p>
        </w:tc>
        <w:tc>
          <w:tcPr>
            <w:tcW w:w="772" w:type="dxa"/>
            <w:tcBorders>
              <w:bottom w:val="double" w:sz="10" w:space="0" w:color="000000"/>
            </w:tcBorders>
            <w:tcMar>
              <w:bottom w:w="28" w:type="dxa"/>
            </w:tcMar>
            <w:vAlign w:val="center"/>
          </w:tcPr>
          <w:p>
            <w:pPr>
              <w:pStyle w:val="TableContents"/>
              <w:bidi w:val="0"/>
              <w:spacing w:before="0" w:after="283"/>
              <w:jc w:val="right"/>
              <w:rPr/>
            </w:pPr>
            <w:r>
              <w:rPr/>
              <w:t>4</w:t>
            </w:r>
          </w:p>
        </w:tc>
        <w:tc>
          <w:tcPr>
            <w:tcW w:w="89"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2630" w:type="dxa"/>
            <w:tcBorders/>
            <w:vAlign w:val="center"/>
          </w:tcPr>
          <w:p>
            <w:pPr>
              <w:pStyle w:val="TableContents"/>
              <w:bidi w:val="0"/>
              <w:spacing w:before="0" w:after="283"/>
              <w:jc w:val="left"/>
              <w:rPr/>
            </w:pPr>
            <w:r>
              <w:rPr/>
              <w:t>Warrant liabilities - January 2022 warrants</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w:t>
            </w:r>
          </w:p>
        </w:tc>
        <w:tc>
          <w:tcPr>
            <w:tcW w:w="40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577"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57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right"/>
              <w:rPr/>
            </w:pPr>
            <w:r>
              <w:rPr/>
              <w:t>—</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w:t>
            </w:r>
          </w:p>
        </w:tc>
        <w:tc>
          <w:tcPr>
            <w:tcW w:w="402" w:type="dxa"/>
            <w:tcBorders/>
            <w:vAlign w:val="center"/>
          </w:tcPr>
          <w:p>
            <w:pPr>
              <w:pStyle w:val="TableContents"/>
              <w:bidi w:val="0"/>
              <w:spacing w:before="0" w:after="0"/>
              <w:jc w:val="right"/>
              <w:rPr/>
            </w:pPr>
            <w:r>
              <w:rPr/>
              <w:t>—</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772" w:type="dxa"/>
            <w:tcBorders/>
            <w:vAlign w:val="center"/>
          </w:tcPr>
          <w:p>
            <w:pPr>
              <w:pStyle w:val="TableContents"/>
              <w:bidi w:val="0"/>
              <w:spacing w:before="0" w:after="283"/>
              <w:jc w:val="right"/>
              <w:rPr/>
            </w:pPr>
            <w:r>
              <w:rPr/>
              <w:t>1</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772" w:type="dxa"/>
            <w:tcBorders/>
            <w:vAlign w:val="center"/>
          </w:tcPr>
          <w:p>
            <w:pPr>
              <w:pStyle w:val="TableContents"/>
              <w:bidi w:val="0"/>
              <w:spacing w:before="0" w:after="283"/>
              <w:jc w:val="right"/>
              <w:rPr/>
            </w:pPr>
            <w:r>
              <w:rPr/>
              <w:t>1</w:t>
            </w:r>
          </w:p>
        </w:tc>
        <w:tc>
          <w:tcPr>
            <w:tcW w:w="89" w:type="dxa"/>
            <w:tcBorders/>
            <w:vAlign w:val="center"/>
          </w:tcPr>
          <w:p>
            <w:pPr>
              <w:pStyle w:val="TableContents"/>
              <w:bidi w:val="0"/>
              <w:spacing w:before="0" w:after="283"/>
              <w:ind w:left="0" w:right="0" w:hanging="180"/>
              <w:jc w:val="left"/>
              <w:rPr/>
            </w:pPr>
            <w:r>
              <w:rPr/>
              <w:t> </w:t>
            </w:r>
          </w:p>
        </w:tc>
      </w:tr>
      <w:tr>
        <w:trPr/>
        <w:tc>
          <w:tcPr>
            <w:tcW w:w="2630" w:type="dxa"/>
            <w:tcBorders/>
            <w:shd w:fill="CCEEFF" w:val="clear"/>
            <w:vAlign w:val="center"/>
          </w:tcPr>
          <w:p>
            <w:pPr>
              <w:pStyle w:val="TableContents"/>
              <w:bidi w:val="0"/>
              <w:spacing w:before="0" w:after="283"/>
              <w:jc w:val="left"/>
              <w:rPr/>
            </w:pPr>
            <w:r>
              <w:rPr/>
              <w:t>Warrant liabilities - March 2022 warrants</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0"/>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0"/>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2630" w:type="dxa"/>
            <w:tcBorders/>
            <w:vAlign w:val="center"/>
          </w:tcPr>
          <w:p>
            <w:pPr>
              <w:pStyle w:val="TableContents"/>
              <w:bidi w:val="0"/>
              <w:spacing w:before="0" w:after="283"/>
              <w:jc w:val="left"/>
              <w:rPr/>
            </w:pPr>
            <w:r>
              <w:rPr/>
              <w:t>Warrant liabilities - August 2022 warrants</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0"/>
              <w:jc w:val="right"/>
              <w:rPr/>
            </w:pPr>
            <w:r>
              <w:rPr/>
              <w:t>—</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0"/>
              <w:jc w:val="right"/>
              <w:rPr/>
            </w:pPr>
            <w:r>
              <w:rPr/>
              <w:t>—</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18</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18</w:t>
            </w:r>
          </w:p>
        </w:tc>
        <w:tc>
          <w:tcPr>
            <w:tcW w:w="89" w:type="dxa"/>
            <w:tcBorders/>
            <w:vAlign w:val="center"/>
          </w:tcPr>
          <w:p>
            <w:pPr>
              <w:pStyle w:val="TableContents"/>
              <w:bidi w:val="0"/>
              <w:spacing w:before="0" w:after="283"/>
              <w:ind w:left="0" w:right="0" w:hanging="180"/>
              <w:jc w:val="left"/>
              <w:rPr/>
            </w:pPr>
            <w:r>
              <w:rPr/>
              <w:t> </w:t>
            </w:r>
          </w:p>
        </w:tc>
      </w:tr>
      <w:tr>
        <w:trPr/>
        <w:tc>
          <w:tcPr>
            <w:tcW w:w="2630" w:type="dxa"/>
            <w:tcBorders/>
            <w:shd w:fill="CCEEFF" w:val="clear"/>
            <w:vAlign w:val="center"/>
          </w:tcPr>
          <w:p>
            <w:pPr>
              <w:pStyle w:val="TableContents"/>
              <w:bidi w:val="0"/>
              <w:spacing w:before="0" w:after="283"/>
              <w:jc w:val="left"/>
              <w:rPr/>
            </w:pPr>
            <w:r>
              <w:rPr/>
              <w:t>Warrant liabilities - December 2022 warrants</w:t>
            </w:r>
          </w:p>
        </w:tc>
        <w:tc>
          <w:tcPr>
            <w:tcW w:w="60"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7" w:type="dxa"/>
            <w:tcBorders>
              <w:bottom w:val="single" w:sz="12" w:space="0" w:color="000000"/>
            </w:tcBorders>
            <w:shd w:fill="CCEEFF" w:val="clear"/>
            <w:tcMar>
              <w:bottom w:w="28" w:type="dxa"/>
            </w:tcMar>
            <w:vAlign w:val="center"/>
          </w:tcPr>
          <w:p>
            <w:pPr>
              <w:pStyle w:val="TableContents"/>
              <w:bidi w:val="0"/>
              <w:spacing w:before="0" w:after="283"/>
              <w:jc w:val="right"/>
              <w:rPr/>
            </w:pPr>
            <w:r>
              <w:rPr/>
              <w:t>274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7" w:type="dxa"/>
            <w:tcBorders>
              <w:bottom w:val="single" w:sz="12" w:space="0" w:color="000000"/>
            </w:tcBorders>
            <w:shd w:fill="CCEEFF" w:val="clear"/>
            <w:tcMar>
              <w:bottom w:w="28" w:type="dxa"/>
            </w:tcMar>
            <w:vAlign w:val="center"/>
          </w:tcPr>
          <w:p>
            <w:pPr>
              <w:pStyle w:val="TableContents"/>
              <w:bidi w:val="0"/>
              <w:spacing w:before="0" w:after="283"/>
              <w:jc w:val="right"/>
              <w:rPr/>
            </w:pPr>
            <w:r>
              <w:rPr/>
              <w:t>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pPr>
            <w:r>
              <w:rPr/>
              <w:t>1,264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pPr>
            <w:r>
              <w:rPr/>
              <w:t>1,264</w:t>
            </w:r>
          </w:p>
        </w:tc>
        <w:tc>
          <w:tcPr>
            <w:tcW w:w="89"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Total liabilities</w:t>
            </w:r>
          </w:p>
        </w:tc>
        <w:tc>
          <w:tcPr>
            <w:tcW w:w="60" w:type="dxa"/>
            <w:tcBorders/>
            <w:vAlign w:val="center"/>
          </w:tcPr>
          <w:p>
            <w:pPr>
              <w:pStyle w:val="TableContents"/>
              <w:bidi w:val="0"/>
              <w:spacing w:before="0" w:after="283"/>
              <w:jc w:val="left"/>
              <w:rPr/>
            </w:pPr>
            <w:r>
              <w:rPr/>
              <w:t> </w:t>
            </w:r>
          </w:p>
        </w:tc>
        <w:tc>
          <w:tcPr>
            <w:tcW w:w="293" w:type="dxa"/>
            <w:tcBorders>
              <w:bottom w:val="double" w:sz="10" w:space="0" w:color="000000"/>
            </w:tcBorders>
            <w:tcMar>
              <w:bottom w:w="28" w:type="dxa"/>
            </w:tcMar>
            <w:vAlign w:val="center"/>
          </w:tcPr>
          <w:p>
            <w:pPr>
              <w:pStyle w:val="TableContents"/>
              <w:bidi w:val="0"/>
              <w:spacing w:before="0" w:after="283"/>
              <w:jc w:val="left"/>
              <w:rPr/>
            </w:pPr>
            <w:r>
              <w:rPr/>
              <w:t>$</w:t>
            </w:r>
          </w:p>
        </w:tc>
        <w:tc>
          <w:tcPr>
            <w:tcW w:w="406"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bottom w:val="double" w:sz="10" w:space="0" w:color="000000"/>
            </w:tcBorders>
            <w:tcMar>
              <w:bottom w:w="28" w:type="dxa"/>
            </w:tcMar>
            <w:vAlign w:val="center"/>
          </w:tcPr>
          <w:p>
            <w:pPr>
              <w:pStyle w:val="TableContents"/>
              <w:bidi w:val="0"/>
              <w:spacing w:before="0" w:after="283"/>
              <w:jc w:val="left"/>
              <w:rPr/>
            </w:pPr>
            <w:r>
              <w:rPr/>
              <w:t>$</w:t>
            </w:r>
          </w:p>
        </w:tc>
        <w:tc>
          <w:tcPr>
            <w:tcW w:w="406"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double" w:sz="10" w:space="0" w:color="000000"/>
            </w:tcBorders>
            <w:tcMar>
              <w:bottom w:w="28" w:type="dxa"/>
            </w:tcMar>
            <w:vAlign w:val="center"/>
          </w:tcPr>
          <w:p>
            <w:pPr>
              <w:pStyle w:val="TableContents"/>
              <w:bidi w:val="0"/>
              <w:spacing w:before="0" w:after="283"/>
              <w:jc w:val="left"/>
              <w:rPr/>
            </w:pPr>
            <w:r>
              <w:rPr/>
              <w:t>$</w:t>
            </w:r>
          </w:p>
        </w:tc>
        <w:tc>
          <w:tcPr>
            <w:tcW w:w="577" w:type="dxa"/>
            <w:tcBorders>
              <w:bottom w:val="double" w:sz="10" w:space="0" w:color="000000"/>
            </w:tcBorders>
            <w:tcMar>
              <w:bottom w:w="28" w:type="dxa"/>
            </w:tcMar>
            <w:vAlign w:val="center"/>
          </w:tcPr>
          <w:p>
            <w:pPr>
              <w:pStyle w:val="TableContents"/>
              <w:bidi w:val="0"/>
              <w:spacing w:before="0" w:after="283"/>
              <w:jc w:val="right"/>
              <w:rPr/>
            </w:pPr>
            <w:r>
              <w:rPr/>
              <w:t>277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bottom w:val="double" w:sz="10" w:space="0" w:color="000000"/>
            </w:tcBorders>
            <w:tcMar>
              <w:bottom w:w="28" w:type="dxa"/>
            </w:tcMar>
            <w:vAlign w:val="center"/>
          </w:tcPr>
          <w:p>
            <w:pPr>
              <w:pStyle w:val="TableContents"/>
              <w:bidi w:val="0"/>
              <w:spacing w:before="0" w:after="283"/>
              <w:jc w:val="left"/>
              <w:rPr/>
            </w:pPr>
            <w:r>
              <w:rPr/>
              <w:t>$</w:t>
            </w:r>
          </w:p>
        </w:tc>
        <w:tc>
          <w:tcPr>
            <w:tcW w:w="577" w:type="dxa"/>
            <w:tcBorders>
              <w:bottom w:val="double" w:sz="10" w:space="0" w:color="000000"/>
            </w:tcBorders>
            <w:tcMar>
              <w:bottom w:w="28" w:type="dxa"/>
            </w:tcMar>
            <w:vAlign w:val="center"/>
          </w:tcPr>
          <w:p>
            <w:pPr>
              <w:pStyle w:val="TableContents"/>
              <w:bidi w:val="0"/>
              <w:spacing w:before="0" w:after="283"/>
              <w:jc w:val="right"/>
              <w:rPr/>
            </w:pPr>
            <w:r>
              <w:rPr/>
              <w:t>277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 w:type="dxa"/>
            <w:tcBorders>
              <w:bottom w:val="double" w:sz="10" w:space="0" w:color="000000"/>
            </w:tcBorders>
            <w:tcMar>
              <w:bottom w:w="28" w:type="dxa"/>
            </w:tcMar>
            <w:vAlign w:val="center"/>
          </w:tcPr>
          <w:p>
            <w:pPr>
              <w:pStyle w:val="TableContents"/>
              <w:bidi w:val="0"/>
              <w:spacing w:before="0" w:after="283"/>
              <w:jc w:val="left"/>
              <w:rPr/>
            </w:pPr>
            <w:r>
              <w:rPr/>
              <w:t>$</w:t>
            </w:r>
          </w:p>
        </w:tc>
        <w:tc>
          <w:tcPr>
            <w:tcW w:w="402" w:type="dxa"/>
            <w:tcBorders>
              <w:bottom w:val="double" w:sz="10" w:space="0" w:color="000000"/>
            </w:tcBorders>
            <w:tcMar>
              <w:bottom w:w="28" w:type="dxa"/>
            </w:tcMar>
            <w:vAlign w:val="center"/>
          </w:tcPr>
          <w:p>
            <w:pPr>
              <w:pStyle w:val="TableContents"/>
              <w:bidi w:val="0"/>
              <w:spacing w:before="0" w:after="0"/>
              <w:jc w:val="right"/>
              <w:rPr/>
            </w:pPr>
            <w:r>
              <w:rPr/>
              <w:t>—</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257" w:type="dxa"/>
            <w:tcBorders>
              <w:bottom w:val="double" w:sz="10" w:space="0" w:color="000000"/>
            </w:tcBorders>
            <w:tcMar>
              <w:bottom w:w="28" w:type="dxa"/>
            </w:tcMar>
            <w:vAlign w:val="center"/>
          </w:tcPr>
          <w:p>
            <w:pPr>
              <w:pStyle w:val="TableContents"/>
              <w:bidi w:val="0"/>
              <w:spacing w:before="0" w:after="283"/>
              <w:jc w:val="left"/>
              <w:rPr/>
            </w:pPr>
            <w:r>
              <w:rPr/>
              <w:t>$</w:t>
            </w:r>
          </w:p>
        </w:tc>
        <w:tc>
          <w:tcPr>
            <w:tcW w:w="402" w:type="dxa"/>
            <w:tcBorders>
              <w:bottom w:val="double" w:sz="10" w:space="0" w:color="000000"/>
            </w:tcBorders>
            <w:tcMar>
              <w:bottom w:w="28" w:type="dxa"/>
            </w:tcMar>
            <w:vAlign w:val="center"/>
          </w:tcPr>
          <w:p>
            <w:pPr>
              <w:pStyle w:val="TableContents"/>
              <w:bidi w:val="0"/>
              <w:spacing w:before="0" w:after="0"/>
              <w:jc w:val="right"/>
              <w:rPr/>
            </w:pPr>
            <w:r>
              <w:rPr/>
              <w:t>—</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pPr>
            <w:r>
              <w:rPr/>
              <w:t>$</w:t>
            </w:r>
          </w:p>
        </w:tc>
        <w:tc>
          <w:tcPr>
            <w:tcW w:w="772" w:type="dxa"/>
            <w:tcBorders>
              <w:bottom w:val="double" w:sz="10" w:space="0" w:color="000000"/>
            </w:tcBorders>
            <w:tcMar>
              <w:bottom w:w="28" w:type="dxa"/>
            </w:tcMar>
            <w:vAlign w:val="center"/>
          </w:tcPr>
          <w:p>
            <w:pPr>
              <w:pStyle w:val="TableContents"/>
              <w:bidi w:val="0"/>
              <w:spacing w:before="0" w:after="283"/>
              <w:jc w:val="right"/>
              <w:rPr/>
            </w:pPr>
            <w:r>
              <w:rPr/>
              <w:t>1,290</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pPr>
            <w:r>
              <w:rPr/>
              <w:t>$</w:t>
            </w:r>
          </w:p>
        </w:tc>
        <w:tc>
          <w:tcPr>
            <w:tcW w:w="772" w:type="dxa"/>
            <w:tcBorders>
              <w:bottom w:val="double" w:sz="10" w:space="0" w:color="000000"/>
            </w:tcBorders>
            <w:tcMar>
              <w:bottom w:w="28" w:type="dxa"/>
            </w:tcMar>
            <w:vAlign w:val="center"/>
          </w:tcPr>
          <w:p>
            <w:pPr>
              <w:pStyle w:val="TableContents"/>
              <w:bidi w:val="0"/>
              <w:spacing w:before="0" w:after="283"/>
              <w:jc w:val="right"/>
              <w:rPr/>
            </w:pPr>
            <w:r>
              <w:rPr/>
              <w:t>1,290</w:t>
            </w:r>
          </w:p>
        </w:tc>
        <w:tc>
          <w:tcPr>
            <w:tcW w:w="8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certain financial instruments which consist of cash and cash equivalents, marketable securities, accounts receivable, loans receivable, accounts payable, accrued expenses, contingent consideration, operating lease liabilities, long-term debt, related party debt, and warrant liabilities. Fair value information for each of these instruments as well as other balances of the Company are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Cash and cash equivalents, accounts payable, and accrued expenses approximate their fair value based on the short-term nature of these instruments.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Marketable securities classified as current held-to-maturity securities are recorded at amortized cost, which at September 30, 2024 and December 31, 2023, approximated fair value.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Accounts receivable and loans receivable are presented net of an allowance for estimated credit losses, which approximates fair value.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Company’s contingent consideration was recorded in connection with acquisitions during the years ended December 31, 2021 and 2022 using an estimated fair value discount at the time of the transactions. As of December 31, 2023, the carrying value of the deferred consideration approximated fair value.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carrying value of lease liabilities approximates fair value due to the implicit discount rates used in the determination of the lease liabilities being consistent with the Company’s incremental borrowing rates at the time of lease inception and accounting for the duration of the leases.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Long-term debt and related party debt, including the debt that has undergone troubled debt restructuring, is carried at amortized cost, dictated by the prevailing market interest rates at the time of each transaction in accordance with ASC Topic 470, </w:t>
            </w:r>
            <w:r>
              <w:rPr>
                <w:i/>
              </w:rPr>
              <w:t>Debt</w:t>
            </w:r>
            <w:r>
              <w:rPr/>
              <w:t xml:space="preserve"> (“ASC 470”).</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Company’s warrant liabilities are marked-to-market each reporting period with the changes in fair value of warrant liabilities recorded in other income (expense), net in the accompanying unaudited condensed consolidated statements of operations until the warrants are exercised. The fair value of the warrant liabilities are estimated using a Black-Scholes option-pricing model.</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detailed in Note 9 - Stockholders’ Equity (Deficit), during the three months ended September 30, 2024, the Company amended Pre-Funded Warrants that had been issued to a related party such that they again became liability classified. These warrants were marked to fair value upon the execution of this amendment in August 2024. Through an additional amendment executed as of September 30, 2024, the warrants again met the requirements for equity classification and were marked to fair value as of that date. The warrants will not be marked to fair value on a recurring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and December 31, 2023, the Company held investments in money market funds. They are valued using quoted market prices in active markets and are classified under Level 1 within the fair value hierarchy.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money market funds as of September 30, 2024 and December 31, 2023 amounted to $4 thousand for both periods,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warrant liabilities on September 30, 2024 and December 31, 2023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inherent uncertainties are involved. If factors or assumptions change, the estimated fair values could be materially different.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assumptions used in the valuations as of September 30, 2024 and December 31, 2023:</w:t>
      </w:r>
    </w:p>
    <w:p>
      <w:pPr>
        <w:pStyle w:val="TextBody"/>
        <w:bidi w:val="0"/>
        <w:spacing w:before="0" w:after="0"/>
        <w:ind w:left="0" w:right="0" w:firstLine="360"/>
        <w:jc w:val="left"/>
        <w:rPr>
          <w:caps w:val="false"/>
          <w:smallCaps w:val="false"/>
        </w:rPr>
      </w:pPr>
      <w:r>
        <w:rPr>
          <w:caps w:val="false"/>
          <w:smallCaps w:val="false"/>
        </w:rPr>
        <w:t> </w:t>
      </w:r>
    </w:p>
    <w:tbl>
      <w:tblPr>
        <w:tblW w:w="10765" w:type="dxa"/>
        <w:jc w:val="left"/>
        <w:tblInd w:w="0" w:type="dxa"/>
        <w:tblLayout w:type="fixed"/>
        <w:tblCellMar>
          <w:top w:w="0" w:type="dxa"/>
          <w:left w:w="0" w:type="dxa"/>
          <w:bottom w:w="0" w:type="dxa"/>
          <w:right w:w="0" w:type="dxa"/>
        </w:tblCellMar>
      </w:tblPr>
      <w:tblGrid>
        <w:gridCol w:w="920"/>
        <w:gridCol w:w="60"/>
        <w:gridCol w:w="159"/>
        <w:gridCol w:w="776"/>
        <w:gridCol w:w="215"/>
        <w:gridCol w:w="60"/>
        <w:gridCol w:w="187"/>
        <w:gridCol w:w="748"/>
        <w:gridCol w:w="215"/>
        <w:gridCol w:w="60"/>
        <w:gridCol w:w="187"/>
        <w:gridCol w:w="748"/>
        <w:gridCol w:w="215"/>
        <w:gridCol w:w="60"/>
        <w:gridCol w:w="202"/>
        <w:gridCol w:w="808"/>
        <w:gridCol w:w="215"/>
        <w:gridCol w:w="60"/>
        <w:gridCol w:w="159"/>
        <w:gridCol w:w="776"/>
        <w:gridCol w:w="215"/>
        <w:gridCol w:w="60"/>
        <w:gridCol w:w="159"/>
        <w:gridCol w:w="776"/>
        <w:gridCol w:w="215"/>
        <w:gridCol w:w="60"/>
        <w:gridCol w:w="159"/>
        <w:gridCol w:w="776"/>
        <w:gridCol w:w="215"/>
        <w:gridCol w:w="60"/>
        <w:gridCol w:w="172"/>
        <w:gridCol w:w="838"/>
        <w:gridCol w:w="230"/>
      </w:tblGrid>
      <w:tr>
        <w:trPr/>
        <w:tc>
          <w:tcPr>
            <w:tcW w:w="92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January</w:t>
              <w:br/>
              <w:t>2022</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March</w:t>
              <w:br/>
              <w:t>2022</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August</w:t>
              <w:br/>
              <w:t>2022</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December</w:t>
              <w:br/>
              <w:t>2022</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January</w:t>
              <w:br/>
              <w:t>2022</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March</w:t>
              <w:br/>
              <w:t>2022</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August</w:t>
              <w:br/>
              <w:t>2022</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December</w:t>
              <w:br/>
              <w:t>2022</w:t>
              <w:br/>
              <w:t>Warrants</w:t>
            </w:r>
          </w:p>
        </w:tc>
        <w:tc>
          <w:tcPr>
            <w:tcW w:w="230" w:type="dxa"/>
            <w:tcBorders/>
            <w:vAlign w:val="center"/>
          </w:tcPr>
          <w:p>
            <w:pPr>
              <w:pStyle w:val="TableContents"/>
              <w:bidi w:val="0"/>
              <w:spacing w:before="0" w:after="283"/>
              <w:ind w:left="0" w:right="0" w:hanging="180"/>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30,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230" w:type="dxa"/>
            <w:tcBorders/>
            <w:vAlign w:val="center"/>
          </w:tcPr>
          <w:p>
            <w:pPr>
              <w:pStyle w:val="TableContents"/>
              <w:bidi w:val="0"/>
              <w:spacing w:before="0" w:after="283"/>
              <w:ind w:left="0" w:right="0" w:hanging="180"/>
              <w:jc w:val="left"/>
              <w:rPr/>
            </w:pPr>
            <w:r>
              <w:rPr/>
              <w:t> </w:t>
            </w:r>
          </w:p>
        </w:tc>
      </w:tr>
      <w:tr>
        <w:trPr/>
        <w:tc>
          <w:tcPr>
            <w:tcW w:w="920"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6" w:type="dxa"/>
            <w:tcBorders/>
            <w:shd w:fill="CCEEFF" w:val="clear"/>
            <w:vAlign w:val="center"/>
          </w:tcPr>
          <w:p>
            <w:pPr>
              <w:pStyle w:val="TableContents"/>
              <w:bidi w:val="0"/>
              <w:spacing w:before="0" w:after="283"/>
              <w:jc w:val="right"/>
              <w:rPr/>
            </w:pPr>
            <w:r>
              <w:rPr/>
              <w:t>3.41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3.41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3.41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3.41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6" w:type="dxa"/>
            <w:tcBorders/>
            <w:shd w:fill="CCEEFF" w:val="clear"/>
            <w:vAlign w:val="center"/>
          </w:tcPr>
          <w:p>
            <w:pPr>
              <w:pStyle w:val="TableContents"/>
              <w:bidi w:val="0"/>
              <w:spacing w:before="0" w:after="283"/>
              <w:jc w:val="right"/>
              <w:rPr/>
            </w:pPr>
            <w:r>
              <w:rPr/>
              <w:t>1.26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6" w:type="dxa"/>
            <w:tcBorders/>
            <w:shd w:fill="CCEEFF" w:val="clear"/>
            <w:vAlign w:val="center"/>
          </w:tcPr>
          <w:p>
            <w:pPr>
              <w:pStyle w:val="TableContents"/>
              <w:bidi w:val="0"/>
              <w:spacing w:before="0" w:after="283"/>
              <w:jc w:val="right"/>
              <w:rPr/>
            </w:pPr>
            <w:r>
              <w:rPr/>
              <w:t>1.26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6" w:type="dxa"/>
            <w:tcBorders/>
            <w:shd w:fill="CCEEFF" w:val="clear"/>
            <w:vAlign w:val="center"/>
          </w:tcPr>
          <w:p>
            <w:pPr>
              <w:pStyle w:val="TableContents"/>
              <w:bidi w:val="0"/>
              <w:spacing w:before="0" w:after="283"/>
              <w:jc w:val="right"/>
              <w:rPr/>
            </w:pPr>
            <w:r>
              <w:rPr/>
              <w:t>1.26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838" w:type="dxa"/>
            <w:tcBorders/>
            <w:shd w:fill="CCEEFF" w:val="clear"/>
            <w:vAlign w:val="center"/>
          </w:tcPr>
          <w:p>
            <w:pPr>
              <w:pStyle w:val="TableContents"/>
              <w:bidi w:val="0"/>
              <w:spacing w:before="0" w:after="283"/>
              <w:jc w:val="right"/>
              <w:rPr/>
            </w:pPr>
            <w:r>
              <w:rPr/>
              <w:t>1.26</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920" w:type="dxa"/>
            <w:tcBorders/>
            <w:vAlign w:val="center"/>
          </w:tcPr>
          <w:p>
            <w:pPr>
              <w:pStyle w:val="TableContents"/>
              <w:bidi w:val="0"/>
              <w:spacing w:before="0" w:after="283"/>
              <w:jc w:val="left"/>
              <w:rPr/>
            </w:pPr>
            <w:r>
              <w:rPr/>
              <w:t>Exercise price</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776" w:type="dxa"/>
            <w:tcBorders/>
            <w:vAlign w:val="center"/>
          </w:tcPr>
          <w:p>
            <w:pPr>
              <w:pStyle w:val="TableContents"/>
              <w:bidi w:val="0"/>
              <w:spacing w:before="0" w:after="283"/>
              <w:jc w:val="right"/>
              <w:rPr/>
            </w:pPr>
            <w:r>
              <w:rPr/>
              <w:t>22,440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6,540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3,690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right"/>
              <w:rPr/>
            </w:pPr>
            <w:r>
              <w:rPr/>
              <w:t>2.11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776" w:type="dxa"/>
            <w:tcBorders/>
            <w:vAlign w:val="center"/>
          </w:tcPr>
          <w:p>
            <w:pPr>
              <w:pStyle w:val="TableContents"/>
              <w:bidi w:val="0"/>
              <w:spacing w:before="0" w:after="283"/>
              <w:jc w:val="right"/>
              <w:rPr/>
            </w:pPr>
            <w:r>
              <w:rPr/>
              <w:t>1,496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776" w:type="dxa"/>
            <w:tcBorders/>
            <w:vAlign w:val="center"/>
          </w:tcPr>
          <w:p>
            <w:pPr>
              <w:pStyle w:val="TableContents"/>
              <w:bidi w:val="0"/>
              <w:spacing w:before="0" w:after="283"/>
              <w:jc w:val="right"/>
              <w:rPr/>
            </w:pPr>
            <w:r>
              <w:rPr/>
              <w:t>430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776" w:type="dxa"/>
            <w:tcBorders/>
            <w:vAlign w:val="center"/>
          </w:tcPr>
          <w:p>
            <w:pPr>
              <w:pStyle w:val="TableContents"/>
              <w:bidi w:val="0"/>
              <w:spacing w:before="0" w:after="283"/>
              <w:jc w:val="right"/>
              <w:rPr/>
            </w:pPr>
            <w:r>
              <w:rPr/>
              <w:t>246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838" w:type="dxa"/>
            <w:tcBorders/>
            <w:vAlign w:val="center"/>
          </w:tcPr>
          <w:p>
            <w:pPr>
              <w:pStyle w:val="TableContents"/>
              <w:bidi w:val="0"/>
              <w:spacing w:before="0" w:after="283"/>
              <w:jc w:val="right"/>
              <w:rPr/>
            </w:pPr>
            <w:r>
              <w:rPr/>
              <w:t>3.45</w:t>
            </w:r>
          </w:p>
        </w:tc>
        <w:tc>
          <w:tcPr>
            <w:tcW w:w="230" w:type="dxa"/>
            <w:tcBorders/>
            <w:vAlign w:val="center"/>
          </w:tcPr>
          <w:p>
            <w:pPr>
              <w:pStyle w:val="TableContents"/>
              <w:bidi w:val="0"/>
              <w:spacing w:before="0" w:after="283"/>
              <w:ind w:left="0" w:right="0" w:hanging="180"/>
              <w:jc w:val="left"/>
              <w:rPr/>
            </w:pPr>
            <w:r>
              <w:rPr/>
              <w:t> </w:t>
            </w:r>
          </w:p>
        </w:tc>
      </w:tr>
      <w:tr>
        <w:trPr/>
        <w:tc>
          <w:tcPr>
            <w:tcW w:w="920"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2.33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2.98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3.39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3.22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3.57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4.13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4.13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4.13</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920" w:type="dxa"/>
            <w:tcBorders/>
            <w:vAlign w:val="center"/>
          </w:tcPr>
          <w:p>
            <w:pPr>
              <w:pStyle w:val="TableContents"/>
              <w:bidi w:val="0"/>
              <w:spacing w:before="0" w:after="283"/>
              <w:jc w:val="left"/>
              <w:rPr/>
            </w:pPr>
            <w:r>
              <w:rPr/>
              <w:t>Volatility</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161.8</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161.8</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161.8</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161.8</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138.00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136.00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136.00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right"/>
              <w:rPr/>
            </w:pPr>
            <w:r>
              <w:rPr/>
              <w:t>136.00</w:t>
            </w:r>
          </w:p>
        </w:tc>
        <w:tc>
          <w:tcPr>
            <w:tcW w:w="230" w:type="dxa"/>
            <w:tcBorders/>
            <w:vAlign w:val="center"/>
          </w:tcPr>
          <w:p>
            <w:pPr>
              <w:pStyle w:val="TableContents"/>
              <w:bidi w:val="0"/>
              <w:spacing w:before="0" w:after="283"/>
              <w:ind w:left="0" w:right="0" w:hanging="180"/>
              <w:jc w:val="left"/>
              <w:rPr/>
            </w:pPr>
            <w:r>
              <w:rPr/>
              <w:t>%</w:t>
            </w:r>
          </w:p>
        </w:tc>
      </w:tr>
      <w:tr>
        <w:trPr/>
        <w:tc>
          <w:tcPr>
            <w:tcW w:w="920" w:type="dxa"/>
            <w:tcBorders/>
            <w:shd w:fill="CCEEFF" w:val="clear"/>
            <w:vAlign w:val="center"/>
          </w:tcPr>
          <w:p>
            <w:pPr>
              <w:pStyle w:val="TableContents"/>
              <w:bidi w:val="0"/>
              <w:spacing w:before="0" w:after="283"/>
              <w:jc w:val="left"/>
              <w:rPr/>
            </w:pPr>
            <w:r>
              <w:rPr/>
              <w:t>Discount rate - treasury yield</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3.66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3.58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3.58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3.58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3.96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3.91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3.91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3.91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the changes in the fair value of the Level 3 warrant liabilities for the nine months ended September 30, 2024 and for the year ended December 31, 2023:</w:t>
      </w:r>
    </w:p>
    <w:p>
      <w:pPr>
        <w:pStyle w:val="TextBody"/>
        <w:bidi w:val="0"/>
        <w:spacing w:before="0" w:after="0"/>
        <w:ind w:left="0" w:right="0" w:hanging="0"/>
        <w:jc w:val="left"/>
        <w:rPr>
          <w:caps w:val="false"/>
          <w:smallCaps w:val="false"/>
        </w:rPr>
      </w:pPr>
      <w:r>
        <w:rPr>
          <w:caps w:val="false"/>
          <w:smallCaps w:val="false"/>
        </w:rPr>
        <w:t> </w:t>
      </w:r>
    </w:p>
    <w:tbl>
      <w:tblPr>
        <w:tblW w:w="8153" w:type="dxa"/>
        <w:jc w:val="left"/>
        <w:tblInd w:w="0" w:type="dxa"/>
        <w:tblLayout w:type="fixed"/>
        <w:tblCellMar>
          <w:top w:w="0" w:type="dxa"/>
          <w:left w:w="0" w:type="dxa"/>
          <w:bottom w:w="28" w:type="dxa"/>
          <w:right w:w="0" w:type="dxa"/>
        </w:tblCellMar>
      </w:tblPr>
      <w:tblGrid>
        <w:gridCol w:w="4340"/>
        <w:gridCol w:w="60"/>
        <w:gridCol w:w="239"/>
        <w:gridCol w:w="1295"/>
        <w:gridCol w:w="95"/>
        <w:gridCol w:w="60"/>
        <w:gridCol w:w="352"/>
        <w:gridCol w:w="1602"/>
        <w:gridCol w:w="110"/>
      </w:tblGrid>
      <w:tr>
        <w:trPr/>
        <w:tc>
          <w:tcPr>
            <w:tcW w:w="4340"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12" w:space="0" w:color="000000"/>
            </w:tcBorders>
            <w:vAlign w:val="center"/>
          </w:tcPr>
          <w:p>
            <w:pPr>
              <w:pStyle w:val="TableContents"/>
              <w:bidi w:val="0"/>
              <w:spacing w:before="0" w:after="283"/>
              <w:jc w:val="center"/>
              <w:rPr>
                <w:b/>
              </w:rPr>
            </w:pPr>
            <w:r>
              <w:rPr>
                <w:b/>
              </w:rPr>
              <w:t>Nine months</w:t>
              <w:br/>
              <w:t>ended</w:t>
              <w:br/>
              <w:t xml:space="preserve">September 30, </w:t>
              <w:b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12" w:space="0" w:color="000000"/>
            </w:tcBorders>
            <w:vAlign w:val="center"/>
          </w:tcPr>
          <w:p>
            <w:pPr>
              <w:pStyle w:val="TableContents"/>
              <w:bidi w:val="0"/>
              <w:spacing w:before="0" w:after="283"/>
              <w:jc w:val="center"/>
              <w:rPr>
                <w:b/>
              </w:rPr>
            </w:pPr>
            <w:r>
              <w:rPr>
                <w:b/>
              </w:rPr>
              <w:t>For the year ended</w:t>
              <w:br/>
              <w:t>December 31,</w:t>
              <w:br/>
              <w:t>2023</w:t>
            </w:r>
          </w:p>
        </w:tc>
        <w:tc>
          <w:tcPr>
            <w:tcW w:w="110" w:type="dxa"/>
            <w:tcBorders/>
            <w:tcMar>
              <w:bottom w:w="0" w:type="dxa"/>
            </w:tcMar>
            <w:vAlign w:val="center"/>
          </w:tcPr>
          <w:p>
            <w:pPr>
              <w:pStyle w:val="TableContents"/>
              <w:bidi w:val="0"/>
              <w:spacing w:before="0" w:after="283"/>
              <w:jc w:val="left"/>
              <w:rPr/>
            </w:pPr>
            <w:r>
              <w:rPr/>
              <w:t> </w:t>
            </w:r>
          </w:p>
        </w:tc>
      </w:tr>
      <w:tr>
        <w:trPr/>
        <w:tc>
          <w:tcPr>
            <w:tcW w:w="4340" w:type="dxa"/>
            <w:tcBorders/>
            <w:shd w:fill="CCEEFF" w:val="clear"/>
            <w:tcMar>
              <w:bottom w:w="0" w:type="dxa"/>
            </w:tcMar>
            <w:vAlign w:val="center"/>
          </w:tcPr>
          <w:p>
            <w:pPr>
              <w:pStyle w:val="TableContents"/>
              <w:bidi w:val="0"/>
              <w:spacing w:before="0" w:after="283"/>
              <w:jc w:val="left"/>
              <w:rPr/>
            </w:pPr>
            <w:r>
              <w:rPr/>
              <w:t>Warrant liabilities –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1,290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2" w:type="dxa"/>
            <w:tcBorders/>
            <w:shd w:fill="CCEEFF" w:val="clear"/>
            <w:tcMar>
              <w:bottom w:w="0" w:type="dxa"/>
            </w:tcMar>
            <w:vAlign w:val="center"/>
          </w:tcPr>
          <w:p>
            <w:pPr>
              <w:pStyle w:val="TableContents"/>
              <w:bidi w:val="0"/>
              <w:spacing w:before="0" w:after="283"/>
              <w:jc w:val="left"/>
              <w:rPr/>
            </w:pPr>
            <w:r>
              <w:rPr/>
              <w:t>$</w:t>
            </w:r>
          </w:p>
        </w:tc>
        <w:tc>
          <w:tcPr>
            <w:tcW w:w="1602" w:type="dxa"/>
            <w:tcBorders/>
            <w:shd w:fill="CCEEFF" w:val="clear"/>
            <w:tcMar>
              <w:bottom w:w="0" w:type="dxa"/>
            </w:tcMar>
            <w:vAlign w:val="center"/>
          </w:tcPr>
          <w:p>
            <w:pPr>
              <w:pStyle w:val="TableContents"/>
              <w:bidi w:val="0"/>
              <w:spacing w:before="0" w:after="283"/>
              <w:jc w:val="right"/>
              <w:rPr/>
            </w:pPr>
            <w:r>
              <w:rPr/>
              <w:t>5,985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40" w:type="dxa"/>
            <w:tcBorders/>
            <w:tcMar>
              <w:bottom w:w="0" w:type="dxa"/>
            </w:tcMar>
            <w:vAlign w:val="center"/>
          </w:tcPr>
          <w:p>
            <w:pPr>
              <w:pStyle w:val="TableContents"/>
              <w:bidi w:val="0"/>
              <w:spacing w:before="0" w:after="283"/>
              <w:jc w:val="left"/>
              <w:rPr/>
            </w:pPr>
            <w:r>
              <w:rPr/>
              <w:t>Initial fair value of issued warrant liabilities</w:t>
            </w:r>
          </w:p>
        </w:tc>
        <w:tc>
          <w:tcPr>
            <w:tcW w:w="60" w:type="dxa"/>
            <w:tcBorders/>
            <w:tcMar>
              <w:bottom w:w="0" w:type="dxa"/>
            </w:tcMar>
            <w:vAlign w:val="center"/>
          </w:tcPr>
          <w:p>
            <w:pPr>
              <w:pStyle w:val="TableContents"/>
              <w:bidi w:val="0"/>
              <w:spacing w:before="0" w:after="283"/>
              <w:jc w:val="left"/>
              <w:rPr/>
            </w:pPr>
            <w:r>
              <w:rPr/>
              <w:t> </w:t>
            </w:r>
          </w:p>
        </w:tc>
        <w:tc>
          <w:tcPr>
            <w:tcW w:w="239"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right"/>
              <w:rPr/>
            </w:pPr>
            <w:r>
              <w:rPr/>
              <w:t>5,601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2" w:type="dxa"/>
            <w:tcBorders/>
            <w:tcMar>
              <w:bottom w:w="0" w:type="dxa"/>
            </w:tcMar>
            <w:vAlign w:val="center"/>
          </w:tcPr>
          <w:p>
            <w:pPr>
              <w:pStyle w:val="TableContents"/>
              <w:bidi w:val="0"/>
              <w:spacing w:before="0" w:after="283"/>
              <w:jc w:val="left"/>
              <w:rPr/>
            </w:pPr>
            <w:r>
              <w:rPr/>
              <w:t> </w:t>
            </w:r>
          </w:p>
        </w:tc>
        <w:tc>
          <w:tcPr>
            <w:tcW w:w="1602" w:type="dxa"/>
            <w:tcBorders/>
            <w:tcMar>
              <w:bottom w:w="0" w:type="dxa"/>
            </w:tcMar>
            <w:vAlign w:val="center"/>
          </w:tcPr>
          <w:p>
            <w:pPr>
              <w:pStyle w:val="TableContents"/>
              <w:bidi w:val="0"/>
              <w:spacing w:before="0" w:after="0"/>
              <w:jc w:val="right"/>
              <w:rPr/>
            </w:pPr>
            <w:r>
              <w:rPr/>
              <w:t>—</w:t>
            </w:r>
          </w:p>
        </w:tc>
        <w:tc>
          <w:tcPr>
            <w:tcW w:w="110" w:type="dxa"/>
            <w:tcBorders/>
            <w:tcMar>
              <w:bottom w:w="0" w:type="dxa"/>
            </w:tcMar>
            <w:vAlign w:val="center"/>
          </w:tcPr>
          <w:p>
            <w:pPr>
              <w:pStyle w:val="TableContents"/>
              <w:bidi w:val="0"/>
              <w:spacing w:before="0" w:after="283"/>
              <w:jc w:val="left"/>
              <w:rPr/>
            </w:pPr>
            <w:r>
              <w:rPr/>
              <w:t> </w:t>
            </w:r>
          </w:p>
        </w:tc>
      </w:tr>
      <w:tr>
        <w:trPr/>
        <w:tc>
          <w:tcPr>
            <w:tcW w:w="4340" w:type="dxa"/>
            <w:tcBorders/>
            <w:shd w:fill="CCEEFF" w:val="clear"/>
            <w:tcMar>
              <w:bottom w:w="0" w:type="dxa"/>
            </w:tcMar>
            <w:vAlign w:val="center"/>
          </w:tcPr>
          <w:p>
            <w:pPr>
              <w:pStyle w:val="TableContents"/>
              <w:bidi w:val="0"/>
              <w:spacing w:before="0" w:after="283"/>
              <w:jc w:val="left"/>
              <w:rPr/>
            </w:pPr>
            <w:r>
              <w:rPr/>
              <w:t>Exercise of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(1,345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2" w:type="dxa"/>
            <w:tcBorders/>
            <w:shd w:fill="CCEEFF" w:val="clear"/>
            <w:tcMar>
              <w:bottom w:w="0" w:type="dxa"/>
            </w:tcMar>
            <w:vAlign w:val="center"/>
          </w:tcPr>
          <w:p>
            <w:pPr>
              <w:pStyle w:val="TableContents"/>
              <w:bidi w:val="0"/>
              <w:spacing w:before="0" w:after="283"/>
              <w:jc w:val="left"/>
              <w:rPr/>
            </w:pPr>
            <w:r>
              <w:rPr/>
              <w:t> </w:t>
            </w:r>
          </w:p>
        </w:tc>
        <w:tc>
          <w:tcPr>
            <w:tcW w:w="1602" w:type="dxa"/>
            <w:tcBorders/>
            <w:shd w:fill="CCEEFF" w:val="clear"/>
            <w:tcMar>
              <w:bottom w:w="0" w:type="dxa"/>
            </w:tcMar>
            <w:vAlign w:val="center"/>
          </w:tcPr>
          <w:p>
            <w:pPr>
              <w:pStyle w:val="TableContents"/>
              <w:bidi w:val="0"/>
              <w:spacing w:before="0" w:after="0"/>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40" w:type="dxa"/>
            <w:tcBorders/>
            <w:tcMar>
              <w:bottom w:w="0" w:type="dxa"/>
            </w:tcMar>
            <w:vAlign w:val="center"/>
          </w:tcPr>
          <w:p>
            <w:pPr>
              <w:pStyle w:val="TableContents"/>
              <w:bidi w:val="0"/>
              <w:spacing w:before="0" w:after="283"/>
              <w:jc w:val="left"/>
              <w:rPr/>
            </w:pPr>
            <w:r>
              <w:rPr/>
              <w:t>Reclassification of warrant liabilities to equity</w:t>
            </w:r>
          </w:p>
        </w:tc>
        <w:tc>
          <w:tcPr>
            <w:tcW w:w="60" w:type="dxa"/>
            <w:tcBorders/>
            <w:tcMar>
              <w:bottom w:w="0" w:type="dxa"/>
            </w:tcMar>
            <w:vAlign w:val="center"/>
          </w:tcPr>
          <w:p>
            <w:pPr>
              <w:pStyle w:val="TableContents"/>
              <w:bidi w:val="0"/>
              <w:spacing w:before="0" w:after="283"/>
              <w:jc w:val="left"/>
              <w:rPr/>
            </w:pPr>
            <w:r>
              <w:rPr/>
              <w:t> </w:t>
            </w:r>
          </w:p>
        </w:tc>
        <w:tc>
          <w:tcPr>
            <w:tcW w:w="239"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right"/>
              <w:rPr/>
            </w:pPr>
            <w:r>
              <w:rPr/>
              <w:t>(20,771</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352" w:type="dxa"/>
            <w:tcBorders/>
            <w:tcMar>
              <w:bottom w:w="0" w:type="dxa"/>
            </w:tcMar>
            <w:vAlign w:val="center"/>
          </w:tcPr>
          <w:p>
            <w:pPr>
              <w:pStyle w:val="TableContents"/>
              <w:bidi w:val="0"/>
              <w:spacing w:before="0" w:after="283"/>
              <w:jc w:val="left"/>
              <w:rPr/>
            </w:pPr>
            <w:r>
              <w:rPr/>
              <w:t> </w:t>
            </w:r>
          </w:p>
        </w:tc>
        <w:tc>
          <w:tcPr>
            <w:tcW w:w="1602" w:type="dxa"/>
            <w:tcBorders/>
            <w:tcMar>
              <w:bottom w:w="0" w:type="dxa"/>
            </w:tcMar>
            <w:vAlign w:val="center"/>
          </w:tcPr>
          <w:p>
            <w:pPr>
              <w:pStyle w:val="TableContents"/>
              <w:bidi w:val="0"/>
              <w:spacing w:before="0" w:after="0"/>
              <w:jc w:val="right"/>
              <w:rPr/>
            </w:pPr>
            <w:r>
              <w:rPr/>
              <w:t>—</w:t>
            </w:r>
          </w:p>
        </w:tc>
        <w:tc>
          <w:tcPr>
            <w:tcW w:w="110" w:type="dxa"/>
            <w:tcBorders/>
            <w:tcMar>
              <w:bottom w:w="0" w:type="dxa"/>
            </w:tcMar>
            <w:vAlign w:val="center"/>
          </w:tcPr>
          <w:p>
            <w:pPr>
              <w:pStyle w:val="TableContents"/>
              <w:bidi w:val="0"/>
              <w:spacing w:before="0" w:after="283"/>
              <w:jc w:val="left"/>
              <w:rPr/>
            </w:pPr>
            <w:r>
              <w:rPr/>
              <w:t> </w:t>
            </w:r>
          </w:p>
        </w:tc>
      </w:tr>
      <w:tr>
        <w:trPr/>
        <w:tc>
          <w:tcPr>
            <w:tcW w:w="4340" w:type="dxa"/>
            <w:tcBorders/>
            <w:shd w:fill="CCEEFF" w:val="clear"/>
            <w:tcMar>
              <w:bottom w:w="0" w:type="dxa"/>
            </w:tcMar>
            <w:vAlign w:val="center"/>
          </w:tcPr>
          <w:p>
            <w:pPr>
              <w:pStyle w:val="TableContents"/>
              <w:bidi w:val="0"/>
              <w:spacing w:before="0" w:after="283"/>
              <w:jc w:val="left"/>
              <w:rPr/>
            </w:pPr>
            <w:r>
              <w:rPr/>
              <w:t>Change in estimated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bottom w:val="single" w:sz="12" w:space="0" w:color="000000"/>
            </w:tcBorders>
            <w:shd w:fill="CCEEFF" w:val="clear"/>
            <w:vAlign w:val="center"/>
          </w:tcPr>
          <w:p>
            <w:pPr>
              <w:pStyle w:val="TableContents"/>
              <w:bidi w:val="0"/>
              <w:spacing w:before="0" w:after="283"/>
              <w:jc w:val="left"/>
              <w:rPr/>
            </w:pPr>
            <w:r>
              <w:rPr/>
              <w:t> </w:t>
            </w:r>
          </w:p>
        </w:tc>
        <w:tc>
          <w:tcPr>
            <w:tcW w:w="1295" w:type="dxa"/>
            <w:tcBorders>
              <w:bottom w:val="single" w:sz="12" w:space="0" w:color="000000"/>
            </w:tcBorders>
            <w:shd w:fill="CCEEFF" w:val="clear"/>
            <w:vAlign w:val="center"/>
          </w:tcPr>
          <w:p>
            <w:pPr>
              <w:pStyle w:val="TableContents"/>
              <w:bidi w:val="0"/>
              <w:spacing w:before="0" w:after="283"/>
              <w:jc w:val="right"/>
              <w:rPr/>
            </w:pPr>
            <w:r>
              <w:rPr/>
              <w:t>15,502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2" w:type="dxa"/>
            <w:tcBorders>
              <w:bottom w:val="single" w:sz="12" w:space="0" w:color="000000"/>
            </w:tcBorders>
            <w:shd w:fill="CCEEFF" w:val="clear"/>
            <w:vAlign w:val="center"/>
          </w:tcPr>
          <w:p>
            <w:pPr>
              <w:pStyle w:val="TableContents"/>
              <w:bidi w:val="0"/>
              <w:spacing w:before="0" w:after="283"/>
              <w:jc w:val="left"/>
              <w:rPr/>
            </w:pPr>
            <w:r>
              <w:rPr/>
              <w:t> </w:t>
            </w:r>
          </w:p>
        </w:tc>
        <w:tc>
          <w:tcPr>
            <w:tcW w:w="1602" w:type="dxa"/>
            <w:tcBorders>
              <w:bottom w:val="single" w:sz="12" w:space="0" w:color="000000"/>
            </w:tcBorders>
            <w:shd w:fill="CCEEFF" w:val="clear"/>
            <w:vAlign w:val="center"/>
          </w:tcPr>
          <w:p>
            <w:pPr>
              <w:pStyle w:val="TableContents"/>
              <w:bidi w:val="0"/>
              <w:spacing w:before="0" w:after="283"/>
              <w:jc w:val="right"/>
              <w:rPr/>
            </w:pPr>
            <w:r>
              <w:rPr/>
              <w:t>(4,695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340" w:type="dxa"/>
            <w:tcBorders/>
            <w:tcMar>
              <w:bottom w:w="0" w:type="dxa"/>
            </w:tcMar>
            <w:vAlign w:val="center"/>
          </w:tcPr>
          <w:p>
            <w:pPr>
              <w:pStyle w:val="TableContents"/>
              <w:bidi w:val="0"/>
              <w:spacing w:before="0" w:after="283"/>
              <w:jc w:val="left"/>
              <w:rPr/>
            </w:pPr>
            <w:r>
              <w:rPr/>
              <w:t>Warrant liabilities –end of period</w:t>
            </w:r>
          </w:p>
        </w:tc>
        <w:tc>
          <w:tcPr>
            <w:tcW w:w="60" w:type="dxa"/>
            <w:tcBorders/>
            <w:tcMar>
              <w:bottom w:w="0" w:type="dxa"/>
            </w:tcMar>
            <w:vAlign w:val="center"/>
          </w:tcPr>
          <w:p>
            <w:pPr>
              <w:pStyle w:val="TableContents"/>
              <w:bidi w:val="0"/>
              <w:spacing w:before="0" w:after="283"/>
              <w:jc w:val="left"/>
              <w:rPr/>
            </w:pPr>
            <w:r>
              <w:rPr/>
              <w:t> </w:t>
            </w:r>
          </w:p>
        </w:tc>
        <w:tc>
          <w:tcPr>
            <w:tcW w:w="239" w:type="dxa"/>
            <w:tcBorders>
              <w:bottom w:val="double" w:sz="10" w:space="0" w:color="000000"/>
            </w:tcBorders>
            <w:vAlign w:val="center"/>
          </w:tcPr>
          <w:p>
            <w:pPr>
              <w:pStyle w:val="TableContents"/>
              <w:bidi w:val="0"/>
              <w:spacing w:before="0" w:after="283"/>
              <w:jc w:val="left"/>
              <w:rPr/>
            </w:pPr>
            <w:r>
              <w:rPr/>
              <w:t>$</w:t>
            </w:r>
          </w:p>
        </w:tc>
        <w:tc>
          <w:tcPr>
            <w:tcW w:w="1295" w:type="dxa"/>
            <w:tcBorders>
              <w:bottom w:val="double" w:sz="10" w:space="0" w:color="000000"/>
            </w:tcBorders>
            <w:vAlign w:val="center"/>
          </w:tcPr>
          <w:p>
            <w:pPr>
              <w:pStyle w:val="TableContents"/>
              <w:bidi w:val="0"/>
              <w:spacing w:before="0" w:after="283"/>
              <w:jc w:val="right"/>
              <w:rPr/>
            </w:pPr>
            <w:r>
              <w:rPr/>
              <w:t>277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2" w:type="dxa"/>
            <w:tcBorders>
              <w:bottom w:val="double" w:sz="10" w:space="0" w:color="000000"/>
            </w:tcBorders>
            <w:vAlign w:val="center"/>
          </w:tcPr>
          <w:p>
            <w:pPr>
              <w:pStyle w:val="TableContents"/>
              <w:bidi w:val="0"/>
              <w:spacing w:before="0" w:after="283"/>
              <w:jc w:val="left"/>
              <w:rPr/>
            </w:pPr>
            <w:r>
              <w:rPr/>
              <w:t>$</w:t>
            </w:r>
          </w:p>
        </w:tc>
        <w:tc>
          <w:tcPr>
            <w:tcW w:w="1602" w:type="dxa"/>
            <w:tcBorders>
              <w:bottom w:val="double" w:sz="10" w:space="0" w:color="000000"/>
            </w:tcBorders>
            <w:vAlign w:val="center"/>
          </w:tcPr>
          <w:p>
            <w:pPr>
              <w:pStyle w:val="TableContents"/>
              <w:bidi w:val="0"/>
              <w:spacing w:before="0" w:after="283"/>
              <w:jc w:val="right"/>
              <w:rPr/>
            </w:pPr>
            <w:r>
              <w:rPr/>
              <w:t>1,290</w:t>
            </w:r>
          </w:p>
        </w:tc>
        <w:tc>
          <w:tcPr>
            <w:tcW w:w="11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Loans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capital raised from the Company’s Initial Public Offering was allocated to launch the Company’s total turn-key solution program (“TTK Solution”). The TTK Solution is the industry’s first-of-its-kind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process design, training, implementation, proven grow recipes, product formulations, data analytics, and consumer branding.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loans receivable by customer as of September 30, 2024 and December 31, 2023 were as follows:</w:t>
      </w:r>
    </w:p>
    <w:p>
      <w:pPr>
        <w:pStyle w:val="TextBody"/>
        <w:bidi w:val="0"/>
        <w:spacing w:before="0" w:after="0"/>
        <w:ind w:left="0" w:right="0" w:firstLine="360"/>
        <w:jc w:val="left"/>
        <w:rPr>
          <w:caps w:val="false"/>
          <w:smallCaps w:val="false"/>
        </w:rPr>
      </w:pPr>
      <w:r>
        <w:rPr>
          <w:caps w:val="false"/>
          <w:smallCaps w:val="false"/>
        </w:rPr>
        <w:t> </w:t>
      </w:r>
    </w:p>
    <w:tbl>
      <w:tblPr>
        <w:tblW w:w="8499" w:type="dxa"/>
        <w:jc w:val="left"/>
        <w:tblInd w:w="0" w:type="dxa"/>
        <w:tblLayout w:type="fixed"/>
        <w:tblCellMar>
          <w:top w:w="0" w:type="dxa"/>
          <w:left w:w="0" w:type="dxa"/>
          <w:bottom w:w="28" w:type="dxa"/>
          <w:right w:w="0" w:type="dxa"/>
        </w:tblCellMar>
      </w:tblPr>
      <w:tblGrid>
        <w:gridCol w:w="5225"/>
        <w:gridCol w:w="60"/>
        <w:gridCol w:w="239"/>
        <w:gridCol w:w="1295"/>
        <w:gridCol w:w="95"/>
        <w:gridCol w:w="60"/>
        <w:gridCol w:w="221"/>
        <w:gridCol w:w="1194"/>
        <w:gridCol w:w="110"/>
      </w:tblGrid>
      <w:tr>
        <w:trPr/>
        <w:tc>
          <w:tcPr>
            <w:tcW w:w="522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12" w:space="0" w:color="000000"/>
            </w:tcBorders>
            <w:vAlign w:val="center"/>
          </w:tcPr>
          <w:p>
            <w:pPr>
              <w:pStyle w:val="TableContents"/>
              <w:bidi w:val="0"/>
              <w:spacing w:before="0" w:after="283"/>
              <w:jc w:val="center"/>
              <w:rPr>
                <w:b/>
              </w:rPr>
            </w:pPr>
            <w:r>
              <w:rPr>
                <w:b/>
              </w:rPr>
              <w:t xml:space="preserve">September 30, </w:t>
              <w:b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2023</w:t>
            </w:r>
          </w:p>
        </w:tc>
        <w:tc>
          <w:tcPr>
            <w:tcW w:w="110" w:type="dxa"/>
            <w:tcBorders/>
            <w:tcMar>
              <w:bottom w:w="0" w:type="dxa"/>
            </w:tcMar>
            <w:vAlign w:val="center"/>
          </w:tcPr>
          <w:p>
            <w:pPr>
              <w:pStyle w:val="TableContents"/>
              <w:bidi w:val="0"/>
              <w:spacing w:before="0" w:after="283"/>
              <w:jc w:val="left"/>
              <w:rPr/>
            </w:pPr>
            <w:r>
              <w:rPr/>
              <w:t> </w:t>
            </w:r>
          </w:p>
        </w:tc>
      </w:tr>
      <w:tr>
        <w:trPr/>
        <w:tc>
          <w:tcPr>
            <w:tcW w:w="5225" w:type="dxa"/>
            <w:tcBorders/>
            <w:shd w:fill="CCEEFF" w:val="clear"/>
            <w:tcMar>
              <w:bottom w:w="0" w:type="dxa"/>
            </w:tcMar>
            <w:vAlign w:val="center"/>
          </w:tcPr>
          <w:p>
            <w:pPr>
              <w:pStyle w:val="TableContents"/>
              <w:bidi w:val="0"/>
              <w:spacing w:before="0" w:after="283"/>
              <w:jc w:val="left"/>
              <w:rPr/>
            </w:pPr>
            <w:r>
              <w:rPr/>
              <w:t>Customer 139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w:t>
            </w:r>
          </w:p>
        </w:tc>
        <w:tc>
          <w:tcPr>
            <w:tcW w:w="1295" w:type="dxa"/>
            <w:tcBorders/>
            <w:shd w:fill="CCEEFF" w:val="clear"/>
            <w:tcMar>
              <w:bottom w:w="0" w:type="dxa"/>
            </w:tcMar>
            <w:vAlign w:val="center"/>
          </w:tcPr>
          <w:p>
            <w:pPr>
              <w:pStyle w:val="TableContents"/>
              <w:bidi w:val="0"/>
              <w:spacing w:before="0" w:after="283"/>
              <w:jc w:val="right"/>
              <w:rPr/>
            </w:pPr>
            <w:r>
              <w:rPr/>
              <w:t>14,361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14,691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225" w:type="dxa"/>
            <w:tcBorders/>
            <w:tcMar>
              <w:bottom w:w="0" w:type="dxa"/>
            </w:tcMar>
            <w:vAlign w:val="center"/>
          </w:tcPr>
          <w:p>
            <w:pPr>
              <w:pStyle w:val="TableContents"/>
              <w:bidi w:val="0"/>
              <w:spacing w:before="0" w:after="283"/>
              <w:jc w:val="left"/>
              <w:rPr/>
            </w:pPr>
            <w:r>
              <w:rPr/>
              <w:t>Customer 125</w:t>
            </w:r>
          </w:p>
        </w:tc>
        <w:tc>
          <w:tcPr>
            <w:tcW w:w="60" w:type="dxa"/>
            <w:tcBorders/>
            <w:tcMar>
              <w:bottom w:w="0" w:type="dxa"/>
            </w:tcMar>
            <w:vAlign w:val="center"/>
          </w:tcPr>
          <w:p>
            <w:pPr>
              <w:pStyle w:val="TableContents"/>
              <w:bidi w:val="0"/>
              <w:spacing w:before="0" w:after="283"/>
              <w:jc w:val="left"/>
              <w:rPr/>
            </w:pPr>
            <w:r>
              <w:rPr/>
              <w:t> </w:t>
            </w:r>
          </w:p>
        </w:tc>
        <w:tc>
          <w:tcPr>
            <w:tcW w:w="239"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right"/>
              <w:rPr/>
            </w:pPr>
            <w:r>
              <w:rPr/>
              <w:t>9,297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1" w:type="dxa"/>
            <w:tcBorders/>
            <w:tcMar>
              <w:bottom w:w="0" w:type="dxa"/>
            </w:tcMar>
            <w:vAlign w:val="center"/>
          </w:tcPr>
          <w:p>
            <w:pPr>
              <w:pStyle w:val="TableContents"/>
              <w:bidi w:val="0"/>
              <w:spacing w:before="0" w:after="283"/>
              <w:jc w:val="left"/>
              <w:rPr/>
            </w:pPr>
            <w:r>
              <w:rPr/>
              <w:t> </w:t>
            </w:r>
          </w:p>
        </w:tc>
        <w:tc>
          <w:tcPr>
            <w:tcW w:w="1194" w:type="dxa"/>
            <w:tcBorders/>
            <w:tcMar>
              <w:bottom w:w="0" w:type="dxa"/>
            </w:tcMar>
            <w:vAlign w:val="center"/>
          </w:tcPr>
          <w:p>
            <w:pPr>
              <w:pStyle w:val="TableContents"/>
              <w:bidi w:val="0"/>
              <w:spacing w:before="0" w:after="283"/>
              <w:jc w:val="right"/>
              <w:rPr/>
            </w:pPr>
            <w:r>
              <w:rPr/>
              <w:t>9,297</w:t>
            </w:r>
          </w:p>
        </w:tc>
        <w:tc>
          <w:tcPr>
            <w:tcW w:w="110" w:type="dxa"/>
            <w:tcBorders/>
            <w:tcMar>
              <w:bottom w:w="0" w:type="dxa"/>
            </w:tcMar>
            <w:vAlign w:val="center"/>
          </w:tcPr>
          <w:p>
            <w:pPr>
              <w:pStyle w:val="TableContents"/>
              <w:bidi w:val="0"/>
              <w:spacing w:before="0" w:after="283"/>
              <w:jc w:val="left"/>
              <w:rPr/>
            </w:pPr>
            <w:r>
              <w:rPr/>
              <w:t> </w:t>
            </w:r>
          </w:p>
        </w:tc>
      </w:tr>
      <w:tr>
        <w:trPr/>
        <w:tc>
          <w:tcPr>
            <w:tcW w:w="5225" w:type="dxa"/>
            <w:tcBorders/>
            <w:shd w:fill="CCEEFF" w:val="clear"/>
            <w:tcMar>
              <w:bottom w:w="0" w:type="dxa"/>
            </w:tcMar>
            <w:vAlign w:val="center"/>
          </w:tcPr>
          <w:p>
            <w:pPr>
              <w:pStyle w:val="TableContents"/>
              <w:bidi w:val="0"/>
              <w:spacing w:before="0" w:after="283"/>
              <w:jc w:val="left"/>
              <w:rPr/>
            </w:pPr>
            <w:r>
              <w:rPr/>
              <w:t>Customer 24096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6,810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194" w:type="dxa"/>
            <w:tcBorders/>
            <w:shd w:fill="CCEEFF" w:val="clear"/>
            <w:tcMar>
              <w:bottom w:w="0" w:type="dxa"/>
            </w:tcMar>
            <w:vAlign w:val="center"/>
          </w:tcPr>
          <w:p>
            <w:pPr>
              <w:pStyle w:val="TableContents"/>
              <w:bidi w:val="0"/>
              <w:spacing w:before="0" w:after="283"/>
              <w:jc w:val="right"/>
              <w:rPr/>
            </w:pPr>
            <w:r>
              <w:rPr/>
              <w:t>6,810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225" w:type="dxa"/>
            <w:tcBorders/>
            <w:tcMar>
              <w:bottom w:w="0" w:type="dxa"/>
            </w:tcMar>
            <w:vAlign w:val="center"/>
          </w:tcPr>
          <w:p>
            <w:pPr>
              <w:pStyle w:val="TableContents"/>
              <w:bidi w:val="0"/>
              <w:spacing w:before="0" w:after="283"/>
              <w:jc w:val="left"/>
              <w:rPr/>
            </w:pPr>
            <w:r>
              <w:rPr/>
              <w:t>Allowance for credit losses</w:t>
            </w:r>
          </w:p>
        </w:tc>
        <w:tc>
          <w:tcPr>
            <w:tcW w:w="60" w:type="dxa"/>
            <w:tcBorders/>
            <w:tcMar>
              <w:bottom w:w="0" w:type="dxa"/>
            </w:tcMar>
            <w:vAlign w:val="center"/>
          </w:tcPr>
          <w:p>
            <w:pPr>
              <w:pStyle w:val="TableContents"/>
              <w:bidi w:val="0"/>
              <w:spacing w:before="0" w:after="283"/>
              <w:jc w:val="left"/>
              <w:rPr/>
            </w:pPr>
            <w:r>
              <w:rPr/>
              <w:t> </w:t>
            </w:r>
          </w:p>
        </w:tc>
        <w:tc>
          <w:tcPr>
            <w:tcW w:w="239" w:type="dxa"/>
            <w:tcBorders>
              <w:bottom w:val="single" w:sz="12" w:space="0" w:color="000000"/>
            </w:tcBorders>
            <w:vAlign w:val="center"/>
          </w:tcPr>
          <w:p>
            <w:pPr>
              <w:pStyle w:val="TableContents"/>
              <w:bidi w:val="0"/>
              <w:spacing w:before="0" w:after="283"/>
              <w:jc w:val="left"/>
              <w:rPr/>
            </w:pPr>
            <w:r>
              <w:rPr/>
              <w:t> </w:t>
            </w:r>
          </w:p>
        </w:tc>
        <w:tc>
          <w:tcPr>
            <w:tcW w:w="1295" w:type="dxa"/>
            <w:tcBorders>
              <w:bottom w:val="single" w:sz="12" w:space="0" w:color="000000"/>
            </w:tcBorders>
            <w:vAlign w:val="center"/>
          </w:tcPr>
          <w:p>
            <w:pPr>
              <w:pStyle w:val="TableContents"/>
              <w:bidi w:val="0"/>
              <w:spacing w:before="0" w:after="283"/>
              <w:jc w:val="right"/>
              <w:rPr/>
            </w:pPr>
            <w:r>
              <w:rPr/>
              <w:t>(18,885</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21" w:type="dxa"/>
            <w:tcBorders>
              <w:bottom w:val="single" w:sz="12" w:space="0" w:color="000000"/>
            </w:tcBorders>
            <w:vAlign w:val="center"/>
          </w:tcPr>
          <w:p>
            <w:pPr>
              <w:pStyle w:val="TableContents"/>
              <w:bidi w:val="0"/>
              <w:spacing w:before="0" w:after="283"/>
              <w:jc w:val="left"/>
              <w:rPr/>
            </w:pPr>
            <w:r>
              <w:rPr/>
              <w:t> </w:t>
            </w:r>
          </w:p>
        </w:tc>
        <w:tc>
          <w:tcPr>
            <w:tcW w:w="1194" w:type="dxa"/>
            <w:tcBorders>
              <w:bottom w:val="single" w:sz="12" w:space="0" w:color="000000"/>
            </w:tcBorders>
            <w:vAlign w:val="center"/>
          </w:tcPr>
          <w:p>
            <w:pPr>
              <w:pStyle w:val="TableContents"/>
              <w:bidi w:val="0"/>
              <w:spacing w:before="0" w:after="283"/>
              <w:jc w:val="right"/>
              <w:rPr/>
            </w:pPr>
            <w:r>
              <w:rPr/>
              <w:t>(19,215</w:t>
            </w:r>
          </w:p>
        </w:tc>
        <w:tc>
          <w:tcPr>
            <w:tcW w:w="110" w:type="dxa"/>
            <w:tcBorders/>
            <w:tcMar>
              <w:bottom w:w="0" w:type="dxa"/>
            </w:tcMar>
            <w:vAlign w:val="center"/>
          </w:tcPr>
          <w:p>
            <w:pPr>
              <w:pStyle w:val="TableContents"/>
              <w:bidi w:val="0"/>
              <w:spacing w:before="0" w:after="283"/>
              <w:jc w:val="left"/>
              <w:rPr/>
            </w:pPr>
            <w:r>
              <w:rPr/>
              <w:t>)</w:t>
            </w:r>
          </w:p>
        </w:tc>
      </w:tr>
      <w:tr>
        <w:trPr/>
        <w:tc>
          <w:tcPr>
            <w:tcW w:w="5225" w:type="dxa"/>
            <w:tcBorders/>
            <w:shd w:fill="CCEEFF" w:val="clear"/>
            <w:tcMar>
              <w:bottom w:w="0" w:type="dxa"/>
            </w:tcMar>
            <w:vAlign w:val="center"/>
          </w:tcPr>
          <w:p>
            <w:pPr>
              <w:pStyle w:val="TableContents"/>
              <w:bidi w:val="0"/>
              <w:spacing w:before="0" w:after="283"/>
              <w:jc w:val="left"/>
              <w:rPr/>
            </w:pPr>
            <w:r>
              <w:rPr/>
              <w:t>Total loan receivable, net of allowance for credit losses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bottom w:val="single" w:sz="12" w:space="0" w:color="000000"/>
            </w:tcBorders>
            <w:shd w:fill="CCEEFF" w:val="clear"/>
            <w:vAlign w:val="center"/>
          </w:tcPr>
          <w:p>
            <w:pPr>
              <w:pStyle w:val="TableContents"/>
              <w:bidi w:val="0"/>
              <w:spacing w:before="0" w:after="283"/>
              <w:jc w:val="left"/>
              <w:rPr/>
            </w:pPr>
            <w:r>
              <w:rPr/>
              <w:t> </w:t>
            </w:r>
          </w:p>
        </w:tc>
        <w:tc>
          <w:tcPr>
            <w:tcW w:w="1295" w:type="dxa"/>
            <w:tcBorders>
              <w:bottom w:val="single" w:sz="12" w:space="0" w:color="000000"/>
            </w:tcBorders>
            <w:shd w:fill="CCEEFF" w:val="clear"/>
            <w:vAlign w:val="center"/>
          </w:tcPr>
          <w:p>
            <w:pPr>
              <w:pStyle w:val="TableContents"/>
              <w:bidi w:val="0"/>
              <w:spacing w:before="0" w:after="283"/>
              <w:jc w:val="right"/>
              <w:rPr/>
            </w:pPr>
            <w:r>
              <w:rPr/>
              <w:t>11,583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bottom w:val="single" w:sz="12" w:space="0" w:color="000000"/>
            </w:tcBorders>
            <w:shd w:fill="CCEEFF" w:val="clear"/>
            <w:vAlign w:val="center"/>
          </w:tcPr>
          <w:p>
            <w:pPr>
              <w:pStyle w:val="TableContents"/>
              <w:bidi w:val="0"/>
              <w:spacing w:before="0" w:after="283"/>
              <w:jc w:val="left"/>
              <w:rPr/>
            </w:pPr>
            <w:r>
              <w:rPr/>
              <w:t> </w:t>
            </w:r>
          </w:p>
        </w:tc>
        <w:tc>
          <w:tcPr>
            <w:tcW w:w="1194" w:type="dxa"/>
            <w:tcBorders>
              <w:bottom w:val="single" w:sz="12" w:space="0" w:color="000000"/>
            </w:tcBorders>
            <w:shd w:fill="CCEEFF" w:val="clear"/>
            <w:vAlign w:val="center"/>
          </w:tcPr>
          <w:p>
            <w:pPr>
              <w:pStyle w:val="TableContents"/>
              <w:bidi w:val="0"/>
              <w:spacing w:before="0" w:after="283"/>
              <w:jc w:val="right"/>
              <w:rPr/>
            </w:pPr>
            <w:r>
              <w:rPr/>
              <w:t>11,583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225" w:type="dxa"/>
            <w:tcBorders/>
            <w:tcMar>
              <w:bottom w:w="0" w:type="dxa"/>
            </w:tcMar>
            <w:vAlign w:val="center"/>
          </w:tcPr>
          <w:p>
            <w:pPr>
              <w:pStyle w:val="TableContents"/>
              <w:bidi w:val="0"/>
              <w:spacing w:before="0" w:after="283"/>
              <w:jc w:val="left"/>
              <w:rPr/>
            </w:pPr>
            <w:r>
              <w:rPr/>
              <w:t>Less: current portion</w:t>
            </w:r>
          </w:p>
        </w:tc>
        <w:tc>
          <w:tcPr>
            <w:tcW w:w="60" w:type="dxa"/>
            <w:tcBorders/>
            <w:tcMar>
              <w:bottom w:w="0" w:type="dxa"/>
            </w:tcMar>
            <w:vAlign w:val="center"/>
          </w:tcPr>
          <w:p>
            <w:pPr>
              <w:pStyle w:val="TableContents"/>
              <w:bidi w:val="0"/>
              <w:spacing w:before="0" w:after="283"/>
              <w:jc w:val="left"/>
              <w:rPr/>
            </w:pPr>
            <w:r>
              <w:rPr/>
              <w:t> </w:t>
            </w:r>
          </w:p>
        </w:tc>
        <w:tc>
          <w:tcPr>
            <w:tcW w:w="239" w:type="dxa"/>
            <w:tcBorders>
              <w:bottom w:val="single" w:sz="12" w:space="0" w:color="000000"/>
            </w:tcBorders>
            <w:vAlign w:val="center"/>
          </w:tcPr>
          <w:p>
            <w:pPr>
              <w:pStyle w:val="TableContents"/>
              <w:bidi w:val="0"/>
              <w:spacing w:before="0" w:after="283"/>
              <w:jc w:val="left"/>
              <w:rPr/>
            </w:pPr>
            <w:r>
              <w:rPr/>
              <w:t> </w:t>
            </w:r>
          </w:p>
        </w:tc>
        <w:tc>
          <w:tcPr>
            <w:tcW w:w="1295" w:type="dxa"/>
            <w:tcBorders>
              <w:bottom w:val="single" w:sz="12" w:space="0" w:color="000000"/>
            </w:tcBorders>
            <w:vAlign w:val="center"/>
          </w:tcPr>
          <w:p>
            <w:pPr>
              <w:pStyle w:val="TableContents"/>
              <w:bidi w:val="0"/>
              <w:spacing w:before="0" w:after="283"/>
              <w:jc w:val="right"/>
              <w:rPr/>
            </w:pPr>
            <w:r>
              <w:rPr/>
              <w:t>(1,680</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21" w:type="dxa"/>
            <w:tcBorders>
              <w:bottom w:val="single" w:sz="12" w:space="0" w:color="000000"/>
            </w:tcBorders>
            <w:vAlign w:val="center"/>
          </w:tcPr>
          <w:p>
            <w:pPr>
              <w:pStyle w:val="TableContents"/>
              <w:bidi w:val="0"/>
              <w:spacing w:before="0" w:after="283"/>
              <w:jc w:val="left"/>
              <w:rPr/>
            </w:pPr>
            <w:r>
              <w:rPr/>
              <w:t> </w:t>
            </w:r>
          </w:p>
        </w:tc>
        <w:tc>
          <w:tcPr>
            <w:tcW w:w="1194" w:type="dxa"/>
            <w:tcBorders>
              <w:bottom w:val="single" w:sz="12" w:space="0" w:color="000000"/>
            </w:tcBorders>
            <w:vAlign w:val="center"/>
          </w:tcPr>
          <w:p>
            <w:pPr>
              <w:pStyle w:val="TableContents"/>
              <w:bidi w:val="0"/>
              <w:spacing w:before="0" w:after="0"/>
              <w:jc w:val="right"/>
              <w:rPr/>
            </w:pPr>
            <w:r>
              <w:rPr/>
              <w:t>—</w:t>
            </w:r>
          </w:p>
        </w:tc>
        <w:tc>
          <w:tcPr>
            <w:tcW w:w="110" w:type="dxa"/>
            <w:tcBorders/>
            <w:tcMar>
              <w:bottom w:w="0" w:type="dxa"/>
            </w:tcMar>
            <w:vAlign w:val="center"/>
          </w:tcPr>
          <w:p>
            <w:pPr>
              <w:pStyle w:val="TableContents"/>
              <w:bidi w:val="0"/>
              <w:spacing w:before="0" w:after="283"/>
              <w:jc w:val="left"/>
              <w:rPr/>
            </w:pPr>
            <w:r>
              <w:rPr/>
              <w:t> </w:t>
            </w:r>
          </w:p>
        </w:tc>
      </w:tr>
      <w:tr>
        <w:trPr/>
        <w:tc>
          <w:tcPr>
            <w:tcW w:w="5225" w:type="dxa"/>
            <w:tcBorders/>
            <w:shd w:fill="CCEEFF" w:val="clear"/>
            <w:tcMar>
              <w:bottom w:w="0" w:type="dxa"/>
            </w:tcMar>
            <w:vAlign w:val="center"/>
          </w:tcPr>
          <w:p>
            <w:pPr>
              <w:pStyle w:val="TableContents"/>
              <w:bidi w:val="0"/>
              <w:spacing w:before="0" w:after="283"/>
              <w:jc w:val="left"/>
              <w:rPr/>
            </w:pPr>
            <w:r>
              <w:rPr/>
              <w:t>Total loan receivable, net of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 w:type="dxa"/>
            <w:tcBorders>
              <w:bottom w:val="double" w:sz="10" w:space="0" w:color="000000"/>
            </w:tcBorders>
            <w:shd w:fill="CCEEFF" w:val="clear"/>
            <w:vAlign w:val="center"/>
          </w:tcPr>
          <w:p>
            <w:pPr>
              <w:pStyle w:val="TableContents"/>
              <w:bidi w:val="0"/>
              <w:spacing w:before="0" w:after="283"/>
              <w:jc w:val="left"/>
              <w:rPr/>
            </w:pPr>
            <w:r>
              <w:rPr/>
              <w:t>$</w:t>
            </w:r>
          </w:p>
        </w:tc>
        <w:tc>
          <w:tcPr>
            <w:tcW w:w="1295" w:type="dxa"/>
            <w:tcBorders>
              <w:bottom w:val="double" w:sz="10" w:space="0" w:color="000000"/>
            </w:tcBorders>
            <w:shd w:fill="CCEEFF" w:val="clear"/>
            <w:vAlign w:val="center"/>
          </w:tcPr>
          <w:p>
            <w:pPr>
              <w:pStyle w:val="TableContents"/>
              <w:bidi w:val="0"/>
              <w:spacing w:before="0" w:after="283"/>
              <w:jc w:val="right"/>
              <w:rPr/>
            </w:pPr>
            <w:r>
              <w:rPr/>
              <w:t>9,903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bottom w:val="double" w:sz="10" w:space="0" w:color="000000"/>
            </w:tcBorders>
            <w:shd w:fill="CCEEFF" w:val="clear"/>
            <w:vAlign w:val="center"/>
          </w:tcPr>
          <w:p>
            <w:pPr>
              <w:pStyle w:val="TableContents"/>
              <w:bidi w:val="0"/>
              <w:spacing w:before="0" w:after="283"/>
              <w:jc w:val="left"/>
              <w:rPr/>
            </w:pPr>
            <w:r>
              <w:rPr/>
              <w:t>$</w:t>
            </w:r>
          </w:p>
        </w:tc>
        <w:tc>
          <w:tcPr>
            <w:tcW w:w="1194" w:type="dxa"/>
            <w:tcBorders>
              <w:bottom w:val="double" w:sz="10" w:space="0" w:color="000000"/>
            </w:tcBorders>
            <w:shd w:fill="CCEEFF" w:val="clear"/>
            <w:vAlign w:val="center"/>
          </w:tcPr>
          <w:p>
            <w:pPr>
              <w:pStyle w:val="TableContents"/>
              <w:bidi w:val="0"/>
              <w:spacing w:before="0" w:after="283"/>
              <w:jc w:val="right"/>
              <w:rPr/>
            </w:pPr>
            <w:r>
              <w:rPr/>
              <w:t>11,583</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Bud &amp; Mary’s Cultivation, Inc. (“Bud &amp; Mary’s”) - Customer 139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2021 the company executed an agreement with our customer, Bud &amp; Mary’s, under the TTK solution program to provide financing and project management for the build out and development of their cultivation facility. The initial payment date on the loan receivable from our customer Bud &amp; Mary’s is the first business day of the first full month following the commencement of commercial products sales and the maturity date is 24 months from the initial payment date. The interest rate is 16% per annum.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third quarter of 2022, the Company became aware that Bud &amp; Mary’s was not in compliance with all debt covenants as defined in the governing loan agreement dated May 12, 2021, which resulted in the Company issuing a loan acceleration letter to Bud &amp; Mary’s on September 15, 2022, demanding full repayment of the loan. Consequently, the Company established a reserve of $14.7 million specifically related to Bud &amp; Mary’s. As of September 30, 2024, the allowance related to Bud &amp; Mary’s was reduced to $14.4 million, reflecting a recovery of allowance for credit losses resulting from a loan repayment of $330 thousand that was previously included in the allowance.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Hannah Industries (“Hannah”) - Customer 125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10, 2021 the company executed an agreement with our customer, Hannah, under the TTK solution program to provide financing and project management for the build out and development of their cultivation facility. As of December 31, 2022, the Company was unable to provide additional financing. As a result, the Company concluded that the existing receivable due from Hannah was impaired as of this date. Given the uncertainty around Hannah’s ability to repay the outstanding balance of the loan as well as the absence of value attributed to any collateral from Hannah, an allowance for credit losses was recognized for 50% of the total outstanding receivable balance as of December 31, 2022. The Company recognized an allowance for credit losses related to the Hannah loan receivable in the amount of $4.5 million as of December 31, 2022. In October 2023, the Company remitted an additional $250 thousand to Hannah under the TTK Solution program, on which an allowance was not recorded since the payment signals progress toward completion of the project. Therefore the allowance on the Hannah loan remains at $4.5 million as of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project is completed, the customer will begin making monthly payments based on its cannabis harvest.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Nevada Holistics (“Treehouse”) - Customer 24096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2021 the company executed an agreement with our customer, Nevada Holistics, under the TTK solution program to provide financing and project management for the build out and development of their cultivation facility. As of September 30, 2024, Nevada Holistics has a current balance of $1.68 million due to the company in relation to the loan under the TTK Solution program. The project went live in the second quarter of 2023. After the 90 day period for Treehouse’s first harvest, the customer was given an additional 6-month grace period which ended in the first quarter of 2024. Upon completion of this grace period, the Company began invoicing the customer each month for a portion of the outstanding loan balance. The borrower had previously agreed to begin making monthly payments in the second quarter of 2024 based on what it produces through harvests, though no payments have yet been received and negotiations have been ongoing. Monthly payments would be calculated based off of the Production Success Fees generated from each harvest. Upon issuance of each invoice to Treehouse, that portion of the loan is reclassified into loan receivable, current on the unaudited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Inventory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applied to the purchase of products once they are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consisted of the following as of September 30, 2024 and December 31, 2023:</w:t>
      </w:r>
    </w:p>
    <w:p>
      <w:pPr>
        <w:pStyle w:val="TextBody"/>
        <w:bidi w:val="0"/>
        <w:spacing w:before="0" w:after="0"/>
        <w:ind w:left="0" w:right="0" w:firstLine="360"/>
        <w:jc w:val="left"/>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1895"/>
        <w:gridCol w:w="60"/>
        <w:gridCol w:w="230"/>
        <w:gridCol w:w="1245"/>
        <w:gridCol w:w="95"/>
        <w:gridCol w:w="60"/>
        <w:gridCol w:w="221"/>
        <w:gridCol w:w="1194"/>
        <w:gridCol w:w="110"/>
      </w:tblGrid>
      <w:tr>
        <w:trPr/>
        <w:tc>
          <w:tcPr>
            <w:tcW w:w="189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12" w:space="0" w:color="000000"/>
            </w:tcBorders>
            <w:vAlign w:val="center"/>
          </w:tcPr>
          <w:p>
            <w:pPr>
              <w:pStyle w:val="TableContents"/>
              <w:bidi w:val="0"/>
              <w:spacing w:before="0" w:after="283"/>
              <w:jc w:val="center"/>
              <w:rPr>
                <w:b/>
              </w:rPr>
            </w:pPr>
            <w:r>
              <w:rPr>
                <w:b/>
              </w:rPr>
              <w:t>September 30,</w:t>
              <w:b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2023</w:t>
            </w:r>
          </w:p>
        </w:tc>
        <w:tc>
          <w:tcPr>
            <w:tcW w:w="110" w:type="dxa"/>
            <w:tcBorders/>
            <w:tcMar>
              <w:bottom w:w="0" w:type="dxa"/>
            </w:tcMar>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283"/>
              <w:jc w:val="left"/>
              <w:rPr/>
            </w:pPr>
            <w:r>
              <w:rPr/>
              <w:t>Finished goods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w:t>
            </w:r>
          </w:p>
        </w:tc>
        <w:tc>
          <w:tcPr>
            <w:tcW w:w="1245" w:type="dxa"/>
            <w:tcBorders/>
            <w:shd w:fill="CCEEFF" w:val="clear"/>
            <w:tcMar>
              <w:bottom w:w="0" w:type="dxa"/>
            </w:tcMar>
            <w:vAlign w:val="center"/>
          </w:tcPr>
          <w:p>
            <w:pPr>
              <w:pStyle w:val="TableContents"/>
              <w:bidi w:val="0"/>
              <w:spacing w:before="0" w:after="283"/>
              <w:jc w:val="right"/>
              <w:rPr/>
            </w:pPr>
            <w:r>
              <w:rPr/>
              <w:t>8,399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7,438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Inventory for resale</w:t>
            </w:r>
          </w:p>
        </w:tc>
        <w:tc>
          <w:tcPr>
            <w:tcW w:w="60" w:type="dxa"/>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c>
          <w:tcPr>
            <w:tcW w:w="1245" w:type="dxa"/>
            <w:tcBorders/>
            <w:tcMar>
              <w:bottom w:w="0" w:type="dxa"/>
            </w:tcMar>
            <w:vAlign w:val="center"/>
          </w:tcPr>
          <w:p>
            <w:pPr>
              <w:pStyle w:val="TableContents"/>
              <w:bidi w:val="0"/>
              <w:spacing w:before="0" w:after="283"/>
              <w:jc w:val="right"/>
              <w:rPr/>
            </w:pPr>
            <w:r>
              <w:rPr/>
              <w:t>4,378</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1" w:type="dxa"/>
            <w:tcBorders/>
            <w:tcMar>
              <w:bottom w:w="0" w:type="dxa"/>
            </w:tcMar>
            <w:vAlign w:val="center"/>
          </w:tcPr>
          <w:p>
            <w:pPr>
              <w:pStyle w:val="TableContents"/>
              <w:bidi w:val="0"/>
              <w:spacing w:before="0" w:after="283"/>
              <w:jc w:val="left"/>
              <w:rPr/>
            </w:pPr>
            <w:r>
              <w:rPr/>
              <w:t> </w:t>
            </w:r>
          </w:p>
        </w:tc>
        <w:tc>
          <w:tcPr>
            <w:tcW w:w="1194" w:type="dxa"/>
            <w:tcBorders/>
            <w:tcMar>
              <w:bottom w:w="0" w:type="dxa"/>
            </w:tcMar>
            <w:vAlign w:val="center"/>
          </w:tcPr>
          <w:p>
            <w:pPr>
              <w:pStyle w:val="TableContents"/>
              <w:bidi w:val="0"/>
              <w:spacing w:before="0" w:after="283"/>
              <w:jc w:val="right"/>
              <w:rPr/>
            </w:pPr>
            <w:r>
              <w:rPr/>
              <w:t>4,882</w:t>
            </w:r>
          </w:p>
        </w:tc>
        <w:tc>
          <w:tcPr>
            <w:tcW w:w="110" w:type="dxa"/>
            <w:tcBorders/>
            <w:tcMar>
              <w:bottom w:w="0" w:type="dxa"/>
            </w:tcMar>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283"/>
              <w:jc w:val="left"/>
              <w:rPr/>
            </w:pPr>
            <w:r>
              <w:rPr/>
              <w:t>Prepaid inventory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813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194" w:type="dxa"/>
            <w:tcBorders/>
            <w:shd w:fill="CCEEFF" w:val="clear"/>
            <w:tcMar>
              <w:bottom w:w="0" w:type="dxa"/>
            </w:tcMar>
            <w:vAlign w:val="center"/>
          </w:tcPr>
          <w:p>
            <w:pPr>
              <w:pStyle w:val="TableContents"/>
              <w:bidi w:val="0"/>
              <w:spacing w:before="0" w:after="283"/>
              <w:jc w:val="right"/>
              <w:rPr/>
            </w:pPr>
            <w:r>
              <w:rPr/>
              <w:t>924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Raw materials</w:t>
            </w:r>
          </w:p>
        </w:tc>
        <w:tc>
          <w:tcPr>
            <w:tcW w:w="60" w:type="dxa"/>
            <w:tcBorders/>
            <w:tcMar>
              <w:bottom w:w="0" w:type="dxa"/>
            </w:tcMar>
            <w:vAlign w:val="center"/>
          </w:tcPr>
          <w:p>
            <w:pPr>
              <w:pStyle w:val="TableContents"/>
              <w:bidi w:val="0"/>
              <w:spacing w:before="0" w:after="283"/>
              <w:jc w:val="left"/>
              <w:rPr/>
            </w:pPr>
            <w:r>
              <w:rPr/>
              <w:t> </w:t>
            </w:r>
          </w:p>
        </w:tc>
        <w:tc>
          <w:tcPr>
            <w:tcW w:w="230" w:type="dxa"/>
            <w:tcBorders>
              <w:bottom w:val="single" w:sz="12" w:space="0" w:color="000000"/>
            </w:tcBorders>
            <w:vAlign w:val="center"/>
          </w:tcPr>
          <w:p>
            <w:pPr>
              <w:pStyle w:val="TableContents"/>
              <w:bidi w:val="0"/>
              <w:spacing w:before="0" w:after="283"/>
              <w:jc w:val="left"/>
              <w:rPr/>
            </w:pPr>
            <w:r>
              <w:rPr/>
              <w:t> </w:t>
            </w:r>
          </w:p>
        </w:tc>
        <w:tc>
          <w:tcPr>
            <w:tcW w:w="1245" w:type="dxa"/>
            <w:tcBorders>
              <w:bottom w:val="single" w:sz="12" w:space="0" w:color="000000"/>
            </w:tcBorders>
            <w:vAlign w:val="center"/>
          </w:tcPr>
          <w:p>
            <w:pPr>
              <w:pStyle w:val="TableContents"/>
              <w:bidi w:val="0"/>
              <w:spacing w:before="0" w:after="283"/>
              <w:jc w:val="right"/>
              <w:rPr/>
            </w:pPr>
            <w:r>
              <w:rPr/>
              <w:t>20,261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1" w:type="dxa"/>
            <w:tcBorders>
              <w:bottom w:val="single" w:sz="12" w:space="0" w:color="000000"/>
            </w:tcBorders>
            <w:vAlign w:val="center"/>
          </w:tcPr>
          <w:p>
            <w:pPr>
              <w:pStyle w:val="TableContents"/>
              <w:bidi w:val="0"/>
              <w:spacing w:before="0" w:after="283"/>
              <w:jc w:val="left"/>
              <w:rPr/>
            </w:pPr>
            <w:r>
              <w:rPr/>
              <w:t> </w:t>
            </w:r>
          </w:p>
        </w:tc>
        <w:tc>
          <w:tcPr>
            <w:tcW w:w="1194" w:type="dxa"/>
            <w:tcBorders>
              <w:bottom w:val="single" w:sz="12" w:space="0" w:color="000000"/>
            </w:tcBorders>
            <w:vAlign w:val="center"/>
          </w:tcPr>
          <w:p>
            <w:pPr>
              <w:pStyle w:val="TableContents"/>
              <w:bidi w:val="0"/>
              <w:spacing w:before="0" w:after="283"/>
              <w:jc w:val="right"/>
              <w:rPr/>
            </w:pPr>
            <w:r>
              <w:rPr/>
              <w:t>23,449</w:t>
            </w:r>
          </w:p>
        </w:tc>
        <w:tc>
          <w:tcPr>
            <w:tcW w:w="110" w:type="dxa"/>
            <w:tcBorders/>
            <w:tcMar>
              <w:bottom w:w="0" w:type="dxa"/>
            </w:tcMar>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283"/>
              <w:jc w:val="left"/>
              <w:rPr/>
            </w:pPr>
            <w:r>
              <w:rPr/>
              <w:t>Inventory, gross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33,851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194" w:type="dxa"/>
            <w:tcBorders/>
            <w:shd w:fill="CCEEFF" w:val="clear"/>
            <w:tcMar>
              <w:bottom w:w="0" w:type="dxa"/>
            </w:tcMar>
            <w:vAlign w:val="center"/>
          </w:tcPr>
          <w:p>
            <w:pPr>
              <w:pStyle w:val="TableContents"/>
              <w:bidi w:val="0"/>
              <w:spacing w:before="0" w:after="283"/>
              <w:jc w:val="right"/>
              <w:rPr/>
            </w:pPr>
            <w:r>
              <w:rPr/>
              <w:t>36,693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Inventory reserves</w:t>
            </w:r>
          </w:p>
        </w:tc>
        <w:tc>
          <w:tcPr>
            <w:tcW w:w="60" w:type="dxa"/>
            <w:tcBorders/>
            <w:tcMar>
              <w:bottom w:w="0" w:type="dxa"/>
            </w:tcMar>
            <w:vAlign w:val="center"/>
          </w:tcPr>
          <w:p>
            <w:pPr>
              <w:pStyle w:val="TableContents"/>
              <w:bidi w:val="0"/>
              <w:spacing w:before="0" w:after="283"/>
              <w:jc w:val="left"/>
              <w:rPr/>
            </w:pPr>
            <w:r>
              <w:rPr/>
              <w:t> </w:t>
            </w:r>
          </w:p>
        </w:tc>
        <w:tc>
          <w:tcPr>
            <w:tcW w:w="230" w:type="dxa"/>
            <w:tcBorders>
              <w:bottom w:val="single" w:sz="12" w:space="0" w:color="000000"/>
            </w:tcBorders>
            <w:vAlign w:val="center"/>
          </w:tcPr>
          <w:p>
            <w:pPr>
              <w:pStyle w:val="TableContents"/>
              <w:bidi w:val="0"/>
              <w:spacing w:before="0" w:after="283"/>
              <w:jc w:val="left"/>
              <w:rPr/>
            </w:pPr>
            <w:r>
              <w:rPr/>
              <w:t> </w:t>
            </w:r>
          </w:p>
        </w:tc>
        <w:tc>
          <w:tcPr>
            <w:tcW w:w="1245" w:type="dxa"/>
            <w:tcBorders>
              <w:bottom w:val="single" w:sz="12" w:space="0" w:color="000000"/>
            </w:tcBorders>
            <w:vAlign w:val="center"/>
          </w:tcPr>
          <w:p>
            <w:pPr>
              <w:pStyle w:val="TableContents"/>
              <w:bidi w:val="0"/>
              <w:spacing w:before="0" w:after="283"/>
              <w:jc w:val="right"/>
              <w:rPr/>
            </w:pPr>
            <w:r>
              <w:rPr/>
              <w:t>(15,766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21" w:type="dxa"/>
            <w:tcBorders>
              <w:bottom w:val="single" w:sz="12" w:space="0" w:color="000000"/>
            </w:tcBorders>
            <w:vAlign w:val="center"/>
          </w:tcPr>
          <w:p>
            <w:pPr>
              <w:pStyle w:val="TableContents"/>
              <w:bidi w:val="0"/>
              <w:spacing w:before="0" w:after="283"/>
              <w:jc w:val="left"/>
              <w:rPr/>
            </w:pPr>
            <w:r>
              <w:rPr/>
              <w:t> </w:t>
            </w:r>
          </w:p>
        </w:tc>
        <w:tc>
          <w:tcPr>
            <w:tcW w:w="1194" w:type="dxa"/>
            <w:tcBorders>
              <w:bottom w:val="single" w:sz="12" w:space="0" w:color="000000"/>
            </w:tcBorders>
            <w:vAlign w:val="center"/>
          </w:tcPr>
          <w:p>
            <w:pPr>
              <w:pStyle w:val="TableContents"/>
              <w:bidi w:val="0"/>
              <w:spacing w:before="0" w:after="283"/>
              <w:jc w:val="right"/>
              <w:rPr/>
            </w:pPr>
            <w:r>
              <w:rPr/>
              <w:t>(17,599</w:t>
            </w:r>
          </w:p>
        </w:tc>
        <w:tc>
          <w:tcPr>
            <w:tcW w:w="110" w:type="dxa"/>
            <w:tcBorders/>
            <w:tcMar>
              <w:bottom w:w="0" w:type="dxa"/>
            </w:tcMar>
            <w:vAlign w:val="center"/>
          </w:tcPr>
          <w:p>
            <w:pPr>
              <w:pStyle w:val="TableContents"/>
              <w:bidi w:val="0"/>
              <w:spacing w:before="0" w:after="283"/>
              <w:jc w:val="left"/>
              <w:rPr/>
            </w:pPr>
            <w:r>
              <w:rPr/>
              <w:t>)</w:t>
            </w:r>
          </w:p>
        </w:tc>
      </w:tr>
      <w:tr>
        <w:trPr/>
        <w:tc>
          <w:tcPr>
            <w:tcW w:w="1895" w:type="dxa"/>
            <w:tcBorders/>
            <w:shd w:fill="CCEEFF" w:val="clear"/>
            <w:tcMar>
              <w:bottom w:w="0" w:type="dxa"/>
            </w:tcMar>
            <w:vAlign w:val="center"/>
          </w:tcPr>
          <w:p>
            <w:pPr>
              <w:pStyle w:val="TableContents"/>
              <w:bidi w:val="0"/>
              <w:spacing w:before="0" w:after="283"/>
              <w:jc w:val="left"/>
              <w:rPr/>
            </w:pPr>
            <w:r>
              <w:rPr/>
              <w:t>Total inventory,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bottom w:val="double" w:sz="10" w:space="0" w:color="000000"/>
            </w:tcBorders>
            <w:shd w:fill="CCEEFF" w:val="clear"/>
            <w:vAlign w:val="center"/>
          </w:tcPr>
          <w:p>
            <w:pPr>
              <w:pStyle w:val="TableContents"/>
              <w:bidi w:val="0"/>
              <w:spacing w:before="0" w:after="283"/>
              <w:jc w:val="left"/>
              <w:rPr/>
            </w:pPr>
            <w:r>
              <w:rPr/>
              <w:t>$</w:t>
            </w:r>
          </w:p>
        </w:tc>
        <w:tc>
          <w:tcPr>
            <w:tcW w:w="1245" w:type="dxa"/>
            <w:tcBorders>
              <w:bottom w:val="double" w:sz="10" w:space="0" w:color="000000"/>
            </w:tcBorders>
            <w:shd w:fill="CCEEFF" w:val="clear"/>
            <w:vAlign w:val="center"/>
          </w:tcPr>
          <w:p>
            <w:pPr>
              <w:pStyle w:val="TableContents"/>
              <w:bidi w:val="0"/>
              <w:spacing w:before="0" w:after="283"/>
              <w:jc w:val="right"/>
              <w:rPr/>
            </w:pPr>
            <w:r>
              <w:rPr/>
              <w:t>18,085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bottom w:val="double" w:sz="10" w:space="0" w:color="000000"/>
            </w:tcBorders>
            <w:shd w:fill="CCEEFF" w:val="clear"/>
            <w:vAlign w:val="center"/>
          </w:tcPr>
          <w:p>
            <w:pPr>
              <w:pStyle w:val="TableContents"/>
              <w:bidi w:val="0"/>
              <w:spacing w:before="0" w:after="283"/>
              <w:jc w:val="left"/>
              <w:rPr/>
            </w:pPr>
            <w:r>
              <w:rPr/>
              <w:t>$</w:t>
            </w:r>
          </w:p>
        </w:tc>
        <w:tc>
          <w:tcPr>
            <w:tcW w:w="1194" w:type="dxa"/>
            <w:tcBorders>
              <w:bottom w:val="double" w:sz="10" w:space="0" w:color="000000"/>
            </w:tcBorders>
            <w:shd w:fill="CCEEFF" w:val="clear"/>
            <w:vAlign w:val="center"/>
          </w:tcPr>
          <w:p>
            <w:pPr>
              <w:pStyle w:val="TableContents"/>
              <w:bidi w:val="0"/>
              <w:spacing w:before="0" w:after="283"/>
              <w:jc w:val="right"/>
              <w:rPr/>
            </w:pPr>
            <w:r>
              <w:rPr/>
              <w:t>19,094</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Inventory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debt consisted of:</w:t>
      </w:r>
    </w:p>
    <w:p>
      <w:pPr>
        <w:pStyle w:val="TextBody"/>
        <w:bidi w:val="0"/>
        <w:spacing w:before="0" w:after="0"/>
        <w:ind w:left="0" w:right="0" w:firstLine="360"/>
        <w:jc w:val="left"/>
        <w:rPr>
          <w:caps w:val="false"/>
          <w:smallCaps w:val="false"/>
        </w:rPr>
      </w:pPr>
      <w:r>
        <w:rPr>
          <w:caps w:val="false"/>
          <w:smallCaps w:val="false"/>
        </w:rPr>
        <w:t> </w:t>
      </w:r>
    </w:p>
    <w:tbl>
      <w:tblPr>
        <w:tblW w:w="6849" w:type="dxa"/>
        <w:jc w:val="left"/>
        <w:tblInd w:w="0" w:type="dxa"/>
        <w:tblLayout w:type="fixed"/>
        <w:tblCellMar>
          <w:top w:w="0" w:type="dxa"/>
          <w:left w:w="0" w:type="dxa"/>
          <w:bottom w:w="28" w:type="dxa"/>
          <w:right w:w="0" w:type="dxa"/>
        </w:tblCellMar>
      </w:tblPr>
      <w:tblGrid>
        <w:gridCol w:w="3575"/>
        <w:gridCol w:w="60"/>
        <w:gridCol w:w="276"/>
        <w:gridCol w:w="1258"/>
        <w:gridCol w:w="95"/>
        <w:gridCol w:w="60"/>
        <w:gridCol w:w="241"/>
        <w:gridCol w:w="1174"/>
        <w:gridCol w:w="110"/>
      </w:tblGrid>
      <w:tr>
        <w:trPr/>
        <w:tc>
          <w:tcPr>
            <w:tcW w:w="357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12" w:space="0" w:color="000000"/>
            </w:tcBorders>
            <w:vAlign w:val="center"/>
          </w:tcPr>
          <w:p>
            <w:pPr>
              <w:pStyle w:val="TableContents"/>
              <w:bidi w:val="0"/>
              <w:spacing w:before="0" w:after="283"/>
              <w:jc w:val="center"/>
              <w:rPr>
                <w:b/>
              </w:rPr>
            </w:pPr>
            <w:r>
              <w:rPr>
                <w:b/>
              </w:rPr>
              <w:t xml:space="preserve">September 30, </w:t>
              <w:b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2023</w:t>
            </w:r>
          </w:p>
        </w:tc>
        <w:tc>
          <w:tcPr>
            <w:tcW w:w="110" w:type="dxa"/>
            <w:tcBorders/>
            <w:tcMar>
              <w:bottom w:w="0" w:type="dxa"/>
            </w:tcMar>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b/>
              </w:rPr>
            </w:pPr>
            <w:r>
              <w:rPr>
                <w:b/>
              </w:rPr>
              <w:t>Related party debt:</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pPr>
            <w:r>
              <w:rPr/>
              <w:t>Consolidated CP Acquisitions Note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w:t>
            </w:r>
          </w:p>
        </w:tc>
        <w:tc>
          <w:tcPr>
            <w:tcW w:w="1258" w:type="dxa"/>
            <w:tcBorders/>
            <w:shd w:fill="CCEEFF" w:val="clear"/>
            <w:tcMar>
              <w:bottom w:w="0" w:type="dxa"/>
            </w:tcMar>
            <w:vAlign w:val="center"/>
          </w:tcPr>
          <w:p>
            <w:pPr>
              <w:pStyle w:val="TableContents"/>
              <w:bidi w:val="0"/>
              <w:spacing w:before="0" w:after="283"/>
              <w:jc w:val="right"/>
              <w:rPr/>
            </w:pPr>
            <w:r>
              <w:rPr/>
              <w:t>4,360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w:t>
            </w:r>
          </w:p>
        </w:tc>
        <w:tc>
          <w:tcPr>
            <w:tcW w:w="1174" w:type="dxa"/>
            <w:tcBorders/>
            <w:shd w:fill="CCEEFF" w:val="clear"/>
            <w:tcMar>
              <w:bottom w:w="0" w:type="dxa"/>
            </w:tcMar>
            <w:vAlign w:val="center"/>
          </w:tcPr>
          <w:p>
            <w:pPr>
              <w:pStyle w:val="TableContents"/>
              <w:bidi w:val="0"/>
              <w:spacing w:before="0" w:after="0"/>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pPr>
            <w:r>
              <w:rPr/>
              <w:t>2024 CP Acquisitions Notes</w:t>
            </w:r>
          </w:p>
        </w:tc>
        <w:tc>
          <w:tcPr>
            <w:tcW w:w="60" w:type="dxa"/>
            <w:tcBorders/>
            <w:tcMar>
              <w:bottom w:w="0" w:type="dxa"/>
            </w:tcMar>
            <w:vAlign w:val="center"/>
          </w:tcPr>
          <w:p>
            <w:pPr>
              <w:pStyle w:val="TableContents"/>
              <w:bidi w:val="0"/>
              <w:spacing w:before="0" w:after="283"/>
              <w:jc w:val="left"/>
              <w:rPr/>
            </w:pPr>
            <w:r>
              <w:rPr/>
              <w:t> </w:t>
            </w:r>
          </w:p>
        </w:tc>
        <w:tc>
          <w:tcPr>
            <w:tcW w:w="276" w:type="dxa"/>
            <w:tcBorders/>
            <w:tcMar>
              <w:bottom w:w="0" w:type="dxa"/>
            </w:tcMar>
            <w:vAlign w:val="center"/>
          </w:tcPr>
          <w:p>
            <w:pPr>
              <w:pStyle w:val="TableContents"/>
              <w:bidi w:val="0"/>
              <w:spacing w:before="0" w:after="283"/>
              <w:jc w:val="left"/>
              <w:rPr/>
            </w:pPr>
            <w:r>
              <w:rPr/>
              <w:t> </w:t>
            </w:r>
          </w:p>
        </w:tc>
        <w:tc>
          <w:tcPr>
            <w:tcW w:w="1258" w:type="dxa"/>
            <w:tcBorders/>
            <w:tcMar>
              <w:bottom w:w="0" w:type="dxa"/>
            </w:tcMar>
            <w:vAlign w:val="center"/>
          </w:tcPr>
          <w:p>
            <w:pPr>
              <w:pStyle w:val="TableContents"/>
              <w:bidi w:val="0"/>
              <w:spacing w:before="0" w:after="283"/>
              <w:jc w:val="right"/>
              <w:rPr/>
            </w:pPr>
            <w:r>
              <w:rPr/>
              <w:t>2,344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 w:type="dxa"/>
            <w:tcBorders/>
            <w:tcMar>
              <w:bottom w:w="0" w:type="dxa"/>
            </w:tcMar>
            <w:vAlign w:val="center"/>
          </w:tcPr>
          <w:p>
            <w:pPr>
              <w:pStyle w:val="TableContents"/>
              <w:bidi w:val="0"/>
              <w:spacing w:before="0" w:after="283"/>
              <w:jc w:val="left"/>
              <w:rPr/>
            </w:pPr>
            <w:r>
              <w:rPr/>
              <w:t> </w:t>
            </w:r>
          </w:p>
        </w:tc>
        <w:tc>
          <w:tcPr>
            <w:tcW w:w="1174" w:type="dxa"/>
            <w:tcBorders/>
            <w:tcMar>
              <w:bottom w:w="0" w:type="dxa"/>
            </w:tcMar>
            <w:vAlign w:val="center"/>
          </w:tcPr>
          <w:p>
            <w:pPr>
              <w:pStyle w:val="TableContents"/>
              <w:bidi w:val="0"/>
              <w:spacing w:before="0" w:after="0"/>
              <w:jc w:val="right"/>
              <w:rPr/>
            </w:pPr>
            <w:r>
              <w:rPr/>
              <w:t>—</w:t>
            </w:r>
          </w:p>
        </w:tc>
        <w:tc>
          <w:tcPr>
            <w:tcW w:w="110" w:type="dxa"/>
            <w:tcBorders/>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pPr>
            <w:r>
              <w:rPr/>
              <w:t>CP Acquisitions Junior Secured Note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3,799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pPr>
            <w:r>
              <w:rPr/>
              <w:t>GIC Acquisition Note</w:t>
            </w:r>
          </w:p>
        </w:tc>
        <w:tc>
          <w:tcPr>
            <w:tcW w:w="60" w:type="dxa"/>
            <w:tcBorders/>
            <w:tcMar>
              <w:bottom w:w="0" w:type="dxa"/>
            </w:tcMar>
            <w:vAlign w:val="center"/>
          </w:tcPr>
          <w:p>
            <w:pPr>
              <w:pStyle w:val="TableContents"/>
              <w:bidi w:val="0"/>
              <w:spacing w:before="0" w:after="283"/>
              <w:jc w:val="left"/>
              <w:rPr/>
            </w:pPr>
            <w:r>
              <w:rPr/>
              <w:t> </w:t>
            </w:r>
          </w:p>
        </w:tc>
        <w:tc>
          <w:tcPr>
            <w:tcW w:w="276" w:type="dxa"/>
            <w:tcBorders>
              <w:bottom w:val="single" w:sz="12" w:space="0" w:color="000000"/>
            </w:tcBorders>
            <w:vAlign w:val="center"/>
          </w:tcPr>
          <w:p>
            <w:pPr>
              <w:pStyle w:val="TableContents"/>
              <w:bidi w:val="0"/>
              <w:spacing w:before="0" w:after="283"/>
              <w:jc w:val="left"/>
              <w:rPr/>
            </w:pPr>
            <w:r>
              <w:rPr/>
              <w:t> </w:t>
            </w:r>
          </w:p>
        </w:tc>
        <w:tc>
          <w:tcPr>
            <w:tcW w:w="1258"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 w:type="dxa"/>
            <w:tcBorders>
              <w:bottom w:val="single" w:sz="12" w:space="0" w:color="000000"/>
            </w:tcBorders>
            <w:vAlign w:val="center"/>
          </w:tcPr>
          <w:p>
            <w:pPr>
              <w:pStyle w:val="TableContents"/>
              <w:bidi w:val="0"/>
              <w:spacing w:before="0" w:after="283"/>
              <w:jc w:val="left"/>
              <w:rPr/>
            </w:pPr>
            <w:r>
              <w:rPr/>
              <w:t> </w:t>
            </w:r>
          </w:p>
        </w:tc>
        <w:tc>
          <w:tcPr>
            <w:tcW w:w="1174" w:type="dxa"/>
            <w:tcBorders>
              <w:bottom w:val="single" w:sz="12" w:space="0" w:color="000000"/>
            </w:tcBorders>
            <w:vAlign w:val="center"/>
          </w:tcPr>
          <w:p>
            <w:pPr>
              <w:pStyle w:val="TableContents"/>
              <w:bidi w:val="0"/>
              <w:spacing w:before="0" w:after="283"/>
              <w:jc w:val="right"/>
              <w:rPr/>
            </w:pPr>
            <w:r>
              <w:rPr/>
              <w:t>645</w:t>
            </w:r>
          </w:p>
        </w:tc>
        <w:tc>
          <w:tcPr>
            <w:tcW w:w="110" w:type="dxa"/>
            <w:tcBorders/>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pPr>
            <w:r>
              <w:rPr/>
              <w:t>Total related party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bottom w:val="single" w:sz="12" w:space="0" w:color="000000"/>
            </w:tcBorders>
            <w:shd w:fill="CCEEFF" w:val="clear"/>
            <w:vAlign w:val="center"/>
          </w:tcPr>
          <w:p>
            <w:pPr>
              <w:pStyle w:val="TableContents"/>
              <w:bidi w:val="0"/>
              <w:spacing w:before="0" w:after="283"/>
              <w:jc w:val="left"/>
              <w:rPr/>
            </w:pPr>
            <w:r>
              <w:rPr/>
              <w:t> </w:t>
            </w:r>
          </w:p>
        </w:tc>
        <w:tc>
          <w:tcPr>
            <w:tcW w:w="1258" w:type="dxa"/>
            <w:tcBorders>
              <w:bottom w:val="single" w:sz="12" w:space="0" w:color="000000"/>
            </w:tcBorders>
            <w:shd w:fill="CCEEFF" w:val="clear"/>
            <w:vAlign w:val="center"/>
          </w:tcPr>
          <w:p>
            <w:pPr>
              <w:pStyle w:val="TableContents"/>
              <w:bidi w:val="0"/>
              <w:spacing w:before="0" w:after="283"/>
              <w:jc w:val="right"/>
              <w:rPr/>
            </w:pPr>
            <w:r>
              <w:rPr/>
              <w:t>6,704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bottom w:val="single" w:sz="12" w:space="0" w:color="000000"/>
            </w:tcBorders>
            <w:shd w:fill="CCEEFF" w:val="clear"/>
            <w:vAlign w:val="center"/>
          </w:tcPr>
          <w:p>
            <w:pPr>
              <w:pStyle w:val="TableContents"/>
              <w:bidi w:val="0"/>
              <w:spacing w:before="0" w:after="283"/>
              <w:jc w:val="left"/>
              <w:rPr/>
            </w:pPr>
            <w:r>
              <w:rPr/>
              <w:t> </w:t>
            </w:r>
          </w:p>
        </w:tc>
        <w:tc>
          <w:tcPr>
            <w:tcW w:w="1174" w:type="dxa"/>
            <w:tcBorders>
              <w:bottom w:val="single" w:sz="12" w:space="0" w:color="000000"/>
            </w:tcBorders>
            <w:shd w:fill="CCEEFF" w:val="clear"/>
            <w:vAlign w:val="center"/>
          </w:tcPr>
          <w:p>
            <w:pPr>
              <w:pStyle w:val="TableContents"/>
              <w:bidi w:val="0"/>
              <w:spacing w:before="0" w:after="283"/>
              <w:jc w:val="right"/>
              <w:rPr/>
            </w:pPr>
            <w:r>
              <w:rPr/>
              <w:t>4,444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pPr>
            <w:r>
              <w:rPr/>
              <w:t>Less: current portion</w:t>
            </w:r>
          </w:p>
        </w:tc>
        <w:tc>
          <w:tcPr>
            <w:tcW w:w="60" w:type="dxa"/>
            <w:tcBorders/>
            <w:tcMar>
              <w:bottom w:w="0" w:type="dxa"/>
            </w:tcMar>
            <w:vAlign w:val="center"/>
          </w:tcPr>
          <w:p>
            <w:pPr>
              <w:pStyle w:val="TableContents"/>
              <w:bidi w:val="0"/>
              <w:spacing w:before="0" w:after="283"/>
              <w:jc w:val="left"/>
              <w:rPr/>
            </w:pPr>
            <w:r>
              <w:rPr/>
              <w:t> </w:t>
            </w:r>
          </w:p>
        </w:tc>
        <w:tc>
          <w:tcPr>
            <w:tcW w:w="276" w:type="dxa"/>
            <w:tcBorders>
              <w:bottom w:val="single" w:sz="12" w:space="0" w:color="000000"/>
            </w:tcBorders>
            <w:vAlign w:val="center"/>
          </w:tcPr>
          <w:p>
            <w:pPr>
              <w:pStyle w:val="TableContents"/>
              <w:bidi w:val="0"/>
              <w:spacing w:before="0" w:after="283"/>
              <w:jc w:val="left"/>
              <w:rPr/>
            </w:pPr>
            <w:r>
              <w:rPr/>
              <w:t> </w:t>
            </w:r>
          </w:p>
        </w:tc>
        <w:tc>
          <w:tcPr>
            <w:tcW w:w="1258" w:type="dxa"/>
            <w:tcBorders>
              <w:bottom w:val="single" w:sz="12" w:space="0" w:color="000000"/>
            </w:tcBorders>
            <w:vAlign w:val="center"/>
          </w:tcPr>
          <w:p>
            <w:pPr>
              <w:pStyle w:val="TableContents"/>
              <w:bidi w:val="0"/>
              <w:spacing w:before="0" w:after="283"/>
              <w:jc w:val="right"/>
              <w:rPr/>
            </w:pPr>
            <w:r>
              <w:rPr/>
              <w:t>(2,344</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41" w:type="dxa"/>
            <w:tcBorders>
              <w:bottom w:val="single" w:sz="12" w:space="0" w:color="000000"/>
            </w:tcBorders>
            <w:vAlign w:val="center"/>
          </w:tcPr>
          <w:p>
            <w:pPr>
              <w:pStyle w:val="TableContents"/>
              <w:bidi w:val="0"/>
              <w:spacing w:before="0" w:after="283"/>
              <w:jc w:val="left"/>
              <w:rPr/>
            </w:pPr>
            <w:r>
              <w:rPr/>
              <w:t> </w:t>
            </w:r>
          </w:p>
        </w:tc>
        <w:tc>
          <w:tcPr>
            <w:tcW w:w="1174" w:type="dxa"/>
            <w:tcBorders>
              <w:bottom w:val="single" w:sz="12" w:space="0" w:color="000000"/>
            </w:tcBorders>
            <w:vAlign w:val="center"/>
          </w:tcPr>
          <w:p>
            <w:pPr>
              <w:pStyle w:val="TableContents"/>
              <w:bidi w:val="0"/>
              <w:spacing w:before="0" w:after="283"/>
              <w:jc w:val="right"/>
              <w:rPr/>
            </w:pPr>
            <w:r>
              <w:rPr/>
              <w:t>(4,444</w:t>
            </w:r>
          </w:p>
        </w:tc>
        <w:tc>
          <w:tcPr>
            <w:tcW w:w="110" w:type="dxa"/>
            <w:tcBorders/>
            <w:tcMar>
              <w:bottom w:w="0" w:type="dxa"/>
            </w:tcMar>
            <w:vAlign w:val="center"/>
          </w:tcPr>
          <w:p>
            <w:pPr>
              <w:pStyle w:val="TableContents"/>
              <w:bidi w:val="0"/>
              <w:spacing w:before="0" w:after="283"/>
              <w:jc w:val="left"/>
              <w:rPr/>
            </w:pPr>
            <w:r>
              <w:rPr/>
              <w:t>)</w:t>
            </w:r>
          </w:p>
        </w:tc>
      </w:tr>
      <w:tr>
        <w:trPr/>
        <w:tc>
          <w:tcPr>
            <w:tcW w:w="3575" w:type="dxa"/>
            <w:tcBorders/>
            <w:shd w:fill="CCEEFF" w:val="clear"/>
            <w:tcMar>
              <w:bottom w:w="0" w:type="dxa"/>
            </w:tcMar>
            <w:vAlign w:val="center"/>
          </w:tcPr>
          <w:p>
            <w:pPr>
              <w:pStyle w:val="TableContents"/>
              <w:bidi w:val="0"/>
              <w:spacing w:before="0" w:after="283"/>
              <w:jc w:val="left"/>
              <w:rPr/>
            </w:pPr>
            <w:r>
              <w:rPr/>
              <w:t>Related party debt, net of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bottom w:val="double" w:sz="10" w:space="0" w:color="000000"/>
            </w:tcBorders>
            <w:shd w:fill="CCEEFF" w:val="clear"/>
            <w:vAlign w:val="center"/>
          </w:tcPr>
          <w:p>
            <w:pPr>
              <w:pStyle w:val="TableContents"/>
              <w:bidi w:val="0"/>
              <w:spacing w:before="0" w:after="283"/>
              <w:jc w:val="left"/>
              <w:rPr/>
            </w:pPr>
            <w:r>
              <w:rPr/>
              <w:t>$</w:t>
            </w:r>
          </w:p>
        </w:tc>
        <w:tc>
          <w:tcPr>
            <w:tcW w:w="1258" w:type="dxa"/>
            <w:tcBorders>
              <w:bottom w:val="double" w:sz="10" w:space="0" w:color="000000"/>
            </w:tcBorders>
            <w:shd w:fill="CCEEFF" w:val="clear"/>
            <w:vAlign w:val="center"/>
          </w:tcPr>
          <w:p>
            <w:pPr>
              <w:pStyle w:val="TableContents"/>
              <w:bidi w:val="0"/>
              <w:spacing w:before="0" w:after="283"/>
              <w:jc w:val="right"/>
              <w:rPr/>
            </w:pPr>
            <w:r>
              <w:rPr/>
              <w:t>4,360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bottom w:val="double" w:sz="10" w:space="0" w:color="000000"/>
            </w:tcBorders>
            <w:shd w:fill="CCEEFF" w:val="clear"/>
            <w:vAlign w:val="center"/>
          </w:tcPr>
          <w:p>
            <w:pPr>
              <w:pStyle w:val="TableContents"/>
              <w:bidi w:val="0"/>
              <w:spacing w:before="0" w:after="283"/>
              <w:jc w:val="left"/>
              <w:rPr/>
            </w:pPr>
            <w:r>
              <w:rPr/>
              <w:t>$</w:t>
            </w:r>
          </w:p>
        </w:tc>
        <w:tc>
          <w:tcPr>
            <w:tcW w:w="1174" w:type="dxa"/>
            <w:tcBorders>
              <w:bottom w:val="double" w:sz="10" w:space="0" w:color="000000"/>
            </w:tcBorders>
            <w:shd w:fill="CCEEFF" w:val="clear"/>
            <w:vAlign w:val="center"/>
          </w:tcPr>
          <w:p>
            <w:pPr>
              <w:pStyle w:val="TableContents"/>
              <w:bidi w:val="0"/>
              <w:spacing w:before="0" w:after="0"/>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6" w:type="dxa"/>
            <w:tcBorders/>
            <w:tcMar>
              <w:bottom w:w="0" w:type="dxa"/>
            </w:tcMar>
            <w:vAlign w:val="center"/>
          </w:tcPr>
          <w:p>
            <w:pPr>
              <w:pStyle w:val="TableContents"/>
              <w:bidi w:val="0"/>
              <w:spacing w:before="0" w:after="283"/>
              <w:jc w:val="left"/>
              <w:rPr/>
            </w:pPr>
            <w:r>
              <w:rPr/>
              <w:t> </w:t>
            </w:r>
          </w:p>
        </w:tc>
        <w:tc>
          <w:tcPr>
            <w:tcW w:w="1258"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 w:type="dxa"/>
            <w:tcBorders/>
            <w:tcMar>
              <w:bottom w:w="0" w:type="dxa"/>
            </w:tcMar>
            <w:vAlign w:val="center"/>
          </w:tcPr>
          <w:p>
            <w:pPr>
              <w:pStyle w:val="TableContents"/>
              <w:bidi w:val="0"/>
              <w:spacing w:before="0" w:after="283"/>
              <w:jc w:val="left"/>
              <w:rPr/>
            </w:pPr>
            <w:r>
              <w:rPr/>
              <w:t> </w:t>
            </w:r>
          </w:p>
        </w:tc>
        <w:tc>
          <w:tcPr>
            <w:tcW w:w="1174"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b/>
              </w:rPr>
            </w:pPr>
            <w:r>
              <w:rPr>
                <w:b/>
              </w:rPr>
              <w:t>Long-term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pPr>
            <w:r>
              <w:rPr/>
              <w:t>PPP Loan</w:t>
            </w:r>
          </w:p>
        </w:tc>
        <w:tc>
          <w:tcPr>
            <w:tcW w:w="60" w:type="dxa"/>
            <w:tcBorders/>
            <w:tcMar>
              <w:bottom w:w="0" w:type="dxa"/>
            </w:tcMar>
            <w:vAlign w:val="center"/>
          </w:tcPr>
          <w:p>
            <w:pPr>
              <w:pStyle w:val="TableContents"/>
              <w:bidi w:val="0"/>
              <w:spacing w:before="0" w:after="283"/>
              <w:jc w:val="left"/>
              <w:rPr/>
            </w:pPr>
            <w:r>
              <w:rPr/>
              <w:t> </w:t>
            </w:r>
          </w:p>
        </w:tc>
        <w:tc>
          <w:tcPr>
            <w:tcW w:w="276" w:type="dxa"/>
            <w:tcBorders/>
            <w:tcMar>
              <w:bottom w:w="0" w:type="dxa"/>
            </w:tcMar>
            <w:vAlign w:val="center"/>
          </w:tcPr>
          <w:p>
            <w:pPr>
              <w:pStyle w:val="TableContents"/>
              <w:bidi w:val="0"/>
              <w:spacing w:before="0" w:after="283"/>
              <w:jc w:val="left"/>
              <w:rPr/>
            </w:pPr>
            <w:r>
              <w:rPr/>
              <w:t>$</w:t>
            </w:r>
          </w:p>
        </w:tc>
        <w:tc>
          <w:tcPr>
            <w:tcW w:w="1258" w:type="dxa"/>
            <w:tcBorders/>
            <w:tcMar>
              <w:bottom w:w="0" w:type="dxa"/>
            </w:tcMar>
            <w:vAlign w:val="center"/>
          </w:tcPr>
          <w:p>
            <w:pPr>
              <w:pStyle w:val="TableContents"/>
              <w:bidi w:val="0"/>
              <w:spacing w:before="0" w:after="283"/>
              <w:jc w:val="right"/>
              <w:rPr/>
            </w:pPr>
            <w:r>
              <w:rPr/>
              <w:t>518</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 w:type="dxa"/>
            <w:tcBorders/>
            <w:tcMar>
              <w:bottom w:w="0" w:type="dxa"/>
            </w:tcMar>
            <w:vAlign w:val="center"/>
          </w:tcPr>
          <w:p>
            <w:pPr>
              <w:pStyle w:val="TableContents"/>
              <w:bidi w:val="0"/>
              <w:spacing w:before="0" w:after="283"/>
              <w:jc w:val="left"/>
              <w:rPr/>
            </w:pPr>
            <w:r>
              <w:rPr/>
              <w:t>$</w:t>
            </w:r>
          </w:p>
        </w:tc>
        <w:tc>
          <w:tcPr>
            <w:tcW w:w="1174" w:type="dxa"/>
            <w:tcBorders/>
            <w:tcMar>
              <w:bottom w:w="0" w:type="dxa"/>
            </w:tcMar>
            <w:vAlign w:val="center"/>
          </w:tcPr>
          <w:p>
            <w:pPr>
              <w:pStyle w:val="TableContents"/>
              <w:bidi w:val="0"/>
              <w:spacing w:before="0" w:after="283"/>
              <w:jc w:val="right"/>
              <w:rPr/>
            </w:pPr>
            <w:r>
              <w:rPr/>
              <w:t>518</w:t>
            </w:r>
          </w:p>
        </w:tc>
        <w:tc>
          <w:tcPr>
            <w:tcW w:w="110" w:type="dxa"/>
            <w:tcBorders/>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sz w:val="20"/>
              </w:rPr>
            </w:pPr>
            <w:r>
              <w:rPr>
                <w:sz w:val="20"/>
              </w:rPr>
              <w:t xml:space="preserve">Other notes payable </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right"/>
              <w:rPr/>
            </w:pPr>
            <w:r>
              <w:rPr/>
              <w:t>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367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pPr>
            <w:r>
              <w:rPr/>
              <w:t>Exchange Note</w:t>
            </w:r>
          </w:p>
        </w:tc>
        <w:tc>
          <w:tcPr>
            <w:tcW w:w="60" w:type="dxa"/>
            <w:tcBorders/>
            <w:tcMar>
              <w:bottom w:w="0" w:type="dxa"/>
            </w:tcMar>
            <w:vAlign w:val="center"/>
          </w:tcPr>
          <w:p>
            <w:pPr>
              <w:pStyle w:val="TableContents"/>
              <w:bidi w:val="0"/>
              <w:spacing w:before="0" w:after="283"/>
              <w:jc w:val="left"/>
              <w:rPr/>
            </w:pPr>
            <w:r>
              <w:rPr/>
              <w:t> </w:t>
            </w:r>
          </w:p>
        </w:tc>
        <w:tc>
          <w:tcPr>
            <w:tcW w:w="276" w:type="dxa"/>
            <w:tcBorders/>
            <w:tcMar>
              <w:bottom w:w="0" w:type="dxa"/>
            </w:tcMar>
            <w:vAlign w:val="center"/>
          </w:tcPr>
          <w:p>
            <w:pPr>
              <w:pStyle w:val="TableContents"/>
              <w:bidi w:val="0"/>
              <w:spacing w:before="0" w:after="283"/>
              <w:jc w:val="left"/>
              <w:rPr/>
            </w:pPr>
            <w:r>
              <w:rPr/>
              <w:t> </w:t>
            </w:r>
          </w:p>
        </w:tc>
        <w:tc>
          <w:tcPr>
            <w:tcW w:w="1258"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 w:type="dxa"/>
            <w:tcBorders/>
            <w:tcMar>
              <w:bottom w:w="0" w:type="dxa"/>
            </w:tcMar>
            <w:vAlign w:val="center"/>
          </w:tcPr>
          <w:p>
            <w:pPr>
              <w:pStyle w:val="TableContents"/>
              <w:bidi w:val="0"/>
              <w:spacing w:before="0" w:after="283"/>
              <w:jc w:val="left"/>
              <w:rPr/>
            </w:pPr>
            <w:r>
              <w:rPr/>
              <w:t> </w:t>
            </w:r>
          </w:p>
        </w:tc>
        <w:tc>
          <w:tcPr>
            <w:tcW w:w="1174" w:type="dxa"/>
            <w:tcBorders/>
            <w:tcMar>
              <w:bottom w:w="0" w:type="dxa"/>
            </w:tcMar>
            <w:vAlign w:val="center"/>
          </w:tcPr>
          <w:p>
            <w:pPr>
              <w:pStyle w:val="TableContents"/>
              <w:bidi w:val="0"/>
              <w:spacing w:before="0" w:after="283"/>
              <w:jc w:val="right"/>
              <w:rPr/>
            </w:pPr>
            <w:r>
              <w:rPr/>
              <w:t>6,669</w:t>
            </w:r>
          </w:p>
        </w:tc>
        <w:tc>
          <w:tcPr>
            <w:tcW w:w="110" w:type="dxa"/>
            <w:tcBorders/>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pPr>
            <w:r>
              <w:rPr/>
              <w:t>Convertible Note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7,840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pPr>
            <w:r>
              <w:rPr/>
              <w:t>Unamortized debt premium</w:t>
            </w:r>
          </w:p>
        </w:tc>
        <w:tc>
          <w:tcPr>
            <w:tcW w:w="60" w:type="dxa"/>
            <w:tcBorders/>
            <w:tcMar>
              <w:bottom w:w="0" w:type="dxa"/>
            </w:tcMar>
            <w:vAlign w:val="center"/>
          </w:tcPr>
          <w:p>
            <w:pPr>
              <w:pStyle w:val="TableContents"/>
              <w:bidi w:val="0"/>
              <w:spacing w:before="0" w:after="283"/>
              <w:jc w:val="left"/>
              <w:rPr/>
            </w:pPr>
            <w:r>
              <w:rPr/>
              <w:t> </w:t>
            </w:r>
          </w:p>
        </w:tc>
        <w:tc>
          <w:tcPr>
            <w:tcW w:w="276" w:type="dxa"/>
            <w:tcBorders>
              <w:bottom w:val="single" w:sz="12" w:space="0" w:color="000000"/>
            </w:tcBorders>
            <w:vAlign w:val="center"/>
          </w:tcPr>
          <w:p>
            <w:pPr>
              <w:pStyle w:val="TableContents"/>
              <w:bidi w:val="0"/>
              <w:spacing w:before="0" w:after="283"/>
              <w:jc w:val="left"/>
              <w:rPr/>
            </w:pPr>
            <w:r>
              <w:rPr/>
              <w:t> </w:t>
            </w:r>
          </w:p>
        </w:tc>
        <w:tc>
          <w:tcPr>
            <w:tcW w:w="1258"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 w:type="dxa"/>
            <w:tcBorders>
              <w:bottom w:val="single" w:sz="12" w:space="0" w:color="000000"/>
            </w:tcBorders>
            <w:vAlign w:val="center"/>
          </w:tcPr>
          <w:p>
            <w:pPr>
              <w:pStyle w:val="TableContents"/>
              <w:bidi w:val="0"/>
              <w:spacing w:before="0" w:after="283"/>
              <w:jc w:val="left"/>
              <w:rPr/>
            </w:pPr>
            <w:r>
              <w:rPr/>
              <w:t> </w:t>
            </w:r>
          </w:p>
        </w:tc>
        <w:tc>
          <w:tcPr>
            <w:tcW w:w="1174" w:type="dxa"/>
            <w:tcBorders>
              <w:bottom w:val="single" w:sz="12" w:space="0" w:color="000000"/>
            </w:tcBorders>
            <w:vAlign w:val="center"/>
          </w:tcPr>
          <w:p>
            <w:pPr>
              <w:pStyle w:val="TableContents"/>
              <w:bidi w:val="0"/>
              <w:spacing w:before="0" w:after="283"/>
              <w:jc w:val="right"/>
              <w:rPr/>
            </w:pPr>
            <w:r>
              <w:rPr/>
              <w:t>1,419</w:t>
            </w:r>
          </w:p>
        </w:tc>
        <w:tc>
          <w:tcPr>
            <w:tcW w:w="110" w:type="dxa"/>
            <w:tcBorders/>
            <w:tcMar>
              <w:bottom w:w="0" w:type="dxa"/>
            </w:tcMar>
            <w:vAlign w:val="center"/>
          </w:tcPr>
          <w:p>
            <w:pPr>
              <w:pStyle w:val="TableContents"/>
              <w:bidi w:val="0"/>
              <w:spacing w:before="0" w:after="283"/>
              <w:jc w:val="left"/>
              <w:rPr/>
            </w:pPr>
            <w:r>
              <w:rPr/>
              <w:t> </w:t>
            </w:r>
          </w:p>
        </w:tc>
      </w:tr>
      <w:tr>
        <w:trPr/>
        <w:tc>
          <w:tcPr>
            <w:tcW w:w="3575" w:type="dxa"/>
            <w:tcBorders/>
            <w:shd w:fill="CCEEFF" w:val="clear"/>
            <w:tcMar>
              <w:bottom w:w="0" w:type="dxa"/>
            </w:tcMar>
            <w:vAlign w:val="center"/>
          </w:tcPr>
          <w:p>
            <w:pPr>
              <w:pStyle w:val="TableContents"/>
              <w:bidi w:val="0"/>
              <w:spacing w:before="0" w:after="283"/>
              <w:jc w:val="left"/>
              <w:rPr/>
            </w:pPr>
            <w:r>
              <w:rPr/>
              <w:t>Total long-term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bottom w:val="single" w:sz="12" w:space="0" w:color="000000"/>
            </w:tcBorders>
            <w:shd w:fill="CCEEFF" w:val="clear"/>
            <w:vAlign w:val="center"/>
          </w:tcPr>
          <w:p>
            <w:pPr>
              <w:pStyle w:val="TableContents"/>
              <w:bidi w:val="0"/>
              <w:spacing w:before="0" w:after="283"/>
              <w:jc w:val="left"/>
              <w:rPr/>
            </w:pPr>
            <w:r>
              <w:rPr/>
              <w:t> </w:t>
            </w:r>
          </w:p>
        </w:tc>
        <w:tc>
          <w:tcPr>
            <w:tcW w:w="1258" w:type="dxa"/>
            <w:tcBorders>
              <w:bottom w:val="single" w:sz="12" w:space="0" w:color="000000"/>
            </w:tcBorders>
            <w:shd w:fill="CCEEFF" w:val="clear"/>
            <w:vAlign w:val="center"/>
          </w:tcPr>
          <w:p>
            <w:pPr>
              <w:pStyle w:val="TableContents"/>
              <w:bidi w:val="0"/>
              <w:spacing w:before="0" w:after="283"/>
              <w:jc w:val="right"/>
              <w:rPr/>
            </w:pPr>
            <w:r>
              <w:rPr/>
              <w:t>527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bottom w:val="single" w:sz="12" w:space="0" w:color="000000"/>
            </w:tcBorders>
            <w:shd w:fill="CCEEFF" w:val="clear"/>
            <w:vAlign w:val="center"/>
          </w:tcPr>
          <w:p>
            <w:pPr>
              <w:pStyle w:val="TableContents"/>
              <w:bidi w:val="0"/>
              <w:spacing w:before="0" w:after="283"/>
              <w:jc w:val="left"/>
              <w:rPr/>
            </w:pPr>
            <w:r>
              <w:rPr/>
              <w:t> </w:t>
            </w:r>
          </w:p>
        </w:tc>
        <w:tc>
          <w:tcPr>
            <w:tcW w:w="1174" w:type="dxa"/>
            <w:tcBorders>
              <w:bottom w:val="single" w:sz="12" w:space="0" w:color="000000"/>
            </w:tcBorders>
            <w:shd w:fill="CCEEFF" w:val="clear"/>
            <w:vAlign w:val="center"/>
          </w:tcPr>
          <w:p>
            <w:pPr>
              <w:pStyle w:val="TableContents"/>
              <w:bidi w:val="0"/>
              <w:spacing w:before="0" w:after="283"/>
              <w:jc w:val="right"/>
              <w:rPr/>
            </w:pPr>
            <w:r>
              <w:rPr/>
              <w:t>16,813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pPr>
            <w:r>
              <w:rPr/>
              <w:t>Less: current portion</w:t>
            </w:r>
          </w:p>
        </w:tc>
        <w:tc>
          <w:tcPr>
            <w:tcW w:w="60" w:type="dxa"/>
            <w:tcBorders/>
            <w:tcMar>
              <w:bottom w:w="0" w:type="dxa"/>
            </w:tcMar>
            <w:vAlign w:val="center"/>
          </w:tcPr>
          <w:p>
            <w:pPr>
              <w:pStyle w:val="TableContents"/>
              <w:bidi w:val="0"/>
              <w:spacing w:before="0" w:after="283"/>
              <w:jc w:val="left"/>
              <w:rPr/>
            </w:pPr>
            <w:r>
              <w:rPr/>
              <w:t> </w:t>
            </w:r>
          </w:p>
        </w:tc>
        <w:tc>
          <w:tcPr>
            <w:tcW w:w="276" w:type="dxa"/>
            <w:tcBorders>
              <w:bottom w:val="single" w:sz="12" w:space="0" w:color="000000"/>
            </w:tcBorders>
            <w:vAlign w:val="center"/>
          </w:tcPr>
          <w:p>
            <w:pPr>
              <w:pStyle w:val="TableContents"/>
              <w:bidi w:val="0"/>
              <w:spacing w:before="0" w:after="283"/>
              <w:jc w:val="left"/>
              <w:rPr/>
            </w:pPr>
            <w:r>
              <w:rPr/>
              <w:t> </w:t>
            </w:r>
          </w:p>
        </w:tc>
        <w:tc>
          <w:tcPr>
            <w:tcW w:w="1258" w:type="dxa"/>
            <w:tcBorders>
              <w:bottom w:val="single" w:sz="12" w:space="0" w:color="000000"/>
            </w:tcBorders>
            <w:vAlign w:val="center"/>
          </w:tcPr>
          <w:p>
            <w:pPr>
              <w:pStyle w:val="TableContents"/>
              <w:bidi w:val="0"/>
              <w:spacing w:before="0" w:after="283"/>
              <w:jc w:val="right"/>
              <w:rPr/>
            </w:pPr>
            <w:r>
              <w:rPr/>
              <w:t>(525</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41" w:type="dxa"/>
            <w:tcBorders>
              <w:bottom w:val="single" w:sz="12" w:space="0" w:color="000000"/>
            </w:tcBorders>
            <w:vAlign w:val="center"/>
          </w:tcPr>
          <w:p>
            <w:pPr>
              <w:pStyle w:val="TableContents"/>
              <w:bidi w:val="0"/>
              <w:spacing w:before="0" w:after="283"/>
              <w:jc w:val="left"/>
              <w:rPr/>
            </w:pPr>
            <w:r>
              <w:rPr/>
              <w:t> </w:t>
            </w:r>
          </w:p>
        </w:tc>
        <w:tc>
          <w:tcPr>
            <w:tcW w:w="1174" w:type="dxa"/>
            <w:tcBorders>
              <w:bottom w:val="single" w:sz="12" w:space="0" w:color="000000"/>
            </w:tcBorders>
            <w:vAlign w:val="center"/>
          </w:tcPr>
          <w:p>
            <w:pPr>
              <w:pStyle w:val="TableContents"/>
              <w:bidi w:val="0"/>
              <w:spacing w:before="0" w:after="283"/>
              <w:jc w:val="right"/>
              <w:rPr/>
            </w:pPr>
            <w:r>
              <w:rPr/>
              <w:t>(766</w:t>
            </w:r>
          </w:p>
        </w:tc>
        <w:tc>
          <w:tcPr>
            <w:tcW w:w="110" w:type="dxa"/>
            <w:tcBorders/>
            <w:tcMar>
              <w:bottom w:w="0" w:type="dxa"/>
            </w:tcMar>
            <w:vAlign w:val="center"/>
          </w:tcPr>
          <w:p>
            <w:pPr>
              <w:pStyle w:val="TableContents"/>
              <w:bidi w:val="0"/>
              <w:spacing w:before="0" w:after="283"/>
              <w:jc w:val="left"/>
              <w:rPr/>
            </w:pPr>
            <w:r>
              <w:rPr/>
              <w:t>)</w:t>
            </w:r>
          </w:p>
        </w:tc>
      </w:tr>
      <w:tr>
        <w:trPr/>
        <w:tc>
          <w:tcPr>
            <w:tcW w:w="3575" w:type="dxa"/>
            <w:tcBorders/>
            <w:shd w:fill="CCEEFF" w:val="clear"/>
            <w:tcMar>
              <w:bottom w:w="0" w:type="dxa"/>
            </w:tcMar>
            <w:vAlign w:val="center"/>
          </w:tcPr>
          <w:p>
            <w:pPr>
              <w:pStyle w:val="TableContents"/>
              <w:bidi w:val="0"/>
              <w:spacing w:before="0" w:after="283"/>
              <w:jc w:val="left"/>
              <w:rPr/>
            </w:pPr>
            <w:r>
              <w:rPr/>
              <w:t>Long-term debt, net of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bottom w:val="double" w:sz="10" w:space="0" w:color="000000"/>
            </w:tcBorders>
            <w:shd w:fill="CCEEFF" w:val="clear"/>
            <w:vAlign w:val="center"/>
          </w:tcPr>
          <w:p>
            <w:pPr>
              <w:pStyle w:val="TableContents"/>
              <w:bidi w:val="0"/>
              <w:spacing w:before="0" w:after="283"/>
              <w:jc w:val="left"/>
              <w:rPr/>
            </w:pPr>
            <w:r>
              <w:rPr/>
              <w:t>$</w:t>
            </w:r>
          </w:p>
        </w:tc>
        <w:tc>
          <w:tcPr>
            <w:tcW w:w="1258" w:type="dxa"/>
            <w:tcBorders>
              <w:bottom w:val="double" w:sz="10" w:space="0" w:color="000000"/>
            </w:tcBorders>
            <w:shd w:fill="CCEEFF" w:val="cle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bottom w:val="double" w:sz="10" w:space="0" w:color="000000"/>
            </w:tcBorders>
            <w:shd w:fill="CCEEFF" w:val="clear"/>
            <w:vAlign w:val="center"/>
          </w:tcPr>
          <w:p>
            <w:pPr>
              <w:pStyle w:val="TableContents"/>
              <w:bidi w:val="0"/>
              <w:spacing w:before="0" w:after="283"/>
              <w:jc w:val="left"/>
              <w:rPr/>
            </w:pPr>
            <w:r>
              <w:rPr/>
              <w:t>$</w:t>
            </w:r>
          </w:p>
        </w:tc>
        <w:tc>
          <w:tcPr>
            <w:tcW w:w="1174" w:type="dxa"/>
            <w:tcBorders>
              <w:bottom w:val="double" w:sz="10" w:space="0" w:color="000000"/>
            </w:tcBorders>
            <w:shd w:fill="CCEEFF" w:val="clear"/>
            <w:vAlign w:val="center"/>
          </w:tcPr>
          <w:p>
            <w:pPr>
              <w:pStyle w:val="TableContents"/>
              <w:bidi w:val="0"/>
              <w:spacing w:before="0" w:after="283"/>
              <w:jc w:val="right"/>
              <w:rPr/>
            </w:pPr>
            <w:r>
              <w:rPr/>
              <w:t>16,047</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notes payable as of September 30, 2024 includes the remaining balance on short term financing on insurance policies of $3 thousand and the outstanding balance of the loan from Navitas Credit Corp. of $6 thousand. Other notes payable as of December 31, 2024 related to a one-year insurance premium that was financed over nine months.</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2022, the Company issued a promissory note with an original principal amount of $35.0 million (the “Exchange Note”) to High Trail Special Situations LLC (the “Original Lender”). The Exchange Note was a senior secured obligation of the Company and ranked senior to all indebtedness of the Company. The Exchange Note had an original maturity date of August 18, 2025 (the “Original Maturity Date”) and contains a 9.0% annualized interest rate, with interest to be paid monthly, in cash, beginning September 1, 2022. The principal amount of the Exchange Note would be payable on the Original Maturity Date, provided that the Original Lender was entitled to a cash sweep of 20% of the proceeds received by the Company in connection with any equity financing, which will reduce the outstanding principal amount under the Exchange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8, 2023, the Company entered into a Securities Exchange Agreement (the “Exchange Agreement”) with the Original Lender. Pursuant to the Exchange Agreement, at closing the Company prepaid approximately $10.3 million in principal amount under the Exchange Note and exchanged $10.0 million of the remaining principal balance of the Exchange Note for a new senior secured convertible note (the “Convertible Note”) with an original principal amount of $10.0 million. After the closing of the Exchange Agreement, the Exchange Note had a remaining balance of $11.7 million. Refer to “Consolidated CP Acquisitions Note” below for subsequent activity related to the balance originating from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Exchange Agreement the Company issued the Convertible Note, which bore a 9.0% annualized interest rate, with interest to be paid monthly, in cash, beginning April 1, 2023. The principal amount of the Convertible Note would be payable on the Original Maturity Date, provided that the Original Lender was entitled to a cash sweep of 30% of the proceeds of any at-the-market equity offering and 20% of the proceeds received by the Company in connection with any other equity financing, which would reduce the outstanding principal amount under the Exchange Note or the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Company may prepay all of the Convertible Note by redemption at a price equal to 102.5% of the then-outstanding principal amount under the Convertible Note plus accrued but unpaid interest. The Original Lender had the option of requiring the Company to redeem the Convertible Note (i) on August 19, 2023 or August 19, 2024 at a price equal to the then-outstanding principal amount under the Convertible Note plus accrued but unpaid interest, provided that the redemption right on August 19, 2023 will not be exercisable if the Company raises at least $8.0 million in gross proceeds from equity offerings prior to such date, or (ii) if the Company undergoes a fundamental change (as defined below) at a price equal to 102.5% of the then-outstanding principal amount under the Convertible Note plus accrued but unpaid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 imposed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occurs, the Original Lender can elect to redeem the Convertible Note for cash equal to (A) 115% of the then-outstanding principal amount of the Convertible Note (or such lesser principal amount accelerated by the Original Lender),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Original Lender delivers a notice of acceleration; (b) the total then outstanding principal amount under the Convertible Note (in thousands); and (c) the greater of (1) the highest daily volume weighted average price (“VWAP”) per share of Common Stock occurring during the fifteen consecutive trading days ending on, and including, the trading day immediately before the date the Original Lender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date the Convertible Note was fully repaid, the Original Lender had,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Original Lender elected to convert the Convertible Note, the conversion price per share would be $114.60, subject to customary adjustments for certain corporate events. The conversion of the Convertible Note would be subject to certain customary conditions. The Convertible Note could not be converted into shares of Common Stock if such conversion would result in the Original Lender and its affiliates owning an aggregate of in excess of 4.99% of the then-outstanding shares of Common Stock, provided that upon 61 days’ notice, such ownership limitation may be adjusted by the Original Lender, but in any case, to no greater than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embedded features in accordance with ASC 815-15-25 and determined that the embedded features are not required to be bifurcated and separately measured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the Original Lender elected to convert $1.6 million of the remaining outstanding principal amount on the Convertible Note for 10,241 shares of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the Company entered into a letter agreement with the Original Lender, pursuant to which the Company and the Original Lender agreed to exchange or redeem $2.0 million of the remaining outstanding principal amount under the Exchange Note for a total of 29,679 shares of Common Stock of the Company, subject to a Beneficial Ownership Limitation of 4.99% of the Company’s Common Stock. Due to the Beneficial Ownership Limitation of 4.99%, a total of 4,638 shares of Common Stock of the Company were issued to the Original Lender, with the remaining 25,042 shares held in abeyance until the balance (or portion thereof) may be issued in compliance with such limitations. As a result, the Company recognized a loss on the redemption of approximately $12,000. Refer to “Consolidated CP Acquisitions Note” below for subsequent activity related to the balance originating from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CP Acquisitions Junior Secured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2023, CP Acquisitions LLC (“CP Acquisitions”), an entity affiliated with and controlled by the Company’s former Chief Executive Officer and a former member of the Company’s Board of Directors, purchased the Exchange Note and the Convertible Note from the Original Lender (the “Note Purchase”). In connection with the Note Purchase, CP Acquisitions has agreed to waive any events of default under the acquired notes through December 31, 2023. As part of the same transaction, the Company issued a junior secured promissory note (the “Junior Secured Note”) to CP Acquisitions. Pursuant to the Junior Secured Note, CP Acquisitions will lend up to $3.0 million to the Company. The Junior Secured Note bears interest at a rate of 10% per annum, will mature in full on December 31, 2023, and may be prepaid without any fee or penalty. On December 4, 2023, CP Acquisitions and the Company amended and restated the Junior Secured Note agreement. Pursuant to the terms of the amendment, the maximum principal amount that may be loaned by CP Acquisitions to the Company was increased to $4.0 million and extended the maturity date thereon to December 31, 2024. Refer to “Consolidated CP Acquisitions Note” below for subsequent activity related to the balance originating from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 Forgiveness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30, 2023, CP Acquisitions agreed to forgive $1.0 million of the principal amount outstanding on the Convertible Note (the “Principal Forgiveness”). The Principal Forgiveness was accounted for as a troubled debt restructuring under ASC 470, as 1) the Company was determined to be experiencing financial difficulties as defined by the ASC, and 2) the Principal Forgiveness was deemed a concession by CP Acquisitions. Per ASC 470-60-35-5, a debtor in a troubled debt restructuring involving only modification of terms of a payable (i.e., not involving a transfer of assets or grant of an equity interest) shall account for the effects of the restructuring prospectively from the time of restructuring and shall not change the carrying amount of the payable at the time of the restructuring unless the carrying amount exceeds the total future cash payments specified by the new terms. As the future undiscounted cash flows were greater than or equal to the net carrying value of the original debt, the carrying amount of the debt at the time of the restructuring was not 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Consolidated CP Acquisitions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25, 2024, the Company and CP Acquisitions consolidated the outstanding principal and interest due under the Junior Secured Note and the Exchange Note as well as the interest due under the Convertible Note into the Convertible Note (collectively, with the Junior Secured Note and the Exchange Note, the “Consolidated Notes”), and amended and restated the Convertible Note under a Senior Secured Amended, Restated, and Consolidated Convertible Note agreement (the “Restated Note”) having a total outstanding principal of $18,308,021 (the “New Lender Debt Consolidation”). The Restated Note bears interest at a rate of 10% per annum and will mature in full on December 31, 2025. The Company may redeem all or a portion not less than $5.0 million of principal at any time at a price equal to 102.5% of the redeemed principal amount plus accrued but unpaid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Restated Note imposes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Restricted Note occurs, then the then outstanding principal and all accrued and unpaid interest on the Restated Note will immediately become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CP Acquisitions elects to convert the Restated Note, the conversion price per share will be $21.90, subject to customary adjustments for certain corporate events. The conversion of the Restated Note will be subject to certain customary conditions. The Restated Note may not be converted into shares of Common Stock if such conversion would result in CP Acquisitions and its affiliates owning an aggregate of in excess of 49.99% of the then-outstanding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execution of the Restated Note, CP Acquisitions elected to convert approximately $3.9 million of outstanding principal into an aggregate of 178,108 shares of Common Stock (the “January Conversion”) having a fair value of approximately $1.7 million. As the January Conversion was exercised by the CP Acquisitions in conjunction and in connection with the New Lender Debt Consolidation, the two transactions combined were considered a modification of the total debt outstanding with CP Acquisitions (the “CP Debt Restructuring”).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CP Debt Restructuring was accounted for as a troubled debt restructuring under ASC 470, as 1) the Company was determined to be experiencing financial difficulties as defined by the ASC, and 2) the CP Debt Restructuring was deemed to result in a concession by CP Acquisitions. The Company performed a comparison of the undiscounted cash flows associated with the Restated Note subsequent to the CP Debt Restructuring to the carrying value of the Consolidated Notes as of the CP Debt Restructuring date. The net carrying value of the Consolidated Notes was determined to exceed the undiscounted future cash flows of the Restated Note after consideration of the January Conversion by approximately $675,000 (the “CP Debt Restructuring Excess Carrying Value”). The Restated Note was thus written down to the amount of the undiscounted future cash flows on the Restated Note from the CP Restructuring date to maturity. Further, as CP Acquisitions was a related party of the Company, the CP Debt Restructuring Excess Carrying Value was accounted for as a capital transaction and no gain or loss was recognized related to the restructuring.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interest expense related to the CP Acquisitions Note described above was $115,821 for the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GIC Acquisition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2023, the Board of Directors of the Company approved the issuance of an unsecured promissory note (the “GIC Note”, and, collectively with the Consolidated Note, the “Related Party Notes”) to GIC Acquisition, LLC (“GIC”), an entity that is owned and managed by the Company’s former Chairman and Chief Executive Officer. Pursuant to the GIC Note, GIC is obligated to lend up to $0.5 million to the Company, $0.3 million of which was delivered at issuance and the remaining $0.2 million delivered on July 31, 2023. The GIC Note bore interest at a rate of 10% per annum, would mature in full on August 6, 2023, and could be prepaid without any fee or penalty. The GIC Note ranks junior to all existing secured indebtedness of the Company. On October 27, 2023, the maturity date of the GIC Note was subsequently amended to December 31, 2024 at which point principal and accrued interest will be repaid in full. Interest expense incurred on the GIC Note amounted to $47,652 for the nine months ended September 30, 2024. Refer to “Amendment of Related Party Notes” below for subsequent activity related to the balance originating from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Related Party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the Company and CP Acquisitions entered into an amendment to the Restated Note (the “Consolidated Note Amendment”), pursuant to which CP Acquisitions may elect, in lieu of shares of Common Stock issuable upon conversion of the Restated Note, to instead receive Pre-Funded Warrants (“Pre-Funded Warrants”). The conversion price applicable to the Pre-Funded Warrants will remain unchanged at $21.90.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execution of the Consolidated Note Amendment, CP Acquisitions elected to convert $11.5 million of outstanding principal into a Pre-Funded Warrant exercisable at issuance for up to 525,114 shares of Common Stock having a fair value of approximately $2.9 million (the “CP Warrant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GIC and the Company amended and restated the GIC Note (the “Restated GIC Note”, and, collectively with the Consolidated Note Amendment, the “Related Party Debt Amendments”) to increase the aggregate principal amount to approximately $2.29 million, extend the maturity date to December 31, 2025, and provide that the Restated Junior Note may be converted into Common Stock of the Company or, at GIC’s election, Pre-Funded Warrants, in each case at a conversion price of $4.65.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execution of the Restated GIC Note, GIC elected to convert all of the outstanding principal under the Restated GIC Note into a Pre-Funded Warrant exercisable at issuance for up to 492,204 shares of Common Stock having a fair value of approximately $2.7 million (the “GIC Warrant Conversion”, and, collectively with the CP Warrant Conversion, the “Related Party Warrant Conversions”).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Related Party Warrant Conversions were exercised in connection with the Related Party Debt Amendments by CP Acquisitions and GIC, related party lenders under common control (the “Related Party Lenders”), the transactions combined were considered a modification of the total debt outstanding with the related parties (the “Related Party Debt Restructuring”).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Debt Restructuring was accounted for as a troubled debt restructuring under ASC 470, as 1) the Company was determined to be experiencing financial difficulties as defined by the ASC, and 2) the Related Party Debt Restructuring was deemed to result in a concession by the Related Party Lenders. The Company performed a comparison of the aggregated undiscounted cash flows associated with the Related Party Notes subsequent to the Related Party Debt Restructuring to the aggregate carrying value of the Related Party Notes as of the Related Party Debt Restructuring date. The net carrying value of the Related Party Notes was determined to exceed the undiscounted future cash flows of the Related Party Notes as modified by the Related Party Debt Restructuring by approximately $10,000,000 (the “Related Party Debt Restructuring Excess Carrying Value”). The aggregate carrying value of the Related Party Notes was thus written down to the amount of the undiscounted future cash flows on the Related Party Notes from the Related Party Debt Restructuring date to maturity (the “Restructured Related Party Debt”). Further, as the Related Party Lenders are related parties of the Company, the Related Party Debt Restructuring Excess Carrying Value was accounted for as a capital transaction and no gain or loss was recognized related to the restructuring.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Consolidated CP Acquisitions Note as a result of the Related Party Debt Restructuring was approximately $4.4 million at September 30,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CP Acquisitions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issued a junior secured promissory note (the “2024 CP Note”) to CP Acquisitions. Pursuant to the 2024 CP Note, CP Acquisitions would lend up to $1,500,000 to the Company. The 2024 CP Note bears interest at a rate of 10% per annum, will mature in full on July 1, 2025, and may be prepaid without any fee or penalty. The note was subsequently amended to lend up to $3,000,000 to the Company. The 2024 CP Note is secured by the Company’s assets and ranks junior to existing secured indebtedness of the Company. The 2024 CP Note may be converted into Common Stock of the Company or, at CP Acquisitions’ election, Pre-Funded Warrants with an exercise price of $0.001 per share, in each case at a conversion price of $3.9495. Borrowings under the 2024 CP Note during the nine months ended September 30, 2024 totaled $2.34 million. Interest expense incurred on the 2024 CP Note amounted to approximately $37,000 for the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future minimum principal payments on all debt positions, excluding accrued interest amounts, were as follows:</w:t>
      </w:r>
    </w:p>
    <w:p>
      <w:pPr>
        <w:pStyle w:val="TextBody"/>
        <w:bidi w:val="0"/>
        <w:spacing w:before="0" w:after="0"/>
        <w:ind w:left="0" w:right="0" w:firstLine="360"/>
        <w:jc w:val="left"/>
        <w:rPr>
          <w:caps w:val="false"/>
          <w:smallCaps w:val="false"/>
        </w:rPr>
      </w:pPr>
      <w:r>
        <w:rPr>
          <w:caps w:val="false"/>
          <w:smallCaps w:val="false"/>
        </w:rPr>
        <w:t> </w:t>
      </w:r>
    </w:p>
    <w:tbl>
      <w:tblPr>
        <w:tblW w:w="5205" w:type="dxa"/>
        <w:jc w:val="left"/>
        <w:tblInd w:w="0" w:type="dxa"/>
        <w:tblLayout w:type="fixed"/>
        <w:tblCellMar>
          <w:top w:w="0" w:type="dxa"/>
          <w:left w:w="0" w:type="dxa"/>
          <w:bottom w:w="28" w:type="dxa"/>
          <w:right w:w="0" w:type="dxa"/>
        </w:tblCellMar>
      </w:tblPr>
      <w:tblGrid>
        <w:gridCol w:w="4370"/>
        <w:gridCol w:w="60"/>
        <w:gridCol w:w="140"/>
        <w:gridCol w:w="560"/>
        <w:gridCol w:w="75"/>
      </w:tblGrid>
      <w:tr>
        <w:trPr/>
        <w:tc>
          <w:tcPr>
            <w:tcW w:w="4370" w:type="dxa"/>
            <w:tcBorders>
              <w:bottom w:val="single" w:sz="12" w:space="0" w:color="000000"/>
            </w:tcBorders>
            <w:vAlign w:val="center"/>
          </w:tcPr>
          <w:p>
            <w:pPr>
              <w:pStyle w:val="TableContents"/>
              <w:bidi w:val="0"/>
              <w:spacing w:before="0" w:after="283"/>
              <w:jc w:val="left"/>
              <w:rPr>
                <w:b/>
              </w:rPr>
            </w:pPr>
            <w:r>
              <w:rPr>
                <w:b/>
              </w:rPr>
              <w:t>Years ending December 31 (In thousands),</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Remaining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404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tcMar>
              <w:bottom w:w="0" w:type="dxa"/>
            </w:tcMar>
            <w:vAlign w:val="center"/>
          </w:tcPr>
          <w:p>
            <w:pPr>
              <w:pStyle w:val="TableContents"/>
              <w:bidi w:val="0"/>
              <w:spacing w:before="0" w:after="283"/>
              <w:jc w:val="left"/>
              <w:rPr/>
            </w:pPr>
            <w:r>
              <w:rPr/>
              <w:t>2025</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right"/>
              <w:rPr/>
            </w:pPr>
            <w:r>
              <w:rPr/>
              <w:t>5,784</w:t>
            </w:r>
          </w:p>
        </w:tc>
        <w:tc>
          <w:tcPr>
            <w:tcW w:w="75" w:type="dxa"/>
            <w:tcBorders/>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560" w:type="dxa"/>
            <w:tcBorders>
              <w:bottom w:val="single" w:sz="12" w:space="0" w:color="000000"/>
            </w:tcBorders>
            <w:shd w:fill="CCEEFF" w:val="clear"/>
            <w:vAlign w:val="center"/>
          </w:tcPr>
          <w:p>
            <w:pPr>
              <w:pStyle w:val="TableContents"/>
              <w:bidi w:val="0"/>
              <w:spacing w:before="0" w:after="283"/>
              <w:jc w:val="right"/>
              <w:rPr/>
            </w:pPr>
            <w:r>
              <w:rPr/>
              <w:t>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tcMar>
              <w:bottom w:w="0" w:type="dxa"/>
            </w:tcMar>
            <w:vAlign w:val="center"/>
          </w:tcPr>
          <w:p>
            <w:pPr>
              <w:pStyle w:val="TableContents"/>
              <w:bidi w:val="0"/>
              <w:spacing w:before="0" w:after="283"/>
              <w:jc w:val="left"/>
              <w:rPr/>
            </w:pPr>
            <w:r>
              <w:rPr/>
              <w:t>Total future payments</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vAlign w:val="center"/>
          </w:tcPr>
          <w:p>
            <w:pPr>
              <w:pStyle w:val="TableContents"/>
              <w:bidi w:val="0"/>
              <w:spacing w:before="0" w:after="283"/>
              <w:jc w:val="left"/>
              <w:rPr/>
            </w:pPr>
            <w:r>
              <w:rPr/>
              <w:t>$</w:t>
            </w:r>
          </w:p>
        </w:tc>
        <w:tc>
          <w:tcPr>
            <w:tcW w:w="560" w:type="dxa"/>
            <w:tcBorders>
              <w:bottom w:val="double" w:sz="10" w:space="0" w:color="000000"/>
            </w:tcBorders>
            <w:vAlign w:val="center"/>
          </w:tcPr>
          <w:p>
            <w:pPr>
              <w:pStyle w:val="TableContents"/>
              <w:bidi w:val="0"/>
              <w:spacing w:before="0" w:after="283"/>
              <w:jc w:val="right"/>
              <w:rPr/>
            </w:pPr>
            <w:r>
              <w:rPr/>
              <w:t>6,189</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an original lease term of 12 months or less at inception were not reflected in the Company’s condensed consolidated balance sheet and those lease costs are expensed on a straight-line basis over the respective term. Leases with a term greater than 12 months were reflected as non-current right-of-use assets and current and non-current lease liabilities in the Company’s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implicit interest rate in its leases was generally not known, the Company used its incremental borrowing rate as the discount rate for purposes of determining the present value of its lease liabilities. The Company’s incremental borrowing rate was determined using the interest rate on a long term debt position entered into at approximately the same time and for the same duration as the lease. At September 30, 2024 and December 31, 2023 the Company’s weighted-average discount rate utilized for its leases was 7.96% and 7.51%,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several non-cancelable finance leases for machinery and equipment, all of which ended or were terminated during 2023. As of September 30, 2024, the Company had no active finance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several non-cancellable operating leases for corporate offices, warehouses, showrooms, research and development facilities and vehicles. The Company’s leases have remaining lease terms of one year to four years, some of which include options to extend. Some leases include payment for communal area maintenance associated with the property. Cash paid for operating leases during the nine months ended September 30, 2024 and 2023 were $729,691 and $512,309,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2024, one of the Company’s leased assets was sold by the lessor to another counterparty, effectively cancelling the remainder of the lease with the Company. There were no penalties arising from the cancellation. The Company recognized a gain on early termination in the amount of $39 thousand in the period, calculated as the difference between the remaining right-of-use asset and lease liability at the time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on the Company’s operating and financing lease activity was as follows:</w:t>
      </w:r>
    </w:p>
    <w:p>
      <w:pPr>
        <w:pStyle w:val="TextBody"/>
        <w:bidi w:val="0"/>
        <w:spacing w:before="0" w:after="0"/>
        <w:ind w:left="0" w:right="0" w:hanging="0"/>
        <w:jc w:val="left"/>
        <w:rPr>
          <w:caps w:val="false"/>
          <w:smallCaps w:val="false"/>
        </w:rPr>
      </w:pPr>
      <w:r>
        <w:rPr>
          <w:caps w:val="false"/>
          <w:smallCaps w:val="false"/>
        </w:rPr>
        <w:t> </w:t>
      </w:r>
    </w:p>
    <w:tbl>
      <w:tblPr>
        <w:tblW w:w="7643" w:type="dxa"/>
        <w:jc w:val="left"/>
        <w:tblInd w:w="0" w:type="dxa"/>
        <w:tblLayout w:type="fixed"/>
        <w:tblCellMar>
          <w:top w:w="0" w:type="dxa"/>
          <w:left w:w="0" w:type="dxa"/>
          <w:bottom w:w="0" w:type="dxa"/>
          <w:right w:w="0" w:type="dxa"/>
        </w:tblCellMar>
      </w:tblPr>
      <w:tblGrid>
        <w:gridCol w:w="3290"/>
        <w:gridCol w:w="60"/>
        <w:gridCol w:w="255"/>
        <w:gridCol w:w="694"/>
        <w:gridCol w:w="109"/>
        <w:gridCol w:w="109"/>
        <w:gridCol w:w="255"/>
        <w:gridCol w:w="694"/>
        <w:gridCol w:w="60"/>
        <w:gridCol w:w="60"/>
        <w:gridCol w:w="239"/>
        <w:gridCol w:w="650"/>
        <w:gridCol w:w="102"/>
        <w:gridCol w:w="102"/>
        <w:gridCol w:w="239"/>
        <w:gridCol w:w="650"/>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75" w:type="dxa"/>
            <w:tcBorders/>
            <w:vAlign w:val="center"/>
          </w:tcPr>
          <w:p>
            <w:pPr>
              <w:pStyle w:val="TableContents"/>
              <w:bidi w:val="0"/>
              <w:spacing w:before="0" w:after="283"/>
              <w:jc w:val="left"/>
              <w:rPr/>
            </w:pPr>
            <w:r>
              <w:rPr/>
              <w:t> </w:t>
            </w:r>
          </w:p>
        </w:tc>
      </w:tr>
      <w:tr>
        <w:trPr/>
        <w:tc>
          <w:tcPr>
            <w:tcW w:w="3290"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131</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jc w:val="right"/>
              <w:rPr/>
            </w:pPr>
            <w:r>
              <w:rPr/>
              <w:t>377</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jc w:val="right"/>
              <w:rPr/>
            </w:pPr>
            <w:r>
              <w:rPr/>
              <w:t>709</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Finance lease cost:</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0"/>
              <w:jc w:val="right"/>
              <w:rPr/>
            </w:pPr>
            <w:r>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112</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Interest on lease liabilities</w:t>
            </w:r>
          </w:p>
        </w:tc>
        <w:tc>
          <w:tcPr>
            <w:tcW w:w="6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tcMar>
              <w:bottom w:w="28" w:type="dxa"/>
            </w:tcMar>
            <w:vAlign w:val="center"/>
          </w:tcPr>
          <w:p>
            <w:pPr>
              <w:pStyle w:val="TableContents"/>
              <w:bidi w:val="0"/>
              <w:spacing w:before="0" w:after="0"/>
              <w:jc w:val="right"/>
              <w:rPr/>
            </w:pPr>
            <w:r>
              <w:rPr/>
              <w:t>—</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tcMar>
              <w:bottom w:w="28" w:type="dxa"/>
            </w:tcMar>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before="0" w:after="0"/>
              <w:jc w:val="right"/>
              <w:rPr/>
            </w:pPr>
            <w:r>
              <w:rPr/>
              <w:t>—</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131</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pPr>
            <w:r>
              <w:rPr/>
              <w:t>377</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pPr>
            <w:r>
              <w:rPr/>
              <w:t>834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24" w:type="dxa"/>
        <w:jc w:val="left"/>
        <w:tblInd w:w="0" w:type="dxa"/>
        <w:tblLayout w:type="fixed"/>
        <w:tblCellMar>
          <w:top w:w="0" w:type="dxa"/>
          <w:left w:w="0" w:type="dxa"/>
          <w:bottom w:w="0" w:type="dxa"/>
          <w:right w:w="0" w:type="dxa"/>
        </w:tblCellMar>
      </w:tblPr>
      <w:tblGrid>
        <w:gridCol w:w="5510"/>
        <w:gridCol w:w="60"/>
        <w:gridCol w:w="184"/>
        <w:gridCol w:w="1350"/>
        <w:gridCol w:w="215"/>
        <w:gridCol w:w="60"/>
        <w:gridCol w:w="169"/>
        <w:gridCol w:w="1246"/>
        <w:gridCol w:w="230"/>
      </w:tblGrid>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23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pPr>
            <w:r>
              <w:rPr/>
              <w:t>Weighted-average remaining lease term – operating leases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sz w:val="20"/>
              </w:rPr>
            </w:pPr>
            <w:r>
              <w:rPr>
                <w:sz w:val="20"/>
              </w:rPr>
              <w:t>2.53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sz w:val="20"/>
              </w:rPr>
            </w:pPr>
            <w:r>
              <w:rPr>
                <w:sz w:val="20"/>
              </w:rPr>
              <w:t>3.09 years</w:t>
            </w:r>
          </w:p>
        </w:tc>
        <w:tc>
          <w:tcPr>
            <w:tcW w:w="23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Weighted-average remaining lease term – finance leases</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50" w:type="dxa"/>
            <w:tcBorders/>
            <w:vAlign w:val="center"/>
          </w:tcPr>
          <w:p>
            <w:pPr>
              <w:pStyle w:val="TableContents"/>
              <w:bidi w:val="0"/>
              <w:spacing w:before="0" w:after="0"/>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0"/>
              <w:jc w:val="right"/>
              <w:rPr/>
            </w:pPr>
            <w:r>
              <w:rPr/>
              <w:t>—</w:t>
            </w:r>
          </w:p>
        </w:tc>
        <w:tc>
          <w:tcPr>
            <w:tcW w:w="23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pPr>
            <w:r>
              <w:rPr/>
              <w:t>Weighted-average discount rate – operating leases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pPr>
            <w:r>
              <w:rPr/>
              <w:t>7.96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7.51</w:t>
            </w:r>
          </w:p>
        </w:tc>
        <w:tc>
          <w:tcPr>
            <w:tcW w:w="230" w:type="dxa"/>
            <w:tcBorders/>
            <w:shd w:fill="CCEEFF" w:val="clear"/>
            <w:vAlign w:val="center"/>
          </w:tcPr>
          <w:p>
            <w:pPr>
              <w:pStyle w:val="TableContents"/>
              <w:bidi w:val="0"/>
              <w:spacing w:before="0" w:after="283"/>
              <w:jc w:val="left"/>
              <w:rPr/>
            </w:pPr>
            <w:r>
              <w:rPr/>
              <w:t>%</w:t>
            </w:r>
          </w:p>
        </w:tc>
      </w:tr>
      <w:tr>
        <w:trPr/>
        <w:tc>
          <w:tcPr>
            <w:tcW w:w="5510" w:type="dxa"/>
            <w:tcBorders/>
            <w:vAlign w:val="center"/>
          </w:tcPr>
          <w:p>
            <w:pPr>
              <w:pStyle w:val="TableContents"/>
              <w:bidi w:val="0"/>
              <w:spacing w:before="0" w:after="283"/>
              <w:jc w:val="left"/>
              <w:rPr/>
            </w:pPr>
            <w:r>
              <w:rPr/>
              <w:t>Weighted-average discount rate – finance leases</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50" w:type="dxa"/>
            <w:tcBorders/>
            <w:vAlign w:val="center"/>
          </w:tcPr>
          <w:p>
            <w:pPr>
              <w:pStyle w:val="TableContents"/>
              <w:bidi w:val="0"/>
              <w:spacing w:before="0" w:after="0"/>
              <w:jc w:val="right"/>
              <w:rPr/>
            </w:pPr>
            <w:r>
              <w:rPr/>
              <w:t>—</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0"/>
              <w:jc w:val="right"/>
              <w:rPr/>
            </w:pPr>
            <w:r>
              <w:rPr/>
              <w:t>—</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06"/>
        <w:gridCol w:w="60"/>
        <w:gridCol w:w="3493"/>
        <w:gridCol w:w="60"/>
        <w:gridCol w:w="295"/>
        <w:gridCol w:w="1180"/>
        <w:gridCol w:w="60"/>
        <w:gridCol w:w="60"/>
        <w:gridCol w:w="283"/>
        <w:gridCol w:w="1132"/>
        <w:gridCol w:w="76"/>
      </w:tblGrid>
      <w:tr>
        <w:trPr/>
        <w:tc>
          <w:tcPr>
            <w:tcW w:w="3506"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3493" w:type="dxa"/>
            <w:tcBorders>
              <w:bottom w:val="single" w:sz="12" w:space="0" w:color="000000"/>
            </w:tcBorders>
            <w:vAlign w:val="center"/>
          </w:tcPr>
          <w:p>
            <w:pPr>
              <w:pStyle w:val="TableContents"/>
              <w:bidi w:val="0"/>
              <w:spacing w:before="0" w:after="283"/>
              <w:jc w:val="center"/>
              <w:rPr>
                <w:b/>
              </w:rPr>
            </w:pPr>
            <w:r>
              <w:rPr>
                <w:b/>
              </w:rPr>
              <w:t>Balance Sheet Location</w:t>
            </w:r>
          </w:p>
        </w:tc>
        <w:tc>
          <w:tcPr>
            <w:tcW w:w="6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12" w:space="0" w:color="000000"/>
            </w:tcBorders>
            <w:vAlign w:val="center"/>
          </w:tcPr>
          <w:p>
            <w:pPr>
              <w:pStyle w:val="TableContents"/>
              <w:bidi w:val="0"/>
              <w:spacing w:before="0" w:after="283"/>
              <w:jc w:val="center"/>
              <w:rPr>
                <w:b/>
              </w:rPr>
            </w:pPr>
            <w:r>
              <w:rPr>
                <w:b/>
              </w:rPr>
              <w:t>September 30,</w:t>
              <w:b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2023</w:t>
            </w:r>
          </w:p>
        </w:tc>
        <w:tc>
          <w:tcPr>
            <w:tcW w:w="76" w:type="dxa"/>
            <w:tcBorders/>
            <w:tcMar>
              <w:bottom w:w="0" w:type="dxa"/>
            </w:tcMar>
            <w:vAlign w:val="center"/>
          </w:tcPr>
          <w:p>
            <w:pPr>
              <w:pStyle w:val="TableContents"/>
              <w:bidi w:val="0"/>
              <w:spacing w:before="0" w:after="283"/>
              <w:jc w:val="left"/>
              <w:rPr/>
            </w:pPr>
            <w:r>
              <w:rPr/>
              <w:t> </w:t>
            </w:r>
          </w:p>
        </w:tc>
      </w:tr>
      <w:tr>
        <w:trPr/>
        <w:tc>
          <w:tcPr>
            <w:tcW w:w="3506" w:type="dxa"/>
            <w:tcBorders/>
            <w:tcMar>
              <w:bottom w:w="0" w:type="dxa"/>
            </w:tcMar>
            <w:vAlign w:val="center"/>
          </w:tcPr>
          <w:p>
            <w:pPr>
              <w:pStyle w:val="TableContents"/>
              <w:bidi w:val="0"/>
              <w:spacing w:before="0" w:after="283"/>
              <w:jc w:val="left"/>
              <w:rPr>
                <w:b/>
              </w:rPr>
            </w:pPr>
            <w:r>
              <w:rPr>
                <w:b/>
              </w:rPr>
              <w:t>Assets</w:t>
            </w:r>
          </w:p>
        </w:tc>
        <w:tc>
          <w:tcPr>
            <w:tcW w:w="60" w:type="dxa"/>
            <w:tcBorders/>
            <w:tcMar>
              <w:bottom w:w="0" w:type="dxa"/>
            </w:tcMar>
            <w:vAlign w:val="center"/>
          </w:tcPr>
          <w:p>
            <w:pPr>
              <w:pStyle w:val="TableContents"/>
              <w:bidi w:val="0"/>
              <w:spacing w:before="0" w:after="283"/>
              <w:jc w:val="left"/>
              <w:rPr/>
            </w:pPr>
            <w:r>
              <w:rPr/>
              <w:t> </w:t>
            </w:r>
          </w:p>
        </w:tc>
        <w:tc>
          <w:tcPr>
            <w:tcW w:w="34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5"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r>
      <w:tr>
        <w:trPr/>
        <w:tc>
          <w:tcPr>
            <w:tcW w:w="3506" w:type="dxa"/>
            <w:tcBorders/>
            <w:shd w:fill="CCEEFF" w:val="clear"/>
            <w:tcMar>
              <w:bottom w:w="0" w:type="dxa"/>
            </w:tcMar>
            <w:vAlign w:val="center"/>
          </w:tcPr>
          <w:p>
            <w:pPr>
              <w:pStyle w:val="TableContents"/>
              <w:bidi w:val="0"/>
              <w:spacing w:before="0" w:after="283"/>
              <w:jc w:val="left"/>
              <w:rPr/>
            </w:pPr>
            <w:r>
              <w:rPr/>
              <w:t>Right-of-use assets,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93" w:type="dxa"/>
            <w:tcBorders/>
            <w:shd w:fill="CCEEFF" w:val="clear"/>
            <w:tcMar>
              <w:bottom w:w="0" w:type="dxa"/>
            </w:tcMar>
            <w:vAlign w:val="center"/>
          </w:tcPr>
          <w:p>
            <w:pPr>
              <w:pStyle w:val="TableContents"/>
              <w:bidi w:val="0"/>
              <w:spacing w:before="0" w:after="283"/>
              <w:jc w:val="center"/>
              <w:rPr/>
            </w:pPr>
            <w:r>
              <w:rPr/>
              <w:t>Right-of-use,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bottom w:val="single" w:sz="12" w:space="0" w:color="000000"/>
            </w:tcBorders>
            <w:shd w:fill="CCEEFF" w:val="clear"/>
            <w:vAlign w:val="center"/>
          </w:tcPr>
          <w:p>
            <w:pPr>
              <w:pStyle w:val="TableContents"/>
              <w:bidi w:val="0"/>
              <w:spacing w:before="0" w:after="283"/>
              <w:jc w:val="left"/>
              <w:rPr/>
            </w:pPr>
            <w:r>
              <w:rPr/>
              <w:t>$</w:t>
            </w:r>
          </w:p>
        </w:tc>
        <w:tc>
          <w:tcPr>
            <w:tcW w:w="1180" w:type="dxa"/>
            <w:tcBorders>
              <w:bottom w:val="single" w:sz="12" w:space="0" w:color="000000"/>
            </w:tcBorders>
            <w:shd w:fill="CCEEFF" w:val="clear"/>
            <w:vAlign w:val="center"/>
          </w:tcPr>
          <w:p>
            <w:pPr>
              <w:pStyle w:val="TableContents"/>
              <w:bidi w:val="0"/>
              <w:spacing w:before="0" w:after="283"/>
              <w:jc w:val="right"/>
              <w:rPr/>
            </w:pPr>
            <w:r>
              <w:rPr/>
              <w:t>1,573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bottom w:val="single" w:sz="12" w:space="0" w:color="000000"/>
            </w:tcBorders>
            <w:shd w:fill="CCEEFF" w:val="clear"/>
            <w:vAlign w:val="center"/>
          </w:tcPr>
          <w:p>
            <w:pPr>
              <w:pStyle w:val="TableContents"/>
              <w:bidi w:val="0"/>
              <w:spacing w:before="0" w:after="283"/>
              <w:jc w:val="left"/>
              <w:rPr/>
            </w:pPr>
            <w:r>
              <w:rPr/>
              <w:t>$</w:t>
            </w:r>
          </w:p>
        </w:tc>
        <w:tc>
          <w:tcPr>
            <w:tcW w:w="1132" w:type="dxa"/>
            <w:tcBorders>
              <w:bottom w:val="single" w:sz="12" w:space="0" w:color="000000"/>
            </w:tcBorders>
            <w:shd w:fill="CCEEFF" w:val="clear"/>
            <w:vAlign w:val="center"/>
          </w:tcPr>
          <w:p>
            <w:pPr>
              <w:pStyle w:val="TableContents"/>
              <w:bidi w:val="0"/>
              <w:spacing w:before="0" w:after="283"/>
              <w:jc w:val="right"/>
              <w:rPr/>
            </w:pPr>
            <w:r>
              <w:rPr/>
              <w:t>1,803</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3506" w:type="dxa"/>
            <w:tcBorders/>
            <w:tcMar>
              <w:bottom w:w="0" w:type="dxa"/>
            </w:tcMar>
            <w:vAlign w:val="center"/>
          </w:tcPr>
          <w:p>
            <w:pPr>
              <w:pStyle w:val="TableContents"/>
              <w:bidi w:val="0"/>
              <w:spacing w:before="0" w:after="283"/>
              <w:jc w:val="left"/>
              <w:rPr/>
            </w:pPr>
            <w:r>
              <w:rPr/>
              <w:t>Total lease assets</w:t>
            </w:r>
          </w:p>
        </w:tc>
        <w:tc>
          <w:tcPr>
            <w:tcW w:w="60" w:type="dxa"/>
            <w:tcBorders/>
            <w:tcMar>
              <w:bottom w:w="0" w:type="dxa"/>
            </w:tcMar>
            <w:vAlign w:val="center"/>
          </w:tcPr>
          <w:p>
            <w:pPr>
              <w:pStyle w:val="TableContents"/>
              <w:bidi w:val="0"/>
              <w:spacing w:before="0" w:after="283"/>
              <w:jc w:val="left"/>
              <w:rPr/>
            </w:pPr>
            <w:r>
              <w:rPr/>
              <w:t> </w:t>
            </w:r>
          </w:p>
        </w:tc>
        <w:tc>
          <w:tcPr>
            <w:tcW w:w="34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5" w:type="dxa"/>
            <w:tcBorders>
              <w:bottom w:val="double" w:sz="10" w:space="0" w:color="000000"/>
            </w:tcBorders>
            <w:vAlign w:val="center"/>
          </w:tcPr>
          <w:p>
            <w:pPr>
              <w:pStyle w:val="TableContents"/>
              <w:bidi w:val="0"/>
              <w:spacing w:before="0" w:after="283"/>
              <w:jc w:val="left"/>
              <w:rPr/>
            </w:pPr>
            <w:r>
              <w:rPr/>
              <w:t>$</w:t>
            </w:r>
          </w:p>
        </w:tc>
        <w:tc>
          <w:tcPr>
            <w:tcW w:w="1180" w:type="dxa"/>
            <w:tcBorders>
              <w:bottom w:val="double" w:sz="10" w:space="0" w:color="000000"/>
            </w:tcBorders>
            <w:vAlign w:val="center"/>
          </w:tcPr>
          <w:p>
            <w:pPr>
              <w:pStyle w:val="TableContents"/>
              <w:bidi w:val="0"/>
              <w:spacing w:before="0" w:after="283"/>
              <w:jc w:val="right"/>
              <w:rPr/>
            </w:pPr>
            <w:r>
              <w:rPr/>
              <w:t>1,573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3" w:type="dxa"/>
            <w:tcBorders>
              <w:bottom w:val="double" w:sz="10" w:space="0" w:color="000000"/>
            </w:tcBorders>
            <w:vAlign w:val="center"/>
          </w:tcPr>
          <w:p>
            <w:pPr>
              <w:pStyle w:val="TableContents"/>
              <w:bidi w:val="0"/>
              <w:spacing w:before="0" w:after="283"/>
              <w:jc w:val="left"/>
              <w:rPr/>
            </w:pPr>
            <w:r>
              <w:rPr/>
              <w:t>$</w:t>
            </w:r>
          </w:p>
        </w:tc>
        <w:tc>
          <w:tcPr>
            <w:tcW w:w="1132" w:type="dxa"/>
            <w:tcBorders>
              <w:bottom w:val="double" w:sz="10" w:space="0" w:color="000000"/>
            </w:tcBorders>
            <w:vAlign w:val="center"/>
          </w:tcPr>
          <w:p>
            <w:pPr>
              <w:pStyle w:val="TableContents"/>
              <w:bidi w:val="0"/>
              <w:spacing w:before="0" w:after="283"/>
              <w:jc w:val="right"/>
              <w:rPr/>
            </w:pPr>
            <w:r>
              <w:rPr/>
              <w:t>1,803</w:t>
            </w:r>
          </w:p>
        </w:tc>
        <w:tc>
          <w:tcPr>
            <w:tcW w:w="76" w:type="dxa"/>
            <w:tcBorders/>
            <w:tcMar>
              <w:bottom w:w="0" w:type="dxa"/>
            </w:tcMar>
            <w:vAlign w:val="center"/>
          </w:tcPr>
          <w:p>
            <w:pPr>
              <w:pStyle w:val="TableContents"/>
              <w:bidi w:val="0"/>
              <w:spacing w:before="0" w:after="283"/>
              <w:jc w:val="left"/>
              <w:rPr/>
            </w:pPr>
            <w:r>
              <w:rPr/>
              <w:t> </w:t>
            </w:r>
          </w:p>
        </w:tc>
      </w:tr>
      <w:tr>
        <w:trPr/>
        <w:tc>
          <w:tcPr>
            <w:tcW w:w="350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3506" w:type="dxa"/>
            <w:tcBorders/>
            <w:tcMar>
              <w:bottom w:w="0" w:type="dxa"/>
            </w:tcMar>
            <w:vAlign w:val="center"/>
          </w:tcPr>
          <w:p>
            <w:pPr>
              <w:pStyle w:val="TableContents"/>
              <w:bidi w:val="0"/>
              <w:spacing w:before="0" w:after="283"/>
              <w:jc w:val="left"/>
              <w:rPr>
                <w:b/>
              </w:rPr>
            </w:pPr>
            <w:r>
              <w:rPr>
                <w:b/>
              </w:rPr>
              <w:t>Liabilities</w:t>
            </w:r>
          </w:p>
        </w:tc>
        <w:tc>
          <w:tcPr>
            <w:tcW w:w="60" w:type="dxa"/>
            <w:tcBorders/>
            <w:tcMar>
              <w:bottom w:w="0" w:type="dxa"/>
            </w:tcMar>
            <w:vAlign w:val="center"/>
          </w:tcPr>
          <w:p>
            <w:pPr>
              <w:pStyle w:val="TableContents"/>
              <w:bidi w:val="0"/>
              <w:spacing w:before="0" w:after="283"/>
              <w:jc w:val="left"/>
              <w:rPr/>
            </w:pPr>
            <w:r>
              <w:rPr/>
              <w:t> </w:t>
            </w:r>
          </w:p>
        </w:tc>
        <w:tc>
          <w:tcPr>
            <w:tcW w:w="34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11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3" w:type="dxa"/>
            <w:tcBorders/>
            <w:tcMar>
              <w:bottom w:w="0" w:type="dxa"/>
            </w:tcMar>
            <w:vAlign w:val="center"/>
          </w:tcPr>
          <w:p>
            <w:pPr>
              <w:pStyle w:val="TableContents"/>
              <w:bidi w:val="0"/>
              <w:spacing w:before="0" w:after="283"/>
              <w:jc w:val="left"/>
              <w:rPr/>
            </w:pPr>
            <w:r>
              <w:rPr/>
              <w:t> </w:t>
            </w:r>
          </w:p>
        </w:tc>
        <w:tc>
          <w:tcPr>
            <w:tcW w:w="1132" w:type="dxa"/>
            <w:tcBorders/>
            <w:tcMar>
              <w:bottom w:w="0" w:type="dxa"/>
            </w:tcMar>
            <w:vAlign w:val="center"/>
          </w:tcPr>
          <w:p>
            <w:pPr>
              <w:pStyle w:val="TableContents"/>
              <w:bidi w:val="0"/>
              <w:spacing w:before="0" w:after="283"/>
              <w:jc w:val="right"/>
              <w:rPr/>
            </w:pPr>
            <w:r>
              <w:rPr/>
              <w:t> </w:t>
            </w:r>
          </w:p>
        </w:tc>
        <w:tc>
          <w:tcPr>
            <w:tcW w:w="76" w:type="dxa"/>
            <w:tcBorders/>
            <w:tcMar>
              <w:bottom w:w="0" w:type="dxa"/>
            </w:tcMar>
            <w:vAlign w:val="center"/>
          </w:tcPr>
          <w:p>
            <w:pPr>
              <w:pStyle w:val="TableContents"/>
              <w:bidi w:val="0"/>
              <w:spacing w:before="0" w:after="283"/>
              <w:jc w:val="left"/>
              <w:rPr/>
            </w:pPr>
            <w:r>
              <w:rPr/>
              <w:t> </w:t>
            </w:r>
          </w:p>
        </w:tc>
      </w:tr>
      <w:tr>
        <w:trPr/>
        <w:tc>
          <w:tcPr>
            <w:tcW w:w="3506" w:type="dxa"/>
            <w:tcBorders/>
            <w:shd w:fill="CCEEFF" w:val="clear"/>
            <w:tcMar>
              <w:bottom w:w="0" w:type="dxa"/>
            </w:tcMar>
            <w:vAlign w:val="center"/>
          </w:tcPr>
          <w:p>
            <w:pPr>
              <w:pStyle w:val="TableContents"/>
              <w:bidi w:val="0"/>
              <w:spacing w:before="0" w:after="283"/>
              <w:jc w:val="left"/>
              <w:rPr/>
            </w:pPr>
            <w:r>
              <w:rPr/>
              <w:t>Operating lease liabilities,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93" w:type="dxa"/>
            <w:tcBorders/>
            <w:shd w:fill="CCEEFF" w:val="clear"/>
            <w:tcMar>
              <w:bottom w:w="0" w:type="dxa"/>
            </w:tcMar>
            <w:vAlign w:val="center"/>
          </w:tcPr>
          <w:p>
            <w:pPr>
              <w:pStyle w:val="TableContents"/>
              <w:bidi w:val="0"/>
              <w:spacing w:before="0" w:after="283"/>
              <w:jc w:val="center"/>
              <w:rPr/>
            </w:pPr>
            <w:r>
              <w:rPr/>
              <w:t>Operating lease liabilities,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1180" w:type="dxa"/>
            <w:tcBorders/>
            <w:shd w:fill="CCEEFF" w:val="clear"/>
            <w:tcMar>
              <w:bottom w:w="0" w:type="dxa"/>
            </w:tcMar>
            <w:vAlign w:val="center"/>
          </w:tcPr>
          <w:p>
            <w:pPr>
              <w:pStyle w:val="TableContents"/>
              <w:bidi w:val="0"/>
              <w:spacing w:before="0" w:after="283"/>
              <w:jc w:val="right"/>
              <w:rPr/>
            </w:pPr>
            <w:r>
              <w:rPr/>
              <w:t>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w:t>
            </w:r>
          </w:p>
        </w:tc>
        <w:tc>
          <w:tcPr>
            <w:tcW w:w="1132" w:type="dxa"/>
            <w:tcBorders/>
            <w:shd w:fill="CCEEFF" w:val="clear"/>
            <w:tcMar>
              <w:bottom w:w="0" w:type="dxa"/>
            </w:tcMar>
            <w:vAlign w:val="center"/>
          </w:tcPr>
          <w:p>
            <w:pPr>
              <w:pStyle w:val="TableContents"/>
              <w:bidi w:val="0"/>
              <w:spacing w:before="0" w:after="283"/>
              <w:jc w:val="right"/>
              <w:rPr/>
            </w:pPr>
            <w:r>
              <w:rPr/>
              <w:t>599</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3506" w:type="dxa"/>
            <w:tcBorders/>
            <w:tcMar>
              <w:bottom w:w="0" w:type="dxa"/>
            </w:tcMar>
            <w:vAlign w:val="center"/>
          </w:tcPr>
          <w:p>
            <w:pPr>
              <w:pStyle w:val="TableContents"/>
              <w:bidi w:val="0"/>
              <w:spacing w:before="0" w:after="283"/>
              <w:jc w:val="left"/>
              <w:rPr/>
            </w:pPr>
            <w:r>
              <w:rPr/>
              <w:t>Operating lease liabilities, non-current</w:t>
            </w:r>
          </w:p>
        </w:tc>
        <w:tc>
          <w:tcPr>
            <w:tcW w:w="60" w:type="dxa"/>
            <w:tcBorders/>
            <w:tcMar>
              <w:bottom w:w="0" w:type="dxa"/>
            </w:tcMar>
            <w:vAlign w:val="center"/>
          </w:tcPr>
          <w:p>
            <w:pPr>
              <w:pStyle w:val="TableContents"/>
              <w:bidi w:val="0"/>
              <w:spacing w:before="0" w:after="283"/>
              <w:jc w:val="left"/>
              <w:rPr/>
            </w:pPr>
            <w:r>
              <w:rPr/>
              <w:t> </w:t>
            </w:r>
          </w:p>
        </w:tc>
        <w:tc>
          <w:tcPr>
            <w:tcW w:w="3493" w:type="dxa"/>
            <w:tcBorders/>
            <w:tcMar>
              <w:bottom w:w="0" w:type="dxa"/>
            </w:tcMar>
            <w:vAlign w:val="center"/>
          </w:tcPr>
          <w:p>
            <w:pPr>
              <w:pStyle w:val="TableContents"/>
              <w:bidi w:val="0"/>
              <w:spacing w:before="0" w:after="283"/>
              <w:jc w:val="center"/>
              <w:rPr/>
            </w:pPr>
            <w:r>
              <w:rPr/>
              <w:t>Operating lease liabilities, non-current</w:t>
            </w:r>
          </w:p>
        </w:tc>
        <w:tc>
          <w:tcPr>
            <w:tcW w:w="60" w:type="dxa"/>
            <w:tcBorders/>
            <w:tcMar>
              <w:bottom w:w="0" w:type="dxa"/>
            </w:tcMar>
            <w:vAlign w:val="center"/>
          </w:tcPr>
          <w:p>
            <w:pPr>
              <w:pStyle w:val="TableContents"/>
              <w:bidi w:val="0"/>
              <w:spacing w:before="0" w:after="283"/>
              <w:jc w:val="left"/>
              <w:rPr/>
            </w:pPr>
            <w:r>
              <w:rPr/>
              <w:t> </w:t>
            </w:r>
          </w:p>
        </w:tc>
        <w:tc>
          <w:tcPr>
            <w:tcW w:w="295" w:type="dxa"/>
            <w:tcBorders>
              <w:bottom w:val="single" w:sz="12" w:space="0" w:color="000000"/>
            </w:tcBorders>
            <w:vAlign w:val="center"/>
          </w:tcPr>
          <w:p>
            <w:pPr>
              <w:pStyle w:val="TableContents"/>
              <w:bidi w:val="0"/>
              <w:spacing w:before="0" w:after="283"/>
              <w:jc w:val="left"/>
              <w:rPr/>
            </w:pPr>
            <w:r>
              <w:rPr/>
              <w:t> </w:t>
            </w:r>
          </w:p>
        </w:tc>
        <w:tc>
          <w:tcPr>
            <w:tcW w:w="1180" w:type="dxa"/>
            <w:tcBorders>
              <w:bottom w:val="single" w:sz="12" w:space="0" w:color="000000"/>
            </w:tcBorders>
            <w:vAlign w:val="center"/>
          </w:tcPr>
          <w:p>
            <w:pPr>
              <w:pStyle w:val="TableContents"/>
              <w:bidi w:val="0"/>
              <w:spacing w:before="0" w:after="283"/>
              <w:jc w:val="right"/>
              <w:rPr/>
            </w:pPr>
            <w:r>
              <w:rPr/>
              <w:t>1,090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3" w:type="dxa"/>
            <w:tcBorders>
              <w:bottom w:val="single" w:sz="12" w:space="0" w:color="000000"/>
            </w:tcBorders>
            <w:vAlign w:val="center"/>
          </w:tcPr>
          <w:p>
            <w:pPr>
              <w:pStyle w:val="TableContents"/>
              <w:bidi w:val="0"/>
              <w:spacing w:before="0" w:after="283"/>
              <w:jc w:val="left"/>
              <w:rPr/>
            </w:pPr>
            <w:r>
              <w:rPr/>
              <w:t> </w:t>
            </w:r>
          </w:p>
        </w:tc>
        <w:tc>
          <w:tcPr>
            <w:tcW w:w="1132" w:type="dxa"/>
            <w:tcBorders>
              <w:bottom w:val="single" w:sz="12" w:space="0" w:color="000000"/>
            </w:tcBorders>
            <w:vAlign w:val="center"/>
          </w:tcPr>
          <w:p>
            <w:pPr>
              <w:pStyle w:val="TableContents"/>
              <w:bidi w:val="0"/>
              <w:spacing w:before="0" w:after="283"/>
              <w:jc w:val="right"/>
              <w:rPr/>
            </w:pPr>
            <w:r>
              <w:rPr/>
              <w:t>1,394</w:t>
            </w:r>
          </w:p>
        </w:tc>
        <w:tc>
          <w:tcPr>
            <w:tcW w:w="76" w:type="dxa"/>
            <w:tcBorders/>
            <w:tcMar>
              <w:bottom w:w="0" w:type="dxa"/>
            </w:tcMar>
            <w:vAlign w:val="center"/>
          </w:tcPr>
          <w:p>
            <w:pPr>
              <w:pStyle w:val="TableContents"/>
              <w:bidi w:val="0"/>
              <w:spacing w:before="0" w:after="283"/>
              <w:jc w:val="left"/>
              <w:rPr/>
            </w:pPr>
            <w:r>
              <w:rPr/>
              <w:t> </w:t>
            </w:r>
          </w:p>
        </w:tc>
      </w:tr>
      <w:tr>
        <w:trPr/>
        <w:tc>
          <w:tcPr>
            <w:tcW w:w="3506" w:type="dxa"/>
            <w:tcBorders/>
            <w:shd w:fill="CCEEFF" w:val="clear"/>
            <w:tcMar>
              <w:bottom w:w="0" w:type="dxa"/>
            </w:tcMar>
            <w:vAlign w:val="center"/>
          </w:tcPr>
          <w:p>
            <w:pPr>
              <w:pStyle w:val="TableContents"/>
              <w:bidi w:val="0"/>
              <w:spacing w:before="0" w:after="283"/>
              <w:jc w:val="left"/>
              <w:rPr/>
            </w:pPr>
            <w:r>
              <w:rPr/>
              <w:t>Total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bottom w:val="double" w:sz="10" w:space="0" w:color="000000"/>
            </w:tcBorders>
            <w:shd w:fill="CCEEFF" w:val="clear"/>
            <w:vAlign w:val="center"/>
          </w:tcPr>
          <w:p>
            <w:pPr>
              <w:pStyle w:val="TableContents"/>
              <w:bidi w:val="0"/>
              <w:spacing w:before="0" w:after="283"/>
              <w:jc w:val="left"/>
              <w:rPr/>
            </w:pPr>
            <w:r>
              <w:rPr/>
              <w:t>$</w:t>
            </w:r>
          </w:p>
        </w:tc>
        <w:tc>
          <w:tcPr>
            <w:tcW w:w="1180" w:type="dxa"/>
            <w:tcBorders>
              <w:bottom w:val="double" w:sz="10" w:space="0" w:color="000000"/>
            </w:tcBorders>
            <w:shd w:fill="CCEEFF" w:val="clear"/>
            <w:vAlign w:val="center"/>
          </w:tcPr>
          <w:p>
            <w:pPr>
              <w:pStyle w:val="TableContents"/>
              <w:bidi w:val="0"/>
              <w:spacing w:before="0" w:after="283"/>
              <w:jc w:val="right"/>
              <w:rPr/>
            </w:pPr>
            <w:r>
              <w:rPr/>
              <w:t>1,756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bottom w:val="double" w:sz="10" w:space="0" w:color="000000"/>
            </w:tcBorders>
            <w:shd w:fill="CCEEFF" w:val="clear"/>
            <w:vAlign w:val="center"/>
          </w:tcPr>
          <w:p>
            <w:pPr>
              <w:pStyle w:val="TableContents"/>
              <w:bidi w:val="0"/>
              <w:spacing w:before="0" w:after="283"/>
              <w:jc w:val="left"/>
              <w:rPr/>
            </w:pPr>
            <w:r>
              <w:rPr/>
              <w:t>$</w:t>
            </w:r>
          </w:p>
        </w:tc>
        <w:tc>
          <w:tcPr>
            <w:tcW w:w="1132" w:type="dxa"/>
            <w:tcBorders>
              <w:bottom w:val="double" w:sz="10" w:space="0" w:color="000000"/>
            </w:tcBorders>
            <w:shd w:fill="CCEEFF" w:val="clear"/>
            <w:vAlign w:val="center"/>
          </w:tcPr>
          <w:p>
            <w:pPr>
              <w:pStyle w:val="TableContents"/>
              <w:bidi w:val="0"/>
              <w:spacing w:before="0" w:after="283"/>
              <w:jc w:val="right"/>
              <w:rPr/>
            </w:pPr>
            <w:r>
              <w:rPr/>
              <w:t>1,993</w:t>
            </w:r>
          </w:p>
        </w:tc>
        <w:tc>
          <w:tcPr>
            <w:tcW w:w="7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operating lease liabilities as of September 30, 2024 are as follows:</w:t>
      </w:r>
    </w:p>
    <w:p>
      <w:pPr>
        <w:pStyle w:val="TextBody"/>
        <w:bidi w:val="0"/>
        <w:spacing w:before="0" w:after="0"/>
        <w:ind w:left="0" w:right="0" w:firstLine="360"/>
        <w:jc w:val="left"/>
        <w:rPr>
          <w:caps w:val="false"/>
          <w:smallCaps w:val="false"/>
        </w:rPr>
      </w:pPr>
      <w:r>
        <w:rPr>
          <w:caps w:val="false"/>
          <w:smallCaps w:val="false"/>
        </w:rPr>
        <w:t> </w:t>
      </w:r>
    </w:p>
    <w:tbl>
      <w:tblPr>
        <w:tblW w:w="5595" w:type="dxa"/>
        <w:jc w:val="left"/>
        <w:tblInd w:w="0" w:type="dxa"/>
        <w:tblLayout w:type="fixed"/>
        <w:tblCellMar>
          <w:top w:w="0" w:type="dxa"/>
          <w:left w:w="0" w:type="dxa"/>
          <w:bottom w:w="28" w:type="dxa"/>
          <w:right w:w="0" w:type="dxa"/>
        </w:tblCellMar>
      </w:tblPr>
      <w:tblGrid>
        <w:gridCol w:w="4370"/>
        <w:gridCol w:w="60"/>
        <w:gridCol w:w="211"/>
        <w:gridCol w:w="844"/>
        <w:gridCol w:w="110"/>
      </w:tblGrid>
      <w:tr>
        <w:trPr/>
        <w:tc>
          <w:tcPr>
            <w:tcW w:w="4370" w:type="dxa"/>
            <w:tcBorders>
              <w:bottom w:val="single" w:sz="12" w:space="0" w:color="000000"/>
            </w:tcBorders>
            <w:vAlign w:val="center"/>
          </w:tcPr>
          <w:p>
            <w:pPr>
              <w:pStyle w:val="TableContents"/>
              <w:bidi w:val="0"/>
              <w:spacing w:before="0" w:after="283"/>
              <w:jc w:val="left"/>
              <w:rPr>
                <w:b/>
              </w:rPr>
            </w:pPr>
            <w:r>
              <w:rPr>
                <w:b/>
              </w:rPr>
              <w:t>Years ending December 31 (In thousands),</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12" w:space="0" w:color="000000"/>
            </w:tcBorders>
            <w:vAlign w:val="center"/>
          </w:tcPr>
          <w:p>
            <w:pPr>
              <w:pStyle w:val="TableContents"/>
              <w:bidi w:val="0"/>
              <w:spacing w:before="0" w:after="283"/>
              <w:jc w:val="center"/>
              <w:rPr>
                <w:b/>
              </w:rPr>
            </w:pPr>
            <w:r>
              <w:rPr>
                <w:b/>
              </w:rPr>
              <w:t>Operating</w:t>
              <w:br/>
              <w:t>lease</w:t>
            </w:r>
          </w:p>
        </w:tc>
        <w:tc>
          <w:tcPr>
            <w:tcW w:w="110" w:type="dxa"/>
            <w:tcBorders/>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Remaining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844" w:type="dxa"/>
            <w:tcBorders/>
            <w:shd w:fill="CCEEFF" w:val="clear"/>
            <w:tcMar>
              <w:bottom w:w="0" w:type="dxa"/>
            </w:tcMar>
            <w:vAlign w:val="center"/>
          </w:tcPr>
          <w:p>
            <w:pPr>
              <w:pStyle w:val="TableContents"/>
              <w:bidi w:val="0"/>
              <w:spacing w:before="0" w:after="283"/>
              <w:jc w:val="right"/>
              <w:rPr/>
            </w:pPr>
            <w:r>
              <w:rPr/>
              <w:t>194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tcMar>
              <w:bottom w:w="0" w:type="dxa"/>
            </w:tcMar>
            <w:vAlign w:val="center"/>
          </w:tcPr>
          <w:p>
            <w:pPr>
              <w:pStyle w:val="TableContents"/>
              <w:bidi w:val="0"/>
              <w:spacing w:before="0" w:after="283"/>
              <w:jc w:val="left"/>
              <w:rPr/>
            </w:pPr>
            <w:r>
              <w:rPr/>
              <w:t>2025</w:t>
            </w:r>
          </w:p>
        </w:tc>
        <w:tc>
          <w:tcPr>
            <w:tcW w:w="60" w:type="dxa"/>
            <w:tcBorders/>
            <w:tcMar>
              <w:bottom w:w="0" w:type="dxa"/>
            </w:tcMar>
            <w:vAlign w:val="center"/>
          </w:tcPr>
          <w:p>
            <w:pPr>
              <w:pStyle w:val="TableContents"/>
              <w:bidi w:val="0"/>
              <w:spacing w:before="0" w:after="283"/>
              <w:jc w:val="left"/>
              <w:rPr/>
            </w:pPr>
            <w:r>
              <w:rPr/>
              <w:t> </w:t>
            </w:r>
          </w:p>
        </w:tc>
        <w:tc>
          <w:tcPr>
            <w:tcW w:w="211"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right"/>
              <w:rPr/>
            </w:pPr>
            <w:r>
              <w:rPr/>
              <w:t>789</w:t>
            </w:r>
          </w:p>
        </w:tc>
        <w:tc>
          <w:tcPr>
            <w:tcW w:w="110" w:type="dxa"/>
            <w:tcBorders/>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pPr>
            <w:r>
              <w:rPr/>
              <w:t>654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tcMar>
              <w:bottom w:w="0" w:type="dxa"/>
            </w:tcMar>
            <w:vAlign w:val="center"/>
          </w:tcPr>
          <w:p>
            <w:pPr>
              <w:pStyle w:val="TableContents"/>
              <w:bidi w:val="0"/>
              <w:spacing w:before="0" w:after="283"/>
              <w:jc w:val="left"/>
              <w:rPr/>
            </w:pPr>
            <w:r>
              <w:rPr/>
              <w:t>2027</w:t>
            </w:r>
          </w:p>
        </w:tc>
        <w:tc>
          <w:tcPr>
            <w:tcW w:w="60" w:type="dxa"/>
            <w:tcBorders/>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vAlign w:val="center"/>
          </w:tcPr>
          <w:p>
            <w:pPr>
              <w:pStyle w:val="TableContents"/>
              <w:bidi w:val="0"/>
              <w:spacing w:before="0" w:after="283"/>
              <w:jc w:val="left"/>
              <w:rPr/>
            </w:pPr>
            <w:r>
              <w:rPr/>
              <w:t> </w:t>
            </w:r>
          </w:p>
        </w:tc>
        <w:tc>
          <w:tcPr>
            <w:tcW w:w="844" w:type="dxa"/>
            <w:tcBorders>
              <w:bottom w:val="single" w:sz="12" w:space="0" w:color="000000"/>
            </w:tcBorders>
            <w:vAlign w:val="center"/>
          </w:tcPr>
          <w:p>
            <w:pPr>
              <w:pStyle w:val="TableContents"/>
              <w:bidi w:val="0"/>
              <w:spacing w:before="0" w:after="283"/>
              <w:jc w:val="right"/>
              <w:rPr/>
            </w:pPr>
            <w:r>
              <w:rPr/>
              <w:t>309</w:t>
            </w:r>
          </w:p>
        </w:tc>
        <w:tc>
          <w:tcPr>
            <w:tcW w:w="110" w:type="dxa"/>
            <w:tcBorders/>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Total minimum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pPr>
            <w:r>
              <w:rPr/>
              <w:t>1,946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tcMar>
              <w:bottom w:w="0" w:type="dxa"/>
            </w:tcMar>
            <w:vAlign w:val="center"/>
          </w:tcPr>
          <w:p>
            <w:pPr>
              <w:pStyle w:val="TableContents"/>
              <w:bidi w:val="0"/>
              <w:spacing w:before="0" w:after="283"/>
              <w:jc w:val="left"/>
              <w:rPr/>
            </w:pPr>
            <w:r>
              <w:rPr/>
              <w:t>Less discount</w:t>
            </w:r>
          </w:p>
        </w:tc>
        <w:tc>
          <w:tcPr>
            <w:tcW w:w="60" w:type="dxa"/>
            <w:tcBorders/>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vAlign w:val="center"/>
          </w:tcPr>
          <w:p>
            <w:pPr>
              <w:pStyle w:val="TableContents"/>
              <w:bidi w:val="0"/>
              <w:spacing w:before="0" w:after="283"/>
              <w:jc w:val="left"/>
              <w:rPr/>
            </w:pPr>
            <w:r>
              <w:rPr/>
              <w:t> </w:t>
            </w:r>
          </w:p>
        </w:tc>
        <w:tc>
          <w:tcPr>
            <w:tcW w:w="844" w:type="dxa"/>
            <w:tcBorders>
              <w:bottom w:val="single" w:sz="12" w:space="0" w:color="000000"/>
            </w:tcBorders>
            <w:vAlign w:val="center"/>
          </w:tcPr>
          <w:p>
            <w:pPr>
              <w:pStyle w:val="TableContents"/>
              <w:bidi w:val="0"/>
              <w:spacing w:before="0" w:after="283"/>
              <w:jc w:val="right"/>
              <w:rPr/>
            </w:pPr>
            <w:r>
              <w:rPr/>
              <w:t>(190</w:t>
            </w:r>
          </w:p>
        </w:tc>
        <w:tc>
          <w:tcPr>
            <w:tcW w:w="110" w:type="dxa"/>
            <w:tcBorders/>
            <w:tcMar>
              <w:bottom w:w="0" w:type="dxa"/>
            </w:tcMar>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283"/>
              <w:jc w:val="left"/>
              <w:rPr/>
            </w:pPr>
            <w:r>
              <w:rPr/>
              <w:t>Total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double" w:sz="10" w:space="0" w:color="000000"/>
            </w:tcBorders>
            <w:shd w:fill="CCEEFF" w:val="clear"/>
            <w:vAlign w:val="center"/>
          </w:tcPr>
          <w:p>
            <w:pPr>
              <w:pStyle w:val="TableContents"/>
              <w:bidi w:val="0"/>
              <w:spacing w:before="0" w:after="283"/>
              <w:jc w:val="left"/>
              <w:rPr/>
            </w:pPr>
            <w:r>
              <w:rPr/>
              <w:t>$</w:t>
            </w:r>
          </w:p>
        </w:tc>
        <w:tc>
          <w:tcPr>
            <w:tcW w:w="844" w:type="dxa"/>
            <w:tcBorders>
              <w:bottom w:val="double" w:sz="10" w:space="0" w:color="000000"/>
            </w:tcBorders>
            <w:shd w:fill="CCEEFF" w:val="clear"/>
            <w:vAlign w:val="center"/>
          </w:tcPr>
          <w:p>
            <w:pPr>
              <w:pStyle w:val="TableContents"/>
              <w:bidi w:val="0"/>
              <w:spacing w:before="0" w:after="283"/>
              <w:jc w:val="right"/>
              <w:rPr/>
            </w:pPr>
            <w:r>
              <w:rPr/>
              <w:t>1,756</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Stockholders’ Equity (Deficit)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the Company entered into a placement agency agreement (the “Agency Agreement”) with Alexander Capital as placement agent (the “Placement Agent”), pursuant to which the Company agreed to issue and sell an aggregate of 184,000 shares of its Common Stock, and, in lieu of Common Stock to certain investors that so chose, Pre-Funded Warrants to purchase 264,246 shares of its Common Stock (the “S-1 Offering”). The public offering price for each share of Common Stock was $5.70, and the offering price for each Pre-Funded Warrant is $5.685, which equals the public offering price per share of the Common Stock, less the $0.015 per share exercise price of each Pre-Funded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4,482 warrants to purchase Common Stock to Alexander Capital (the “Placement Agents Warrants”). The Placement Agents Warrants were classified as equity warrants and recorded under additional paid-in capital in the condensed consolidated balance sheets. The Placement Agents Warrants have a five-year term and exercise price of 100% of the offering price, and are subject to adjustment for stock splits, reverse stock splits, stock dividends, and similar transactions. The Placement Agents Warrants will be exercisable on a cash basis, unless there is not an effective registration statement covering the issuance of the shares issuable upon exercise of the Placement Agents Warrants or if shareholder approval for the full exercise of the Placement Agents Warrants are not received, in which case the Placement Agents Warrants will also be exercisable on a cashless exercise basis at Alexander Capital’s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of the Placement Agents Warrants were determined utilizing a Black-Scholes model considering all relevant assumptions current at the date of issuance (i.e., share price of $7.80, exercise price of $5.70, term of five years, volatility of 128%, risk-free rate of 4.32%, and expected dividend rate of 0%). The grant date fair value of these Placement Agents Warrants was estimated to be $31,000 on February 27, 2024, and is reflected within additional paid-in capital as of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Line of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2024, we entered into a purchase agreement (the “Purchase Agreement”) and a registration rights agreement with Ionic Ventures, LLC (“Ionic”), pursuant to which Ionic committed to purchase up to an aggregate of $15.0 million of our Common Stock, subject to certain limitations, from time to time and at our sole discretion over the 36-month term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date the registration statement relating to the resale of the shares sold to Ionic was declared effective, November 5, 2024, we may from time to time on any business day, by written notice delivered by us to Ionic, direct Ionic to purchase between $250,000 and $750,000 of shares of Common Stock on such business day, at a purchase price per share that will be equal to 93% (or 80% if the Common Stock is not then trading on the Nasdaq Capital Market) of the lowest daily VWAP over a specified measurement period beginning after the delivery of the purchase notice, as described further in the Purchase Agreement (each, a “Regular Purchase”). The Purchase Agreement also permitted us to deliver an exemption purchase notice for $400,000 on the date of signing, with the shares so purchased to be delivered following the Commencement Date, and we delivered an exemption purchase notice for $400,000 for the purchase by Ionic of 189,645 shares of Common Stock. We will control the timing and amount of any sales of Common Stock to Ionic pursuant to the Purchase Agreement. Ionic has no right to require us to sell any shares of Common Stock to Ionic, but Ionic is obligated to make purchases as we direct, subject to certain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Warrant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in connection with the Consolidated Note Amendment, the Company issued 492,204 and 525,114 Pre-Funded Warrants to GIC Acquisitions and CP Acquisitions (the “Related Party Pre-Funded Warrants”), respectively, in exchange of notes payable amounting approximately to $2.29 million and $11.5 million, respectively. The Related Party Pre-Funded Warrants can be used to purchase Company’s Common Stock with par value of $0.001 at an exercise price of $0.015. The Related Party Pre-Funded Warrants have been identified as freestanding financial instruments and were determined not to be indexed to the Company’s own stock. Accordingly, the Warrants are precluded from being classified within equity and classified as a liability with subsequent changes in fair value recognized each reporting period in earnings. The fair value of the Related Party Pre-Funded Warrants on the issuance date was $5,600,334 determined as the intrinsic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2024, the Company executed an amendment to the Related Party Pre-Funded Warrants, pursuant to which the Company revised certain provisions of the Related Party Pre-Funded Warrants to (i) remove the adjustment to the exercise price of the Related Party Pre-Funded Warrants when there is a bona fide equity financing with the primary purpose of raising capital (the “Adjustment Provisions”) and (ii) increase the threshold for a change of control from 50% to greater than 50%. The classification of the Related Party Pre-Funded Warrants was reassessed upon the modification and the Related Party Pre-Funded Warrants were determined to meet all of the additional requirements for equity classification. Accordingly, as of June 30, 2024, the Company remeasured the Related Party Pre-Funded Warrants to its fair value immediately prior to the modification and recognized the change in fair value of approximately $1.2 million in earnings. The Company then reclassified the Pre-Funded Warrant liability to stockholders’ equity at its post-modification fair value of $6.8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the stockholders of the Company approved a proposal to amend the Related Party Pre-Funded Warrants to add the Adjustment Provisions at a future date. Pursuant to that approval, on August 28, 2024, the Company entered into amendments to the Related Party Pre-Funded Warrants to insert the Adjustment Provisions. This resulted in a reassessment of the Related Party Pre-Funded Warrants such that they no longer met the requirements for equity classification and became classified as liabilities. They were remeasured to their fair value upon modification, resulting in a reduction in value of approximately $3.1 million. The fair value, as of August 28, 2024, of $3,723,383 was reclassified to a warrant liability. As a result of the warrant amendments and the subsequent issuance of 189,645 shares of Common Stock to Ionic at an effective purchase price of $2.109 per share of Common Stock, the number of shares of Common Stock underlying the Related Party Pre-Funded Warrant held by CP Acquisitions was adjusted to 5,452,288 and the number of shares of Common Stock underlying the Related Party Pre-Funded Warrant held by GIC Acquisition was adjusted to 1,085,122. On August 30, 2024, CP Acquisitions partially exercised its Pre-Funded Warrant and entities affiliated with Raymond Chang and I-Tseng Jenny Chan received an aggregate of 383,127 shares of Common Stock upon the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2024, the Company executed an amendment to the Related Party Pre-Funded Warrants to remove the Adjustment Provisions. Accordingly, the Related Party Pre-Funded Warrants met the requirements for equity classification. The amendment also included a provision preventing the holders from any additional exercise of either of the Related Party Pre-Funded Warrants at any time between September 27, 2024 and October 9, 2024. They were remeasured to their fair value upon modification resulting in an increase to the fair value of $18,392,143. The fair value as of September 27, 2024 of $20,770,707 was reclassified to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Stock-Based Compensation and 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Omnibus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2022, the Company’s Board of Directors, and on June 8, 2022, the Company’s stockholders, adopted and approved the 2022 Omnibus Equity Incentive Plan (the “2022 Plan”), which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1,765 shares and 16,667 additional shares issued upon approval by the Board of Directors on January 8, 2024. On August 12, 2024, the Company’s stockholders approved an amendment to the 2022 Plan to increase the number of shares issuable thereunder by 166,667. Shares will be deemed to have been issued under the 2022 Plan solely to the extent actually issued and delivered pursuant to an award. The 2022 Plan shall continue in effect, unless sooner terminated, until the tenth anniversary of the date on which it was adopted by the Board of Directors. As of September 30, 2024, there were 36,190 shares of Common Stock available to be granted under the Company’s 2022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stock compensation expense was $0.3 million and $0.5 million for the three months ended September 30, 2024 and 2023, respectively. The Company’s stock compensation expense was $0.9 million and $2.1 million for the nine months ended September 30, 2024 and 2023,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2024, there were no options granted or exercised under the Company’s stock option plans. For the same period, there were 36 options expired with a weighted average exercise price of $22,456.50. There were 651 and 687 options outstanding with a weighted average exercise price of $24,187.65 and $23,938.80 as of September 30, 2024 and December 31, 2023, respectively. There were 650 options vested and exercisable with a weighted average exercise price of $24,187.65 as of September 30, 2024. There were 651 options vested and expected to vest with a weighted average exercise price of $24,165.45 as of September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total unrecognized compensation expense related to unvested options was $7,000, which is expected to be recognized over a weighted average period of 0.27 years.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about options vested and exercisable at September 30, 2024:</w:t>
      </w:r>
    </w:p>
    <w:p>
      <w:pPr>
        <w:pStyle w:val="TextBody"/>
        <w:bidi w:val="0"/>
        <w:spacing w:before="0" w:after="0"/>
        <w:ind w:left="0" w:right="0" w:firstLine="360"/>
        <w:jc w:val="left"/>
        <w:rPr>
          <w:caps w:val="false"/>
          <w:smallCaps w:val="false"/>
        </w:rPr>
      </w:pPr>
      <w:r>
        <w:rPr>
          <w:caps w:val="false"/>
          <w:smallCaps w:val="false"/>
        </w:rPr>
        <w:t> </w:t>
      </w:r>
    </w:p>
    <w:tbl>
      <w:tblPr>
        <w:tblW w:w="8144" w:type="dxa"/>
        <w:jc w:val="left"/>
        <w:tblInd w:w="0" w:type="dxa"/>
        <w:tblLayout w:type="fixed"/>
        <w:tblCellMar>
          <w:top w:w="0" w:type="dxa"/>
          <w:left w:w="0" w:type="dxa"/>
          <w:bottom w:w="0" w:type="dxa"/>
          <w:right w:w="0" w:type="dxa"/>
        </w:tblCellMar>
      </w:tblPr>
      <w:tblGrid>
        <w:gridCol w:w="155"/>
        <w:gridCol w:w="980"/>
        <w:gridCol w:w="60"/>
        <w:gridCol w:w="60"/>
        <w:gridCol w:w="269"/>
        <w:gridCol w:w="1715"/>
        <w:gridCol w:w="84"/>
        <w:gridCol w:w="84"/>
        <w:gridCol w:w="346"/>
        <w:gridCol w:w="2538"/>
        <w:gridCol w:w="84"/>
        <w:gridCol w:w="84"/>
        <w:gridCol w:w="201"/>
        <w:gridCol w:w="1409"/>
        <w:gridCol w:w="75"/>
      </w:tblGrid>
      <w:tr>
        <w:trPr/>
        <w:tc>
          <w:tcPr>
            <w:tcW w:w="11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1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Options Vested and Exercisable</w:t>
            </w:r>
          </w:p>
        </w:tc>
        <w:tc>
          <w:tcPr>
            <w:tcW w:w="75" w:type="dxa"/>
            <w:tcBorders/>
            <w:vAlign w:val="center"/>
          </w:tcPr>
          <w:p>
            <w:pPr>
              <w:pStyle w:val="TableContents"/>
              <w:bidi w:val="0"/>
              <w:spacing w:before="0" w:after="283"/>
              <w:jc w:val="left"/>
              <w:rPr/>
            </w:pPr>
            <w:r>
              <w:rPr/>
              <w:t> </w:t>
            </w:r>
          </w:p>
        </w:tc>
      </w:tr>
      <w:tr>
        <w:trPr/>
        <w:tc>
          <w:tcPr>
            <w:tcW w:w="11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Options</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28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Remaining Contractual Life</w:t>
              <w:br/>
              <w:t>(Years)</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75" w:type="dxa"/>
            <w:tcBorders/>
            <w:vAlign w:val="center"/>
          </w:tcPr>
          <w:p>
            <w:pPr>
              <w:pStyle w:val="TableContents"/>
              <w:bidi w:val="0"/>
              <w:spacing w:before="0" w:after="283"/>
              <w:jc w:val="left"/>
              <w:rPr/>
            </w:pPr>
            <w:r>
              <w:rPr/>
              <w:t> </w:t>
            </w:r>
          </w:p>
        </w:tc>
      </w:tr>
      <w:tr>
        <w:trPr/>
        <w:tc>
          <w:tcPr>
            <w:tcW w:w="155"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6,840.00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184</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538" w:type="dxa"/>
            <w:tcBorders/>
            <w:shd w:fill="CCEEFF" w:val="clear"/>
            <w:vAlign w:val="center"/>
          </w:tcPr>
          <w:p>
            <w:pPr>
              <w:pStyle w:val="TableContents"/>
              <w:bidi w:val="0"/>
              <w:spacing w:before="0" w:after="283"/>
              <w:jc w:val="right"/>
              <w:rPr/>
            </w:pPr>
            <w:r>
              <w:rPr/>
              <w:t>5.66</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409" w:type="dxa"/>
            <w:tcBorders/>
            <w:shd w:fill="CCEEFF" w:val="clear"/>
            <w:vAlign w:val="center"/>
          </w:tcPr>
          <w:p>
            <w:pPr>
              <w:pStyle w:val="TableContents"/>
              <w:bidi w:val="0"/>
              <w:spacing w:before="0" w:after="283"/>
              <w:jc w:val="right"/>
              <w:rPr/>
            </w:pPr>
            <w:r>
              <w:rPr/>
              <w:t>6,840.00</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14,580.00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pPr>
            <w:r>
              <w:rPr/>
              <w:t>182</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538" w:type="dxa"/>
            <w:tcBorders/>
            <w:vAlign w:val="center"/>
          </w:tcPr>
          <w:p>
            <w:pPr>
              <w:pStyle w:val="TableContents"/>
              <w:bidi w:val="0"/>
              <w:spacing w:before="0" w:after="283"/>
              <w:jc w:val="right"/>
              <w:rPr/>
            </w:pPr>
            <w:r>
              <w:rPr/>
              <w:t>6.10</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409" w:type="dxa"/>
            <w:tcBorders/>
            <w:vAlign w:val="center"/>
          </w:tcPr>
          <w:p>
            <w:pPr>
              <w:pStyle w:val="TableContents"/>
              <w:bidi w:val="0"/>
              <w:spacing w:before="0" w:after="283"/>
              <w:jc w:val="right"/>
              <w:rPr/>
            </w:pPr>
            <w:r>
              <w:rPr/>
              <w:t>14,580.00</w:t>
            </w:r>
          </w:p>
        </w:tc>
        <w:tc>
          <w:tcPr>
            <w:tcW w:w="75" w:type="dxa"/>
            <w:tcBorders/>
            <w:vAlign w:val="center"/>
          </w:tcPr>
          <w:p>
            <w:pPr>
              <w:pStyle w:val="TableContents"/>
              <w:bidi w:val="0"/>
              <w:spacing w:before="0" w:after="283"/>
              <w:jc w:val="left"/>
              <w:rPr/>
            </w:pPr>
            <w:r>
              <w:rPr/>
              <w:t> </w:t>
            </w:r>
          </w:p>
        </w:tc>
      </w:tr>
      <w:tr>
        <w:trPr/>
        <w:tc>
          <w:tcPr>
            <w:tcW w:w="155"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41,520.00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281</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538" w:type="dxa"/>
            <w:tcBorders/>
            <w:shd w:fill="CCEEFF" w:val="clear"/>
            <w:vAlign w:val="center"/>
          </w:tcPr>
          <w:p>
            <w:pPr>
              <w:pStyle w:val="TableContents"/>
              <w:bidi w:val="0"/>
              <w:spacing w:before="0" w:after="283"/>
              <w:jc w:val="right"/>
              <w:rPr/>
            </w:pPr>
            <w:r>
              <w:rPr/>
              <w:t>6.48</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409" w:type="dxa"/>
            <w:tcBorders/>
            <w:shd w:fill="CCEEFF" w:val="clear"/>
            <w:vAlign w:val="center"/>
          </w:tcPr>
          <w:p>
            <w:pPr>
              <w:pStyle w:val="TableContents"/>
              <w:bidi w:val="0"/>
              <w:spacing w:before="0" w:after="283"/>
              <w:jc w:val="right"/>
              <w:rPr/>
            </w:pPr>
            <w:r>
              <w:rPr/>
              <w:t>41,520.00</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43,470.00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pPr>
            <w:r>
              <w:rPr/>
              <w:t>3</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538" w:type="dxa"/>
            <w:tcBorders/>
            <w:vAlign w:val="center"/>
          </w:tcPr>
          <w:p>
            <w:pPr>
              <w:pStyle w:val="TableContents"/>
              <w:bidi w:val="0"/>
              <w:spacing w:before="0" w:after="283"/>
              <w:jc w:val="right"/>
              <w:rPr/>
            </w:pPr>
            <w:r>
              <w:rPr/>
              <w:t>6.48</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409" w:type="dxa"/>
            <w:tcBorders/>
            <w:vAlign w:val="center"/>
          </w:tcPr>
          <w:p>
            <w:pPr>
              <w:pStyle w:val="TableContents"/>
              <w:bidi w:val="0"/>
              <w:spacing w:before="0" w:after="283"/>
              <w:jc w:val="right"/>
              <w:rPr/>
            </w:pPr>
            <w:r>
              <w:rPr/>
              <w:t>43,470.00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about options vested and expected to vest after September 30, 2024:</w:t>
      </w:r>
    </w:p>
    <w:p>
      <w:pPr>
        <w:pStyle w:val="TextBody"/>
        <w:bidi w:val="0"/>
        <w:spacing w:before="0" w:after="0"/>
        <w:ind w:left="0" w:right="0" w:firstLine="360"/>
        <w:jc w:val="left"/>
        <w:rPr>
          <w:caps w:val="false"/>
          <w:smallCaps w:val="false"/>
        </w:rPr>
      </w:pPr>
      <w:r>
        <w:rPr>
          <w:caps w:val="false"/>
          <w:smallCaps w:val="false"/>
        </w:rPr>
        <w:t> </w:t>
      </w:r>
    </w:p>
    <w:tbl>
      <w:tblPr>
        <w:tblW w:w="8432" w:type="dxa"/>
        <w:jc w:val="left"/>
        <w:tblInd w:w="0" w:type="dxa"/>
        <w:tblLayout w:type="fixed"/>
        <w:tblCellMar>
          <w:top w:w="0" w:type="dxa"/>
          <w:left w:w="0" w:type="dxa"/>
          <w:bottom w:w="0" w:type="dxa"/>
          <w:right w:w="0" w:type="dxa"/>
        </w:tblCellMar>
      </w:tblPr>
      <w:tblGrid>
        <w:gridCol w:w="155"/>
        <w:gridCol w:w="980"/>
        <w:gridCol w:w="60"/>
        <w:gridCol w:w="60"/>
        <w:gridCol w:w="269"/>
        <w:gridCol w:w="1715"/>
        <w:gridCol w:w="98"/>
        <w:gridCol w:w="98"/>
        <w:gridCol w:w="346"/>
        <w:gridCol w:w="2538"/>
        <w:gridCol w:w="98"/>
        <w:gridCol w:w="98"/>
        <w:gridCol w:w="230"/>
        <w:gridCol w:w="1612"/>
        <w:gridCol w:w="75"/>
      </w:tblGrid>
      <w:tr>
        <w:trPr/>
        <w:tc>
          <w:tcPr>
            <w:tcW w:w="11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Options Vested and Expected to Vest</w:t>
            </w:r>
          </w:p>
        </w:tc>
        <w:tc>
          <w:tcPr>
            <w:tcW w:w="75" w:type="dxa"/>
            <w:tcBorders/>
            <w:vAlign w:val="center"/>
          </w:tcPr>
          <w:p>
            <w:pPr>
              <w:pStyle w:val="TableContents"/>
              <w:bidi w:val="0"/>
              <w:spacing w:before="0" w:after="283"/>
              <w:jc w:val="left"/>
              <w:rPr/>
            </w:pPr>
            <w:r>
              <w:rPr/>
              <w:t> </w:t>
            </w:r>
          </w:p>
        </w:tc>
      </w:tr>
      <w:tr>
        <w:trPr/>
        <w:tc>
          <w:tcPr>
            <w:tcW w:w="11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Options</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8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Remaining Contractual Life</w:t>
              <w:br/>
              <w:t>(Years)</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75" w:type="dxa"/>
            <w:tcBorders/>
            <w:vAlign w:val="center"/>
          </w:tcPr>
          <w:p>
            <w:pPr>
              <w:pStyle w:val="TableContents"/>
              <w:bidi w:val="0"/>
              <w:spacing w:before="0" w:after="283"/>
              <w:jc w:val="left"/>
              <w:rPr/>
            </w:pPr>
            <w:r>
              <w:rPr/>
              <w:t> </w:t>
            </w:r>
          </w:p>
        </w:tc>
      </w:tr>
      <w:tr>
        <w:trPr/>
        <w:tc>
          <w:tcPr>
            <w:tcW w:w="155"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6,840.00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184</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538" w:type="dxa"/>
            <w:tcBorders/>
            <w:shd w:fill="CCEEFF" w:val="clear"/>
            <w:vAlign w:val="center"/>
          </w:tcPr>
          <w:p>
            <w:pPr>
              <w:pStyle w:val="TableContents"/>
              <w:bidi w:val="0"/>
              <w:spacing w:before="0" w:after="283"/>
              <w:jc w:val="right"/>
              <w:rPr/>
            </w:pPr>
            <w:r>
              <w:rPr/>
              <w:t>5.66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6,840.00</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14,580.00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pPr>
            <w:r>
              <w:rPr/>
              <w:t>182</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538" w:type="dxa"/>
            <w:tcBorders/>
            <w:vAlign w:val="center"/>
          </w:tcPr>
          <w:p>
            <w:pPr>
              <w:pStyle w:val="TableContents"/>
              <w:bidi w:val="0"/>
              <w:spacing w:before="0" w:after="283"/>
              <w:jc w:val="right"/>
              <w:rPr/>
            </w:pPr>
            <w:r>
              <w:rPr/>
              <w:t>6.10</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283"/>
              <w:jc w:val="right"/>
              <w:rPr/>
            </w:pPr>
            <w:r>
              <w:rPr/>
              <w:t>14,580.00</w:t>
            </w:r>
          </w:p>
        </w:tc>
        <w:tc>
          <w:tcPr>
            <w:tcW w:w="75" w:type="dxa"/>
            <w:tcBorders/>
            <w:vAlign w:val="center"/>
          </w:tcPr>
          <w:p>
            <w:pPr>
              <w:pStyle w:val="TableContents"/>
              <w:bidi w:val="0"/>
              <w:spacing w:before="0" w:after="283"/>
              <w:jc w:val="left"/>
              <w:rPr/>
            </w:pPr>
            <w:r>
              <w:rPr/>
              <w:t> </w:t>
            </w:r>
          </w:p>
        </w:tc>
      </w:tr>
      <w:tr>
        <w:trPr/>
        <w:tc>
          <w:tcPr>
            <w:tcW w:w="155"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23,040.00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1</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538" w:type="dxa"/>
            <w:tcBorders/>
            <w:shd w:fill="CCEEFF" w:val="clear"/>
            <w:vAlign w:val="center"/>
          </w:tcPr>
          <w:p>
            <w:pPr>
              <w:pStyle w:val="TableContents"/>
              <w:bidi w:val="0"/>
              <w:spacing w:before="0" w:after="283"/>
              <w:jc w:val="right"/>
              <w:rPr/>
            </w:pPr>
            <w:r>
              <w:rPr/>
              <w:t>0.00</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23,040.00</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41,520.00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pPr>
            <w:r>
              <w:rPr/>
              <w:t>281</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538" w:type="dxa"/>
            <w:tcBorders/>
            <w:vAlign w:val="center"/>
          </w:tcPr>
          <w:p>
            <w:pPr>
              <w:pStyle w:val="TableContents"/>
              <w:bidi w:val="0"/>
              <w:spacing w:before="0" w:after="283"/>
              <w:jc w:val="right"/>
              <w:rPr/>
            </w:pPr>
            <w:r>
              <w:rPr/>
              <w:t>6.48</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283"/>
              <w:jc w:val="right"/>
              <w:rPr/>
            </w:pPr>
            <w:r>
              <w:rPr/>
              <w:t>41,520.00</w:t>
            </w:r>
          </w:p>
        </w:tc>
        <w:tc>
          <w:tcPr>
            <w:tcW w:w="75" w:type="dxa"/>
            <w:tcBorders/>
            <w:vAlign w:val="center"/>
          </w:tcPr>
          <w:p>
            <w:pPr>
              <w:pStyle w:val="TableContents"/>
              <w:bidi w:val="0"/>
              <w:spacing w:before="0" w:after="283"/>
              <w:jc w:val="left"/>
              <w:rPr/>
            </w:pPr>
            <w:r>
              <w:rPr/>
              <w:t> </w:t>
            </w:r>
          </w:p>
        </w:tc>
      </w:tr>
      <w:tr>
        <w:trPr/>
        <w:tc>
          <w:tcPr>
            <w:tcW w:w="155"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43,470.00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3</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538" w:type="dxa"/>
            <w:tcBorders/>
            <w:shd w:fill="CCEEFF" w:val="clear"/>
            <w:vAlign w:val="center"/>
          </w:tcPr>
          <w:p>
            <w:pPr>
              <w:pStyle w:val="TableContents"/>
              <w:bidi w:val="0"/>
              <w:spacing w:before="0" w:after="283"/>
              <w:jc w:val="right"/>
              <w:rPr/>
            </w:pPr>
            <w:r>
              <w:rPr/>
              <w:t>6.48</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43,470.00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restricted stock unit activity for the nine months ended September 30, 2024:</w:t>
      </w:r>
    </w:p>
    <w:p>
      <w:pPr>
        <w:pStyle w:val="TextBody"/>
        <w:bidi w:val="0"/>
        <w:spacing w:before="0" w:after="0"/>
        <w:ind w:left="0" w:right="0" w:firstLine="360"/>
        <w:jc w:val="left"/>
        <w:rPr>
          <w:caps w:val="false"/>
          <w:smallCaps w:val="false"/>
        </w:rPr>
      </w:pPr>
      <w:r>
        <w:rPr>
          <w:caps w:val="false"/>
          <w:smallCaps w:val="false"/>
        </w:rPr>
        <w:t> </w:t>
      </w:r>
    </w:p>
    <w:tbl>
      <w:tblPr>
        <w:tblW w:w="6154" w:type="dxa"/>
        <w:jc w:val="left"/>
        <w:tblInd w:w="0" w:type="dxa"/>
        <w:tblLayout w:type="fixed"/>
        <w:tblCellMar>
          <w:top w:w="0" w:type="dxa"/>
          <w:left w:w="0" w:type="dxa"/>
          <w:bottom w:w="0" w:type="dxa"/>
          <w:right w:w="0" w:type="dxa"/>
        </w:tblCellMar>
      </w:tblPr>
      <w:tblGrid>
        <w:gridCol w:w="3125"/>
        <w:gridCol w:w="60"/>
        <w:gridCol w:w="78"/>
        <w:gridCol w:w="1051"/>
        <w:gridCol w:w="95"/>
        <w:gridCol w:w="60"/>
        <w:gridCol w:w="225"/>
        <w:gridCol w:w="1385"/>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 Fair</w:t>
              <w:br/>
              <w:t>Value</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Unvested at December 31, 2023</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3,462.00</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163,873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5.55</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(13,524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2,251.50</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Forfeited</w:t>
            </w:r>
          </w:p>
        </w:tc>
        <w:tc>
          <w:tcPr>
            <w:tcW w:w="60" w:type="dxa"/>
            <w:tcBorders/>
            <w:vAlign w:val="center"/>
          </w:tcPr>
          <w:p>
            <w:pPr>
              <w:pStyle w:val="TableContents"/>
              <w:bidi w:val="0"/>
              <w:spacing w:before="0" w:after="283"/>
              <w:jc w:val="left"/>
              <w:rPr/>
            </w:pPr>
            <w:r>
              <w:rPr/>
              <w:t> </w:t>
            </w:r>
          </w:p>
        </w:tc>
        <w:tc>
          <w:tcPr>
            <w:tcW w:w="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1" w:type="dxa"/>
            <w:tcBorders>
              <w:bottom w:val="single" w:sz="12" w:space="0" w:color="000000"/>
            </w:tcBorders>
            <w:tcMar>
              <w:bottom w:w="28" w:type="dxa"/>
            </w:tcMar>
            <w:vAlign w:val="center"/>
          </w:tcPr>
          <w:p>
            <w:pPr>
              <w:pStyle w:val="TableContents"/>
              <w:bidi w:val="0"/>
              <w:spacing w:before="0" w:after="283"/>
              <w:jc w:val="right"/>
              <w:rPr/>
            </w:pPr>
            <w:r>
              <w:rPr/>
              <w:t>(13,611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5" w:type="dxa"/>
            <w:tcBorders>
              <w:bottom w:val="single" w:sz="12" w:space="0" w:color="000000"/>
            </w:tcBorders>
            <w:tcMar>
              <w:bottom w:w="28" w:type="dxa"/>
            </w:tcMar>
            <w:vAlign w:val="center"/>
          </w:tcPr>
          <w:p>
            <w:pPr>
              <w:pStyle w:val="TableContents"/>
              <w:bidi w:val="0"/>
              <w:spacing w:before="0" w:after="283"/>
              <w:jc w:val="left"/>
              <w:rPr/>
            </w:pPr>
            <w:r>
              <w:rPr/>
              <w:t>$</w:t>
            </w:r>
          </w:p>
        </w:tc>
        <w:tc>
          <w:tcPr>
            <w:tcW w:w="1385" w:type="dxa"/>
            <w:tcBorders>
              <w:bottom w:val="single" w:sz="12" w:space="0" w:color="000000"/>
            </w:tcBorders>
            <w:tcMar>
              <w:bottom w:w="28" w:type="dxa"/>
            </w:tcMar>
            <w:vAlign w:val="center"/>
          </w:tcPr>
          <w:p>
            <w:pPr>
              <w:pStyle w:val="TableContents"/>
              <w:bidi w:val="0"/>
              <w:spacing w:before="0" w:after="283"/>
              <w:jc w:val="right"/>
              <w:rPr/>
            </w:pPr>
            <w:r>
              <w:rPr/>
              <w:t>366.30</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Unvested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double" w:sz="10" w:space="0" w:color="000000"/>
            </w:tcBorders>
            <w:shd w:fill="CCEEFF" w:val="clear"/>
            <w:tcMar>
              <w:bottom w:w="28" w:type="dxa"/>
            </w:tcMar>
            <w:vAlign w:val="center"/>
          </w:tcPr>
          <w:p>
            <w:pPr>
              <w:pStyle w:val="TableContents"/>
              <w:bidi w:val="0"/>
              <w:spacing w:before="0" w:after="283"/>
              <w:jc w:val="right"/>
              <w:rPr/>
            </w:pPr>
            <w:r>
              <w:rPr/>
              <w:t>136,880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85" w:type="dxa"/>
            <w:tcBorders>
              <w:bottom w:val="double" w:sz="10" w:space="0" w:color="000000"/>
            </w:tcBorders>
            <w:shd w:fill="CCEEFF" w:val="clear"/>
            <w:tcMar>
              <w:bottom w:w="28" w:type="dxa"/>
            </w:tcMar>
            <w:vAlign w:val="center"/>
          </w:tcPr>
          <w:p>
            <w:pPr>
              <w:pStyle w:val="TableContents"/>
              <w:bidi w:val="0"/>
              <w:spacing w:before="0" w:after="283"/>
              <w:jc w:val="right"/>
              <w:rPr/>
            </w:pPr>
            <w:r>
              <w:rPr/>
              <w:t>5.85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total unrecognized compensation expense related to unvested restricted stock units was $506,000, which is expected to be recognized over a weighted average period of 0.56 years.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all warrant activity of the Company for the nine months ended September 30, 2024:</w:t>
      </w:r>
    </w:p>
    <w:p>
      <w:pPr>
        <w:pStyle w:val="TextBody"/>
        <w:bidi w:val="0"/>
        <w:spacing w:before="0" w:after="0"/>
        <w:ind w:left="0" w:right="0" w:hanging="0"/>
        <w:jc w:val="center"/>
        <w:rPr>
          <w:caps w:val="false"/>
          <w:smallCaps w:val="false"/>
        </w:rPr>
      </w:pPr>
      <w:r>
        <w:rPr>
          <w:caps w:val="false"/>
          <w:smallCaps w:val="false"/>
        </w:rPr>
        <w:t> </w:t>
      </w:r>
    </w:p>
    <w:tbl>
      <w:tblPr>
        <w:tblW w:w="7264" w:type="dxa"/>
        <w:jc w:val="left"/>
        <w:tblInd w:w="0" w:type="dxa"/>
        <w:tblLayout w:type="fixed"/>
        <w:tblCellMar>
          <w:top w:w="0" w:type="dxa"/>
          <w:left w:w="0" w:type="dxa"/>
          <w:bottom w:w="0" w:type="dxa"/>
          <w:right w:w="0" w:type="dxa"/>
        </w:tblCellMar>
      </w:tblPr>
      <w:tblGrid>
        <w:gridCol w:w="4235"/>
        <w:gridCol w:w="60"/>
        <w:gridCol w:w="65"/>
        <w:gridCol w:w="1064"/>
        <w:gridCol w:w="95"/>
        <w:gridCol w:w="60"/>
        <w:gridCol w:w="274"/>
        <w:gridCol w:w="1336"/>
        <w:gridCol w:w="75"/>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7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Warrants outstanding at December 31, 2023</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358,687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162.50</w:t>
            </w:r>
          </w:p>
        </w:tc>
        <w:tc>
          <w:tcPr>
            <w:tcW w:w="75"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6,806,138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0.02</w:t>
            </w:r>
          </w:p>
        </w:tc>
        <w:tc>
          <w:tcPr>
            <w:tcW w:w="7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(856,187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0.02</w:t>
            </w:r>
          </w:p>
        </w:tc>
        <w:tc>
          <w:tcPr>
            <w:tcW w:w="75"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Forfeited</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tcMar>
              <w:bottom w:w="28" w:type="dxa"/>
            </w:tcMar>
            <w:vAlign w:val="center"/>
          </w:tcPr>
          <w:p>
            <w:pPr>
              <w:pStyle w:val="TableContents"/>
              <w:bidi w:val="0"/>
              <w:spacing w:before="0" w:after="283"/>
              <w:jc w:val="right"/>
              <w:rPr/>
            </w:pPr>
            <w:r>
              <w:rPr/>
              <w:t>(205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0.02</w:t>
            </w:r>
          </w:p>
        </w:tc>
        <w:tc>
          <w:tcPr>
            <w:tcW w:w="7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Warrants outstanding at September 30, 2024</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6,308,433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48.75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proceeds from the exercise of Pre-Funded Warrants of $10,000 for the nine months ended September 30, 2024.</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income tax rates were both 0% for the three and nine months ended September 30, 2024 and 2023, respectively. There was no provision for (benefit from) income taxes for the three and nine months ended September 30, 2024 and 2023, respectively. There is no difference between the Company’s effective tax rates for the 2024 and 2023 periods. There was no change in the provision for (benefit from) income taxes for the three and nine months ended September 30, 2024 compared to the three and nine months ended September 30,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per share calculations for all periods have been adjusted to reflect the Company’s reverse stock splits. Net (loss) income per share was calculated based on the weighted-average number of the Company’s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income per share is calculated using the weighted-average number of Common Stock outstanding during the periods. Diluted net loss per share is computed by giving effect to all potential shares of Common Stock, including convertible notes, outstanding stock options, stock related to unvested restricted stock units, and outstanding warrants to the extent dilutive. Net loss per share, assuming dilution, is equal to basic net loss per share for the three months ended September 30, 2024 and 2023 and nine months ended September 30, 2024 and 2023 because the effect of dilutive securities outstanding during the periods, including convertible notes, options, restricted stock units and warrants computed using the treasury stock method, is anti-dilutive.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basic and diluted net loss per share were as follows:</w:t>
      </w:r>
    </w:p>
    <w:p>
      <w:pPr>
        <w:pStyle w:val="TextBody"/>
        <w:bidi w:val="0"/>
        <w:spacing w:before="0" w:after="0"/>
        <w:ind w:left="0" w:right="0" w:firstLine="36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95"/>
        <w:gridCol w:w="60"/>
        <w:gridCol w:w="140"/>
        <w:gridCol w:w="980"/>
        <w:gridCol w:w="95"/>
        <w:gridCol w:w="60"/>
        <w:gridCol w:w="140"/>
        <w:gridCol w:w="800"/>
        <w:gridCol w:w="95"/>
        <w:gridCol w:w="60"/>
        <w:gridCol w:w="140"/>
        <w:gridCol w:w="980"/>
        <w:gridCol w:w="95"/>
        <w:gridCol w:w="60"/>
        <w:gridCol w:w="140"/>
        <w:gridCol w:w="755"/>
        <w:gridCol w:w="110"/>
      </w:tblGrid>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110" w:type="dxa"/>
            <w:tcBorders/>
            <w:vAlign w:val="center"/>
          </w:tcPr>
          <w:p>
            <w:pPr>
              <w:pStyle w:val="TableContents"/>
              <w:bidi w:val="0"/>
              <w:spacing w:before="0" w:after="283"/>
              <w:jc w:val="left"/>
              <w:rPr/>
            </w:pPr>
            <w:r>
              <w:rPr/>
              <w:t> </w:t>
            </w:r>
          </w:p>
        </w:tc>
      </w:tr>
      <w:tr>
        <w:trPr/>
        <w:tc>
          <w:tcPr>
            <w:tcW w:w="5495" w:type="dxa"/>
            <w:tcBorders>
              <w:bottom w:val="single" w:sz="12" w:space="0" w:color="000000"/>
            </w:tcBorders>
            <w:tcMar>
              <w:bottom w:w="28" w:type="dxa"/>
            </w:tcMar>
            <w:vAlign w:val="center"/>
          </w:tcPr>
          <w:p>
            <w:pPr>
              <w:pStyle w:val="TableContents"/>
              <w:bidi w:val="0"/>
              <w:spacing w:before="0" w:after="283"/>
              <w:jc w:val="left"/>
              <w:rPr>
                <w:b/>
              </w:rPr>
            </w:pPr>
            <w:r>
              <w:rPr>
                <w:b/>
              </w:rPr>
              <w:t>(In thousands, except share and per share data)</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b/>
              </w:rPr>
            </w:pPr>
            <w:r>
              <w:rPr>
                <w:b/>
              </w:rPr>
              <w:t>Numerator:</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Net loss available for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(18,651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(17,387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(19,224</w:t>
            </w:r>
          </w:p>
        </w:tc>
        <w:tc>
          <w:tcPr>
            <w:tcW w:w="110" w:type="dxa"/>
            <w:tcBorders/>
            <w:shd w:fill="CCEEFF" w:val="clear"/>
            <w:vAlign w:val="center"/>
          </w:tcPr>
          <w:p>
            <w:pPr>
              <w:pStyle w:val="TableContents"/>
              <w:bidi w:val="0"/>
              <w:spacing w:before="0" w:after="283"/>
              <w:jc w:val="left"/>
              <w:rPr/>
            </w:pPr>
            <w:r>
              <w:rPr/>
              <w:t>)</w:t>
            </w:r>
          </w:p>
        </w:tc>
      </w:tr>
      <w:tr>
        <w:trPr/>
        <w:tc>
          <w:tcPr>
            <w:tcW w:w="5495" w:type="dxa"/>
            <w:tcBorders/>
            <w:vAlign w:val="center"/>
          </w:tcPr>
          <w:p>
            <w:pPr>
              <w:pStyle w:val="TableContents"/>
              <w:bidi w:val="0"/>
              <w:spacing w:before="0" w:after="283"/>
              <w:jc w:val="left"/>
              <w:rPr>
                <w:b/>
              </w:rPr>
            </w:pPr>
            <w:r>
              <w:rPr>
                <w:b/>
              </w:rPr>
              <w:t>Denominator: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Weighted-average Common Stock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1,077,780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109,983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1,033,582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95,068</w:t>
            </w:r>
          </w:p>
        </w:tc>
        <w:tc>
          <w:tcPr>
            <w:tcW w:w="110" w:type="dxa"/>
            <w:tcBorders/>
            <w:shd w:fill="CCEEFF" w:val="clear"/>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Net income (loss) per share attributable to common stockholders – basic and diluted</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(17.31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(19.02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(16.82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tcMar>
              <w:bottom w:w="28" w:type="dxa"/>
            </w:tcMar>
            <w:vAlign w:val="center"/>
          </w:tcPr>
          <w:p>
            <w:pPr>
              <w:pStyle w:val="TableContents"/>
              <w:bidi w:val="0"/>
              <w:spacing w:before="0" w:after="283"/>
              <w:jc w:val="right"/>
              <w:rPr/>
            </w:pPr>
            <w:r>
              <w:rPr/>
              <w:t>(202.21</w:t>
            </w:r>
          </w:p>
        </w:tc>
        <w:tc>
          <w:tcPr>
            <w:tcW w:w="11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the Company had an outstanding principal balance under the Restated Note and Consolidated Notes of approximately $3.3 million convertible into 180,127 shares of Common Stock. During the nine months ended September 30, 2024, the Company also converted a portion of the convertible notes into 178,109 shares of Common Stock and 1,017,318 Pre-Funded Warrants to purchase shares of Common Stock. Given the nominal exercise price of the Company’s issuance of Pre-Funded Warrants, such Pre-Funded Warrants are included in in the calculation of basic net income (loss) per share and weighted for the period outstanding from issuance to September 30, 2024. The exercise price per warrant is deemed non-substantive when compared to the fair value of the underlying common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periods presented, the Company’s potential dilutive securities, which include stock options, restricted stock units, and warrants, have been excluded from the computation of basic and diluted net (loss) income per share with the exception of the Pre-Funded Warrants, or penny warrants, which are included in the computation, as detailed above. The weighted-average number of Common Shares outstanding used to calculate both basic and diluted net loss per share attributable to Common Stockholders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pStyle w:val="TextBody"/>
        <w:bidi w:val="0"/>
        <w:spacing w:before="0" w:after="0"/>
        <w:ind w:left="0" w:right="0" w:firstLine="360"/>
        <w:jc w:val="both"/>
        <w:rPr>
          <w:caps w:val="false"/>
          <w:smallCaps w:val="false"/>
        </w:rPr>
      </w:pPr>
      <w:r>
        <w:rPr>
          <w:caps w:val="false"/>
          <w:smallCaps w:val="false"/>
        </w:rPr>
        <w:t> </w:t>
      </w:r>
    </w:p>
    <w:tbl>
      <w:tblPr>
        <w:tblW w:w="7708" w:type="dxa"/>
        <w:jc w:val="left"/>
        <w:tblInd w:w="0" w:type="dxa"/>
        <w:tblLayout w:type="fixed"/>
        <w:tblCellMar>
          <w:top w:w="0" w:type="dxa"/>
          <w:left w:w="0" w:type="dxa"/>
          <w:bottom w:w="0" w:type="dxa"/>
          <w:right w:w="0" w:type="dxa"/>
        </w:tblCellMar>
      </w:tblPr>
      <w:tblGrid>
        <w:gridCol w:w="4505"/>
        <w:gridCol w:w="60"/>
        <w:gridCol w:w="101"/>
        <w:gridCol w:w="1373"/>
        <w:gridCol w:w="60"/>
        <w:gridCol w:w="60"/>
        <w:gridCol w:w="84"/>
        <w:gridCol w:w="1390"/>
        <w:gridCol w:w="75"/>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ended</w:t>
              <w:br/>
              <w:t>September 30,</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ended</w:t>
              <w:br/>
              <w:t>September 30,</w:t>
              <w:br/>
              <w:t>2023</w:t>
            </w:r>
          </w:p>
        </w:tc>
        <w:tc>
          <w:tcPr>
            <w:tcW w:w="7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Shares subject to outstanding stock options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10,969</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Shares subject to unvested restricted stock units</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136,880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4,574</w:t>
            </w:r>
          </w:p>
        </w:tc>
        <w:tc>
          <w:tcPr>
            <w:tcW w:w="7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Shares subject to outstanding warrants</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12" w:space="0" w:color="000000"/>
            </w:tcBorders>
            <w:shd w:fill="CCEEFF" w:val="clear"/>
            <w:tcMar>
              <w:bottom w:w="28" w:type="dxa"/>
            </w:tcMar>
            <w:vAlign w:val="center"/>
          </w:tcPr>
          <w:p>
            <w:pPr>
              <w:pStyle w:val="TableContents"/>
              <w:bidi w:val="0"/>
              <w:spacing w:before="0" w:after="283"/>
              <w:jc w:val="right"/>
              <w:rPr/>
            </w:pPr>
            <w:r>
              <w:rPr/>
              <w:t>154,149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CCEEFF" w:val="clear"/>
            <w:tcMar>
              <w:bottom w:w="28" w:type="dxa"/>
            </w:tcMar>
            <w:vAlign w:val="center"/>
          </w:tcPr>
          <w:p>
            <w:pPr>
              <w:pStyle w:val="TableContents"/>
              <w:bidi w:val="0"/>
              <w:spacing w:before="0" w:after="283"/>
              <w:jc w:val="right"/>
              <w:rPr/>
            </w:pPr>
            <w:r>
              <w:rPr/>
              <w:t>1,495,001</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bottom w:val="double" w:sz="10" w:space="0" w:color="000000"/>
            </w:tcBorders>
            <w:tcMar>
              <w:bottom w:w="28" w:type="dxa"/>
            </w:tcMar>
            <w:vAlign w:val="center"/>
          </w:tcPr>
          <w:p>
            <w:pPr>
              <w:pStyle w:val="TableContents"/>
              <w:bidi w:val="0"/>
              <w:spacing w:before="0" w:after="283"/>
              <w:jc w:val="left"/>
              <w:rPr/>
            </w:pPr>
            <w:r>
              <w:rPr/>
              <w:t> </w:t>
            </w:r>
          </w:p>
        </w:tc>
        <w:tc>
          <w:tcPr>
            <w:tcW w:w="1373" w:type="dxa"/>
            <w:tcBorders>
              <w:bottom w:val="double" w:sz="10" w:space="0" w:color="000000"/>
            </w:tcBorders>
            <w:tcMar>
              <w:bottom w:w="28" w:type="dxa"/>
            </w:tcMar>
            <w:vAlign w:val="center"/>
          </w:tcPr>
          <w:p>
            <w:pPr>
              <w:pStyle w:val="TableContents"/>
              <w:bidi w:val="0"/>
              <w:spacing w:before="0" w:after="283"/>
              <w:jc w:val="right"/>
              <w:rPr/>
            </w:pPr>
            <w:r>
              <w:rPr/>
              <w:t>291,680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bottom w:val="double" w:sz="10" w:space="0" w:color="000000"/>
            </w:tcBorders>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tcMar>
              <w:bottom w:w="28" w:type="dxa"/>
            </w:tcMar>
            <w:vAlign w:val="center"/>
          </w:tcPr>
          <w:p>
            <w:pPr>
              <w:pStyle w:val="TableContents"/>
              <w:bidi w:val="0"/>
              <w:spacing w:before="0" w:after="283"/>
              <w:jc w:val="right"/>
              <w:rPr/>
            </w:pPr>
            <w:r>
              <w:rPr/>
              <w:t>1,510,544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Legal Matters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Bud &amp; Mary’s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2022, the Company provided a notice of default to Bud &amp; Mary’s and certain related parties notifying such parties that Bud &amp; Mary’s was in default of its obligations under the TTK Solution agreement between the Company and Bud &amp; Mary (the “Bud &amp; Mary TTK Agreement”). On October 5, 2022, Bud &amp; Mary’s filed a complaint in the Superior Court of Massachusetts in Suffolk County, naming the Company as the defendant (the “Bud &amp; Mary Complaint”). Bud &amp; Mary’s is seeking, among other relief, monetary damages in connection with alleged unfair or deceptive trade practices, breach of contract and conversion arising from the Bud &amp; Mary TTK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As of September 30, 2024, the allowance related to Bud &amp; Mary’s was reduced to $14.4 million, reflecting a recovery of allowance for credit losses resulting from a loan repayment of $330 thousand that was previously included in the allowance. The $14.4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 Complaint and counterclaims. The Company is seeking, among other relief, monetary damages in connection with the breach of contract, breach of the implied covenant of good faith and fair dealing, unjust enrichment, and enforcement of the guarantees. This matter is still actively ongoing. A Rule 16 Litigation Control Conference is scheduled for December 4,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Bowdoin Construction Corp.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2023, Bowdoin Construction Corp. (“Bowdoin”) filed a complaint in the Superior Court of Massachusetts in Norfolk County, Massachusetts, naming the Company (the “Bowdoin Complaint”), Bud &amp; Mary’s and certain related parties as defendants, captioned Bowdoin Construction Corp. v. Agrify Corporation, Bud &amp; Mary’s Cultivation, Inc. and BMLC2, LLC, case no. 2382CV00173. The Bowdoin Complaint relates to a construction contract between Bowdoin and the Company relating to the property that is the subject of the Bud &amp; Mary’s Complaint, and alleges breach of contract by Bud &amp; Mary’s and by the Company due to nonpayment of approximately $7.0 million due under the contract and related indemnification claims and mechanics’ liens. $6.3 million is included in accounts payable and $700 thousand is included in accrued expenses and other current liabilities in the condensed consolidated balance sheet. Two of Bowdoin’s subcontractors, Hannon Electric, Inc.and Electric Supply Center Corp, have filed a separate suits against Agrify in the amount of $1.498 million and $93 thousand, respectively. These amounts are part of the $7.0 million claimed in Bowdoin’s Complaint. The Company has denied liability in all such suits. Bowdoin and Agrify are attempting to work cooperatively to settle the subcontractor disputes. A status conference will be held concerning this Litigation and consolidated related subcontractor suits in January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Mack Molding Co.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2020, the Company entered into a five-year supply agreement with Mack Molding Co. (“Mack”) pursuant to which Mack became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negotiated a minimum percentage of the VFU requirements that the Company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 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a slowdown in the demand for the VFUs and the lack of a demand forecast that the Company could provide to the vendor, Mack exercised the right to invoice the Company for the slow-moving inventory. As of December 31, 2022, the Company recognized a contingent liability in the amount of $8.4 million, representing an estimate of the amount payable to Mack with respect to the original Mack purchase agreement, and which was included in accounts payable in the condensed consolidated balance sheet. On March 2, 2023, Mack filed an arbitration action seeking the amounts owed to Mack for purchased inventory. On October 27, 2023, and effective as of October 18, 2023, Mack and the Company entered into a Modification and Settlement Agreement (the “Modification Agreement”) with respect to the dispute rather than engaging in litigation through the courts.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29, 2024, the Company met its contractual obligations under the terms of the Modification Agreement. In settlement of the dispute, the Company made cash payments of $500,000 and $250,000 to Mack and issued to Mack a warrant to purchase 750,000 shares of the Company’s Common Stock. In the first quarter of 2024, management derecognized the previously recognized contingent liability, resulting in a credit of approximately $5.9 million, recorded within gain on settlement of contingent liabilities, on the unaudited condensed consolidated statement of operations during the three months ended March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2024, the Company and Mack entered into an amendment to the Modification Agreement, which modified the payment terms and VFU purchase requirements under the Modification Agreement. Pursuant to the amendment, the Company agreed to make payments of $1.0 million prior to October 31, 2024 (the “October Payment”) and an additional $1.0 million prior to December 31, 2024. The Company has not made the October Payment as of the date hereof, however the Company is working with Mack to extend the date of the October Payment. The Company also agreed to purchase at least 25 VFUs prior to October 31, 2024 and a further 25 VFUs between November 1, 2024 and December 31, 2024. Upon payment in accordance with the terms of the amendment, the Company will be entitled to certain residual inventory in the possession of Mack, and the warrant issued to Mack will be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TRC Electronics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seeks damages in the amount of $565,210, plus attorneys’ fees, costs, and post-judgment interest. The Company has filed an answer denying liability on TRC’s claims and is currently in the discovery process.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McCutchan,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Company entered into a standard form of agreement between Owner and Contractor whereby Valiant Group LLC (“Valiant”) is the general contractor for tenant improvements on certain real property located in Bellevue, Washington (the “Project”). McCutchan, Inc. (“McCutchan”) agreed to be a subcontractor on the Project and engaged various other subcontractors (the “Valiant Agreement”). The Company terminated Valiant as the general contractor for, among other allegations, breach of contract and unjust enrichment. Following the termination of Valiant, in October 2022, the Valiant Agreement was assigned and accepted (the “Assignment”) to Agxion, LLC, a wholly owned subsidiary of the Company. The Assignment contemplates that, as a subcontractor to the Valiant Agreement, McCutchan is still bound to the subcontract agreement and will continue construction operations on the Project. The Company is pursuing Valiant in a separate litigation to collect no less than approximately $1.4 million alleging overbilling, breach of the Valiant Agreement, and violation of Chapter 18.27 and 19.86 of the Revised Code of Washington. On March 5, 2024, McCutchan filed a complaint in the Superior Court of Washington for King County naming the Company, Valiant, and certain related parties as defendants. In the complaint, McCutchan asserts two causes of action against the Company: (1) breach of contract, (2) voidable contract, (3) interference with business or economic expectancy, (4) unjust enrichment, and (5) defamation. McCutchan’s claims are based on allegations of misrepresentations made by the Company to pay McCutchan for work completed on the Project as well as a failure to pay under the Valiant Agreement. In the alternative, McCutchan is alleging the Assignment is void and not a valid contract. McCutchan is seeking to collect no less than $3 million against the Company and all other named defendants. The parties are currently in the discovery process, initial discovery responses are due on November 7,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Valiant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two separate complaints against Valiant for overbilling, misrepresentation, and breach of contract for the Treehouse project in Nevada and Hannah Project in Washington.  Agrify obtained judgments against Valiant in Nevada for $4.5 million for the Treehouse project and $10.0 million in Washington for the Hannah Project. Agrify has domesticated those judgments in Massachusetts and is seeking to enforce them against Valiant, its successor in interest, Intrepid Investments LLC, and the principals of Valiant. Agrify filed an action for supplementary proceedings to collect on the judgments. The action is in the early stages and there is no guarantee that the court would award the full amount and no guarantee that Agrify would be able to successfully collect the full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the Company settled a legal dispute with a specific customer that resulted in the recognition of a gain of approximately $0.9 million, of which $0.3 million was paid in October 2023, with the remaining approximate $0.6 million to be paid in equal monthly installments, beginning in January, 2024. This gain was recognized as part of other income, net, per the unaudited condensed consolidated statement of operations for the nine months ended September 30, 2024, with the approximate $0.9 million receivable balance recognized as part of prepaid expenses and other current assets, per the unaudited condensed consolidated balance sheet, as of September 30, 2024. The settlement also resulted in the return of equipment to the Company in October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pursuing 10 separate legal proceedings in attempting to collect approximately $1.8 million outstanding receivables. The Company is not confident that all legal proceedings and collection efforts will yield in positive results or return of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2024, Medical Investor Holdings, LLC dba Vertical Companies (“MIH”) filed a complaint against Agrify demanding $288,000. MIH purchased an XMU hydrocarbon extraction system from Precision in October 2021. MIH chose not to include installation and training in the original purchase but is now having problems with this equipment resulting in the claims against Precision, now owned by the Company. This case was dismissed without prejudice by opposing counsel on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a defendant or plaintiff in a variety of other litigation matters that are individually insignificant. The timing and amount of any settlements, including potential payments made or received, is uncertain. Nonetheless, management currently estimates that the Company’s aggregate net loss exposure with respect to these cases is within the range of approximately $150,000 to $300,000. Given the Company has determined these losses are probable of occurring and reasonably estimable, an accrual was recorded in the amount of $150,000 within general and administrative expenses within the condensed consolidated statement of operations for the nine months ended September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2022, a former sales Vice President of the Company filed suit against the Company claiming he is owed back wages, commission and is entitled to equity in the company, under theories of liability under Massachusetts labor laws including retaliation, breach of contract, breach of covenant of good faith and fair dealing, fraudulent inducement, tortious interference and unjust enrichment. The Company filed its answer to the initial complaint in January 2023. The Company believes this is a meritless claim and has responded to various discovery requests.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Mack Molding Co.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Modification Agreement with Mack referenced above resulted in the Company entering a purchase commitment with Mack where it was contractually obligated to purchase a minimum of 25 VFUs per quarter for each quarter during 2024 and a minimum of 50 VFUs per quarter for the six quarters beginning with the first quarter of 2025, at a per VFU price of $14,000. The Company made payment and took collection of 25 VFUs in the second quarter of 2024. The Company also granted Mack a second lien position on all Agrify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2024, the Company entered into an amendment to the Modification Agreement with Mack, which modified the payment terms and VFU purchase requirements under the Modification Agreement. Pursuant to the amendment, the Company agreed to make the October Payment of $1.0 million and an additional $1.0 million prior to December 31, 2024. The Company has not made the October Payment as of the date hereof, however the Company is working with Mack to extend the date of the October Payment. The Company also agreed to purchase at least 25 VFUs prior to October 31, 2024 and a further 25 VFUs between November 1, 2024 and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required to pay a storage fee of $25,000 to Mack, per month, for VFU parts subject to the Modification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7 – Debt, included elsewhere in the notes to the unaudited condensed consolidated financial statements for details of the Company’s future minimum debt payments. Refer to Note 8 – Leases, included elsewhere in the notes to the unaudited condensed consolidated financial statements for details of the Company’s future minimum lease payments under operating and financing lease liabilities. Refer to Note 12 – Income Taxes, included elsewhere in the notes to the unaudited condensed consolidated financial statements for information regarding income tax contingencies.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current and former officers and directors of the Company are involved in other business activities and may, in the future, become involved in other business opportunities that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describes the net purchasing (sales) activity with entities identified as related parties to the Company:</w:t>
      </w:r>
    </w:p>
    <w:p>
      <w:pPr>
        <w:pStyle w:val="TextBody"/>
        <w:bidi w:val="0"/>
        <w:spacing w:before="0" w:after="0"/>
        <w:ind w:left="0" w:right="0" w:firstLine="360"/>
        <w:jc w:val="left"/>
        <w:rPr>
          <w:caps w:val="false"/>
          <w:smallCaps w:val="false"/>
        </w:rPr>
      </w:pPr>
      <w:r>
        <w:rPr>
          <w:caps w:val="false"/>
          <w:smallCaps w:val="false"/>
        </w:rPr>
        <w:t> </w:t>
      </w:r>
    </w:p>
    <w:tbl>
      <w:tblPr>
        <w:tblW w:w="7093" w:type="dxa"/>
        <w:jc w:val="left"/>
        <w:tblInd w:w="0" w:type="dxa"/>
        <w:tblLayout w:type="fixed"/>
        <w:tblCellMar>
          <w:top w:w="0" w:type="dxa"/>
          <w:left w:w="0" w:type="dxa"/>
          <w:bottom w:w="0" w:type="dxa"/>
          <w:right w:w="0" w:type="dxa"/>
        </w:tblCellMar>
      </w:tblPr>
      <w:tblGrid>
        <w:gridCol w:w="2705"/>
        <w:gridCol w:w="60"/>
        <w:gridCol w:w="321"/>
        <w:gridCol w:w="598"/>
        <w:gridCol w:w="136"/>
        <w:gridCol w:w="136"/>
        <w:gridCol w:w="321"/>
        <w:gridCol w:w="604"/>
        <w:gridCol w:w="60"/>
        <w:gridCol w:w="60"/>
        <w:gridCol w:w="277"/>
        <w:gridCol w:w="518"/>
        <w:gridCol w:w="119"/>
        <w:gridCol w:w="119"/>
        <w:gridCol w:w="277"/>
        <w:gridCol w:w="672"/>
        <w:gridCol w:w="110"/>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110" w:type="dxa"/>
            <w:tcBorders/>
            <w:vAlign w:val="center"/>
          </w:tcPr>
          <w:p>
            <w:pPr>
              <w:pStyle w:val="TableContents"/>
              <w:bidi w:val="0"/>
              <w:spacing w:before="0" w:after="283"/>
              <w:jc w:val="left"/>
              <w:rPr/>
            </w:pPr>
            <w:r>
              <w:rPr/>
              <w:t> </w:t>
            </w:r>
          </w:p>
        </w:tc>
      </w:tr>
      <w:tr>
        <w:trPr/>
        <w:tc>
          <w:tcPr>
            <w:tcW w:w="270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Bluezone</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598" w:type="dxa"/>
            <w:tcBorders/>
            <w:shd w:fill="CCEEFF" w:val="cle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518" w:type="dxa"/>
            <w:tcBorders/>
            <w:shd w:fill="CCEEFF" w:val="clear"/>
            <w:vAlign w:val="center"/>
          </w:tcPr>
          <w:p>
            <w:pPr>
              <w:pStyle w:val="TableContents"/>
              <w:bidi w:val="0"/>
              <w:spacing w:before="0" w:after="0"/>
              <w:jc w:val="right"/>
              <w:rPr/>
            </w:pPr>
            <w:r>
              <w:rPr/>
              <w:t>—</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672"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Topline Performance Group</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0"/>
              <w:jc w:val="right"/>
              <w:rPr/>
            </w:pPr>
            <w:r>
              <w:rPr/>
              <w:t>—</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right"/>
              <w:rPr/>
            </w:pPr>
            <w:r>
              <w:rPr/>
              <w:t>(1</w:t>
            </w:r>
          </w:p>
        </w:tc>
        <w:tc>
          <w:tcPr>
            <w:tcW w:w="110" w:type="dxa"/>
            <w:tcBorders/>
            <w:vAlign w:val="center"/>
          </w:tcPr>
          <w:p>
            <w:pPr>
              <w:pStyle w:val="TableContents"/>
              <w:bidi w:val="0"/>
              <w:spacing w:before="0" w:after="283"/>
              <w:jc w:val="left"/>
              <w:rPr/>
            </w:pPr>
            <w:r>
              <w:rPr/>
              <w:t>)</w:t>
            </w:r>
          </w:p>
        </w:tc>
      </w:tr>
      <w:tr>
        <w:trPr/>
        <w:tc>
          <w:tcPr>
            <w:tcW w:w="2705" w:type="dxa"/>
            <w:tcBorders/>
            <w:shd w:fill="CCEEFF" w:val="clear"/>
            <w:vAlign w:val="center"/>
          </w:tcPr>
          <w:p>
            <w:pPr>
              <w:pStyle w:val="TableContents"/>
              <w:bidi w:val="0"/>
              <w:spacing w:before="0" w:after="283"/>
              <w:jc w:val="left"/>
              <w:rPr/>
            </w:pPr>
            <w:r>
              <w:rPr/>
              <w:t>NEIA</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0"/>
              <w:jc w:val="right"/>
              <w:rPr/>
            </w:pPr>
            <w:r>
              <w:rPr/>
              <w:t>—</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w:t>
            </w:r>
          </w:p>
        </w:tc>
      </w:tr>
      <w:tr>
        <w:trPr/>
        <w:tc>
          <w:tcPr>
            <w:tcW w:w="2705" w:type="dxa"/>
            <w:tcBorders/>
            <w:vAlign w:val="center"/>
          </w:tcPr>
          <w:p>
            <w:pPr>
              <w:pStyle w:val="TableContents"/>
              <w:bidi w:val="0"/>
              <w:spacing w:before="0" w:after="283"/>
              <w:jc w:val="left"/>
              <w:rPr/>
            </w:pPr>
            <w:r>
              <w:rPr/>
              <w:t>Greenstone Holdings</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0"/>
              <w:jc w:val="right"/>
              <w:rPr/>
            </w:pPr>
            <w:r>
              <w:rPr/>
              <w:t>—</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right"/>
              <w:rPr/>
            </w:pPr>
            <w:r>
              <w:rPr/>
              <w:t>(2</w:t>
            </w:r>
          </w:p>
        </w:tc>
        <w:tc>
          <w:tcPr>
            <w:tcW w:w="11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net related party (payable) receivable as of September 30, 2024 and December 31, 2023:</w:t>
      </w:r>
    </w:p>
    <w:p>
      <w:pPr>
        <w:pStyle w:val="TextBody"/>
        <w:bidi w:val="0"/>
        <w:spacing w:before="0" w:after="0"/>
        <w:ind w:left="0" w:right="0" w:firstLine="360"/>
        <w:jc w:val="center"/>
        <w:rPr>
          <w:caps w:val="false"/>
          <w:smallCaps w:val="false"/>
        </w:rPr>
      </w:pPr>
      <w:r>
        <w:rPr>
          <w:caps w:val="false"/>
          <w:smallCaps w:val="false"/>
        </w:rPr>
        <w:t> </w:t>
      </w:r>
    </w:p>
    <w:tbl>
      <w:tblPr>
        <w:tblW w:w="5448" w:type="dxa"/>
        <w:jc w:val="left"/>
        <w:tblInd w:w="0" w:type="dxa"/>
        <w:tblLayout w:type="fixed"/>
        <w:tblCellMar>
          <w:top w:w="0" w:type="dxa"/>
          <w:left w:w="0" w:type="dxa"/>
          <w:bottom w:w="28" w:type="dxa"/>
          <w:right w:w="0" w:type="dxa"/>
        </w:tblCellMar>
      </w:tblPr>
      <w:tblGrid>
        <w:gridCol w:w="2270"/>
        <w:gridCol w:w="60"/>
        <w:gridCol w:w="515"/>
        <w:gridCol w:w="959"/>
        <w:gridCol w:w="60"/>
        <w:gridCol w:w="60"/>
        <w:gridCol w:w="557"/>
        <w:gridCol w:w="857"/>
        <w:gridCol w:w="110"/>
      </w:tblGrid>
      <w:tr>
        <w:trPr/>
        <w:tc>
          <w:tcPr>
            <w:tcW w:w="2270"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September 30,</w:t>
              <w:b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2023</w:t>
            </w:r>
          </w:p>
        </w:tc>
        <w:tc>
          <w:tcPr>
            <w:tcW w:w="110" w:type="dxa"/>
            <w:tcBorders/>
            <w:tcMar>
              <w:bottom w:w="0" w:type="dxa"/>
            </w:tcMar>
            <w:vAlign w:val="center"/>
          </w:tcPr>
          <w:p>
            <w:pPr>
              <w:pStyle w:val="TableContents"/>
              <w:bidi w:val="0"/>
              <w:spacing w:before="0" w:after="283"/>
              <w:jc w:val="left"/>
              <w:rPr/>
            </w:pPr>
            <w:r>
              <w:rPr/>
              <w:t> </w:t>
            </w:r>
          </w:p>
        </w:tc>
      </w:tr>
      <w:tr>
        <w:trPr/>
        <w:tc>
          <w:tcPr>
            <w:tcW w:w="2270" w:type="dxa"/>
            <w:tcBorders/>
            <w:shd w:fill="CCEEFF" w:val="clear"/>
            <w:tcMar>
              <w:bottom w:w="0" w:type="dxa"/>
            </w:tcMar>
            <w:vAlign w:val="center"/>
          </w:tcPr>
          <w:p>
            <w:pPr>
              <w:pStyle w:val="TableContents"/>
              <w:bidi w:val="0"/>
              <w:spacing w:before="0" w:after="283"/>
              <w:jc w:val="left"/>
              <w:rPr/>
            </w:pPr>
            <w:r>
              <w:rPr/>
              <w:t>Bluezone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5" w:type="dxa"/>
            <w:tcBorders/>
            <w:shd w:fill="CCEEFF" w:val="clear"/>
            <w:tcMar>
              <w:bottom w:w="0" w:type="dxa"/>
            </w:tcMar>
            <w:vAlign w:val="center"/>
          </w:tcPr>
          <w:p>
            <w:pPr>
              <w:pStyle w:val="TableContents"/>
              <w:bidi w:val="0"/>
              <w:spacing w:before="0" w:after="283"/>
              <w:jc w:val="left"/>
              <w:rPr/>
            </w:pPr>
            <w:r>
              <w:rPr/>
              <w:t>$</w:t>
            </w:r>
          </w:p>
        </w:tc>
        <w:tc>
          <w:tcPr>
            <w:tcW w:w="959"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7" w:type="dxa"/>
            <w:tcBorders/>
            <w:shd w:fill="CCEEFF" w:val="clear"/>
            <w:tcMar>
              <w:bottom w:w="0" w:type="dxa"/>
            </w:tcMar>
            <w:vAlign w:val="center"/>
          </w:tcPr>
          <w:p>
            <w:pPr>
              <w:pStyle w:val="TableContents"/>
              <w:bidi w:val="0"/>
              <w:spacing w:before="0" w:after="283"/>
              <w:jc w:val="left"/>
              <w:rPr/>
            </w:pPr>
            <w:r>
              <w:rPr/>
              <w:t>$</w:t>
            </w:r>
          </w:p>
        </w:tc>
        <w:tc>
          <w:tcPr>
            <w:tcW w:w="857" w:type="dxa"/>
            <w:tcBorders/>
            <w:shd w:fill="CCEEFF" w:val="clear"/>
            <w:tcMar>
              <w:bottom w:w="0" w:type="dxa"/>
            </w:tcMar>
            <w:vAlign w:val="center"/>
          </w:tcPr>
          <w:p>
            <w:pPr>
              <w:pStyle w:val="TableContents"/>
              <w:bidi w:val="0"/>
              <w:spacing w:before="0" w:after="283"/>
              <w:jc w:val="right"/>
              <w:rPr/>
            </w:pPr>
            <w:r>
              <w:rPr/>
              <w:t>(4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270" w:type="dxa"/>
            <w:tcBorders/>
            <w:tcMar>
              <w:bottom w:w="0" w:type="dxa"/>
            </w:tcMar>
            <w:vAlign w:val="center"/>
          </w:tcPr>
          <w:p>
            <w:pPr>
              <w:pStyle w:val="TableContents"/>
              <w:bidi w:val="0"/>
              <w:spacing w:before="0" w:after="283"/>
              <w:jc w:val="left"/>
              <w:rPr/>
            </w:pPr>
            <w:r>
              <w:rPr/>
              <w:t>Valiant Americas, LLC</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left"/>
              <w:rPr/>
            </w:pPr>
            <w:r>
              <w:rPr/>
              <w:t> </w:t>
            </w:r>
          </w:p>
        </w:tc>
        <w:tc>
          <w:tcPr>
            <w:tcW w:w="959"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7" w:type="dxa"/>
            <w:tcBorders/>
            <w:tcMar>
              <w:bottom w:w="0" w:type="dxa"/>
            </w:tcMar>
            <w:vAlign w:val="center"/>
          </w:tcPr>
          <w:p>
            <w:pPr>
              <w:pStyle w:val="TableContents"/>
              <w:bidi w:val="0"/>
              <w:spacing w:before="0" w:after="283"/>
              <w:jc w:val="left"/>
              <w:rPr/>
            </w:pPr>
            <w:r>
              <w:rPr/>
              <w:t> </w:t>
            </w:r>
          </w:p>
        </w:tc>
        <w:tc>
          <w:tcPr>
            <w:tcW w:w="857" w:type="dxa"/>
            <w:tcBorders/>
            <w:tcMar>
              <w:bottom w:w="0" w:type="dxa"/>
            </w:tcMar>
            <w:vAlign w:val="center"/>
          </w:tcPr>
          <w:p>
            <w:pPr>
              <w:pStyle w:val="TableContents"/>
              <w:bidi w:val="0"/>
              <w:spacing w:before="0" w:after="283"/>
              <w:jc w:val="right"/>
              <w:rPr/>
            </w:pPr>
            <w:r>
              <w:rPr/>
              <w:t>1</w:t>
            </w:r>
          </w:p>
        </w:tc>
        <w:tc>
          <w:tcPr>
            <w:tcW w:w="11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2023, the Company issued an unsecured promissory note to GIC Acquisition, LLC, an entity that is owned and managed by the Company’s former Chairman and Chief Executive Officer. Refer to Note 7 - Debt for further disclosure related to this Related Party Note including related transactions occurring during the three and nine months ended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2023, CP Acquisitions, an entity affiliated with and controlled by Company’s former Chairman and Chief Executive Officer and a former member of the Company’s Board of Directors, purchased the Exchange Note and the Convertible Note. In addition, the Company issued to CP Acquisitions a Junior Secured Note. Refer to Note 7 - Debt for further disclosure related to this Related Party Note including related transactions occurring during the three and nine months ended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unaudited condensed consolidated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5, 2023, the Company effected a 1-for-20 reverse stock split of its Common Stock. On October 8, 2024, the Company effected a 1-for-15 reverse stock split of its Common Stock. All share and per share information has been retroactively adjusted to give effect to the reverse stock splits for all periods presented unless otherwise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18, 2024, the Company and CP Acquisitions entered into an amendment to the 2024 CP Note, pursuant to which the maximum principal sum of the 2024 CP Note was increased from $1,500,000 to $3,000,000. The conversion price applicable to the 2024 CP Note will remain unchanged with an exercise price of $0.001 per share, in each case at a conversion price of $3.9495 (as may be adjusted per the 2024 CP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Convertible Note; Board and Management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2024, the Company issued a Secured Convertible Note (the “Green Thumb Note”) to RSLGH, LLC (the “Investor”), a subsidiary of Green Thumb Industries Inc. (“Green Thumb”). The Green Thumb Note is a secured obligation of the Company and ranks senior to all indebtedness of the Company except for indebtedness held by CP Acquisitions and Mack. The Green Thumb Note will mature on November 5, 2025 and has a 10.0% annualized interest rate, with interest to be paid on the first calendar day of each September and March while the Green Thumb Note is outstanding, in cash, beginning January 1, 2025. The principal amount of the Green Thumb Note will be payable on the maturity date. The Green Thumb Note provides for advances of up to $20.0 million in the aggregate, of which $10.0 million was advanced upon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Green Thumb Note imposes certain customary affirmative and negative covenants upon the Company, including covenants relating to corporate existence, indebtedness, liens, distributions, affiliate transactions, and issuance of other notes. If an event of default under the Green Thumb Note occurs, the Investor can elect to redeem the Green Thumb Note for cash equal to the then-outstanding principal amount of the Green Thumb Note (or such lesser principal amount accelerated by the Investor), plus accrued and unpaid interest, including default interest, which accrues at a rate per annum equal to 14% from the date of a default or event of default, or, only in connection with certain events of default.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elects to convert the Green Thumb Note, the conversion price per share will be $3.158, subject to customary adjustments for certain corporate events. The conversion of the Green Thumb Note will be subject to certain customary conditions and the receipt of stockholder approval to the extent necessary under Nasdaq listing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issuance of the Green Thumb Note, Raymond Chang, I-Tseng Jenny Chan and entities affiliated with each of them sold shares of Common Stock and Pre-Funded Warrants to the Investor. Immediately following the issuance of the Green Thumb Note, Mr. Chang resigned as Chairman and Chief Executive Officer of the Company, and Ms. Chan resigned as a member of the Company’s Board of Directors. The Board of Directors appointed Benjamin Kovler as Chairman and Interim Chief Executive Officer and Armon Vakili and Richard Drexler as members of the Board of Directors to fill the vacancies resulting from Mr. Chang’s and Ms. Chan’s resignations.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contained in this Quarterly Report on Form 10-Q is intended to update the information contained in our Annual Report on Form 10-K for the year ended December 31, 2023 filed with the Securities And Exchange Commission (the “SEC”) on April 15, 2024, as amended on April 29, 2024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Quarterly Report on Form 10-Q.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risk factors described in our Annual Report on Form 10-K in the section entitled “Risk Factors”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otherwise indicated herein or as the context otherwise requires, references in this quarterly report to “we,” “us,” “our,” “Company,” and “Agrify” refer to Agrify Corporation, a Nevada corporation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developer of proprietary precision hardware and software grow solutions for the indoor commercial agriculture industry and provide equipment and solutions for cultivation, extraction, post-processing, and testing for the cannabis and hemp industries. We believe we are the only company with an automated and fully integrated grow solution in the industry. Our Agrify “Precision Elevated™” cultivation solution seamlessly combines our integrated hardware and software offerings with a broad range of associated services including consulting, engineering, and construction and is designed to deliver the most complete commercial indoor farming solution available from a single provider. The totality of our product offerings and service capabilities forms an unrivaled ecosystem in what has historically been a highly fragmented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Corporation was incorporated in the state of Nevada on June 6, 2016, originally incorporated as Agrinamics, Inc. (or “Agrinamics”). On September 16, 2019, Agrinamics amended its articles of incorporation to reflect a name change to Agrify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are located in Troy, Michigan. We also lease properties located within various geographic regions in which we conduct business, including Colorado, Georgia, and Michigan.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5, 2023, we effected a 1-for-20 reverse stock split of our Common Stock. On October 8, 2024, we effected a 1-for-15 reverse stock split of our Common Stock. All share and per share information has been retroactively adjusted to give effect to the reverse stock splits for all periods presented unless otherwise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beginning of 2023, we announced a strategic plan to foster sustainable long-term growth through cost efficiencies and enhanced sales and growth initiatives. We have been focused on growing our cultivation business by helping our existing Agrify Total Turn-Key customers to bring their facilities online and driving additional sales through our rapid deployment pack program. As a result, we have successfully installed Agrify total turn-key solution program (“TTK Solution”) equipment for and commenced our Las Vegas customer, Nevada Holistic Medicine, our Denver Colorado customer, Denver Greens, and signed several new customers such as Golden Lake Business Park in California, and Harvest Works in New Jersey. As a testimony to the Agrify Vertical Farming Unit’s (“VFU”) ability to produce high quality flower, Nevada Holistic Medicine is already consistently harvesting 9 pounds of A-grade flower per VFU, or roughly 64 grams per canopy square foot, and seeing 90%+ A-grade flower produced with exceptional color, trichome, and terpene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because we have streamlined our expansive extraction portfolio of technologies, we have successfully supported the deployment of several turnkey solvent-based and solventless extraction packages to customers in California, Michigan, and the East Coast. In addition, we have released several new technologies and products into the market based on customer feedback, including our first peer-reviewed Cannabeast 13 Distillation Unit, a Diamond Miner, Stitch-less Double Filtration Rosin Bags, and the revamped PX30 Hydrocarbon Extractor. We have also made significant strides to receive Underwriters Laboratories Compliance for Precision Extractions’ EXP Explosion Proof Rooms in an effort to continue our commitment to safety and quality within cannabis extraction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developments illustrate our continuous innovation, and commitment to safety within the cannabis sector as we adapt to evolving market demands. More importantly, we believe our growing partnership across the Country is a strong testimony to operators’ continued trust in Agrify’s team and technologies in the most competitive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Amendment, Consolidation and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25, 2024, following stockholder approval at an annual meeting of stockholders on January 8, 2024, we and CP Acquisitions LLC (“CP Acquisitions”) consolidated the outstanding principal and interest due under the junior secured promissory note (the “Junior Secured Note”) to CP Acquisitions and a promissory note with an original principal amount of $35.0 million (the “Exchange Note”) to High Trail Special Situations LLC (the “Original Lender”) into a convertible note (the “Convertible Note”) and amended and restated the Convertible Note (as amended and restated, the “Restated Note”), with an outstanding principal amount of approximately $18.3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CP Acquisitions may assign its right to receive shares upon conversion to Raymond Chang, the former Chairman and Chief Executive Officer of the Company and/or I-Tseng Jenny Chan, a former member of the board of directors of the Company (the “Board”)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CP Acquisitions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Nasdaq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2024, we received a deficiency letter from the staff (“Staff”) of the Nasdaq Stock Market LLC (“Nasdaq”) notifying us that, for the last 30 consecutive business days, the bid price for our Common Stock had closed below $1.00 per share, which is the minimum closing price required to maintain continued listing on the Nasdaq Stock Market under Nasdaq Listing Rule 5550(a)(2) (the “Minimum Bid Requirement”). In accordance with Nasdaq Listing Rule 5810(c)(3)(A), we had 180 calendar days to regain compliance with the Minimum Bid Requirement. The compliance period would have expired on September 3, 2024. On September 4, 2024, the Staff notified us in writing that we were eligible for an additional 180-day compliance period, or until March 3, 2025, to regain compliance with the Minimum Bid Requirement. On October 8, 2024, we completed a 1-for-15 reverse stock split of our Common Stock, in which each fifteen shares of Common Stock issued and outstanding was combined and converted into one share of Common Stock to regain compliance with the Minimum Bid Requirement. On October 22, 2024, the Staff notified us that we had regained compliance with the Minimum Bid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provide no assurances that we will continue to meet Nasdaq listing requirements and otherwise remain listed on Nasdaq. If we fail to continue to satisfy the continued listing requirements of Nasdaq, such as the corporate governance requirements or the Minimum Bid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we entered into a placement agency agreement with Alexander Capital, LP as placement agent, pursuant to which we agreed to issue and sell an aggregate of 2,760,000 shares of Common Stock, and, in lieu of Common Stock to certain investors that so chose, Pre-Funded Warrants (“Pre-Funded Warrants”) to purchase 3,963,684 shares of Common Stock. The public offering price for each share of Common Stock was $0.38, and the offering price for each Pre-Funded Warrant was $0.379, which equals the public offering price per share of the Common Stock, less the $0.001 per share exercise price of each Pre-Funded Warrant. The Offering was made pursuant to a registration statement on Form S-1 that we filed with the SEC on January 26, 2024 and was declared effective on February 14, 2024. Raymond Chang, our former Chairman and Chief Executive Officer, participated in the offering on the same terms as other investors. The net proceeds from the public offering were approximately $2.2 million, after deducting placement agent fees and commissions and expenses. The public offering closed on February 28,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Modification; Warrant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we and CP Acquisitions entered into an amendment to the Convertible Note (the “Consolidated Note Amendment”), pursuant to which CP Acquisitions may elect, in lieu of shares of Common Stock issuable upon conversion of the Convertible Note, to instead receive Pre-Funded Warrants. The conversion price applicable to the Pre-Funded Warrants will remain unchanged at $21.90. Immediately following the execution of the Consolidated Note Amendment, CP Acquisitions elected to convert $11.5 million of outstanding principal into a Pre-Funded Warrant exercisable at issuance for up to 525,114shares of Common Stock having a fair value of approximately $2.9 million (the “CP Warrant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we and GIC Acquisition, LLC (“GIC”), the holder of an unsecured promissory note (the “GIC Note”), amended and restated the GIC Note (the “Restated GIC Note”) to increase the aggregate principal amount to approximately $2.29 million, extend the maturity date to December 31, 2025, and provide that the Restated Junior Note may be converted into Common Stock of the Company or, at GIC’s election, Pre-Funded Warrants, in each case at a conversion price of $4.65. Immediately following the execution of the Restated GIC Note, GIC elected to convert all of the outstanding principal under the Restated GIC Note into a Pre-Funded Warrant exercisable at issuance for up to 492,204 shares of Common Stock having a fair value of approximately $2.7 million (the “GIC Warrant Conversion”, and, collectively with the CP Warrant Conversion, the “Related Party Warrant Conversions”).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2024, we executed an amendment to the Pre-Funded Warrants, pursuant to which we revised certain provisions of the Pre-Funded Warrants to (i) remove the adjustment to the exercise price of the Pre-Funded Warrants when there is a bona fide equity financing with the primary purpose of raising capital (the “Adjustment Provisions”) and (ii) increase the threshold for a change of control from 50% to greater than 50%. On August 12, 2024, our stockholders approved a proposal to amend the Pre-Funded Warrants to add the Adjustment Provisions at a future date. Pursuant to that approval, on August 28, 2024, we entered into amendments to the Pre-Funded Warrants to insert the Adjustment Provisions. As a result of the warrant amendments and the subsequent issuance of 189,645 shares of Common Stock to Ionic Ventures, LLC (“Ionic”) at an effective purchase price of approximately $2.109 per share of Common Stock, the number of shares of Common Stock underlying the Pre-Funded Warrant held by CP Acquisitions was adjusted to 5,452,288 and the number of shares of Common Stock underlying the Pre-Funded Warrant held by GIC was adjusted to 1,085,122. On August 30, 2024, CP Acquisitions partially exercised its Pre-Funded Warrant and entities affiliated with Mr. Chang and Ms. Chan received an aggregate of 383,127 shares of Common Stock upon the exercise. On September 27, 2024, we further amended the Pre-Funded Warrants to remove the Adjustment Provisions from each warrant and (ii) preventing the holders from any additional exercise of either of the Pre-Funded Warrants at any time between September 27, 2024 and October 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 2024 after an evaluation process, the audit committee of our Board (the “Audit Committee”) dismissed Marcum LLP as our independent registered public accounting firm and appointed MATSUURA (“Matsuura”) as our independent registered public accounting firm for the fiscal year ending December 31, 2024, in each case effective as of June 25, 2024. On June 30, 2024, the audit practice of Matsuura was combined in a transaction pursuant to which Matsuura merged its operations with GuzmanGray, a professional corporation (“GuzmanGray”). On July 19, 2024, Matsuura resigned as our auditors and the Audit Committee appointed GuzmanGray as our independent registered public accounting firm effective as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Line of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2024, we entered into the Purchase Agreement and a registration rights agreement with Ionic pursuant to which Ionic committed to purchase up to an aggregate of $15.0 million of our Common Stock, subject to certain limitations, from time to time and at our sole discretion over the 36-month term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date the registration statement relating to the resale of the shares sold to Ionic is declared effective, we may from time to time on any business day, by written notice delivered by us to Ionic, direct Ionic to purchase between $250,000 and $750,000 of shares of Common Stock on such business day, at a purchase price per share that will be equal to 93% (or 80% if the Common Stock is not then trading on the Nasdaq Capital Market) of the lowest daily VWAP over a specified measurement period beginning after the delivery of the purchase notice, as described further in the Purchase Agreement (each, a “Regular Purchase”). The Purchase Agreement also permitted us to deliver an exemption purchase notice for $400,000 on the date of signing, with the shares so purchased to be delivered following the Commencement Date, and we delivered an exemption purchase notice for $400,000 for the purchase by Ionic of 189,645 shares of Common Stock. We will control the timing and amount of any sales of Common Stock to Ionic pursuant to the Purchase Agreement. Ionic has no right to require us to sell any shares of Common Stock to Ionic, but Ionic is obligated to make purchases as we direct, subject to certain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Junior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we issued the 2024 CP Note to CP Acquisitions. Pursuant to the 2024 CP Note, CP Acquisitions would lend up to $1,500,000 to the Company. The 2024 CP Note bears interest at a rate of 10% per annum, will mature in full on July 1, 2025, and may be prepaid without any fee or penalty. The 2024 CP Note is secured by our assets and ranks junior to existing secured indebtedness. The 2024 CP Note may be converted into Common Stock of the Company or, at CP Acquisitions’ election, Pre-Funded Warrants with an exercise price of $0.001 per share, in each case at a conversion price of $3.9495.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Mack Molding Modification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2023, and effective as of October 18, 2023, we entered into a Modification and Settlement Agreement (the “Modification Agreement”) with Mack Molding Company (“Mack”) with respect to a dispute with Mack under an existing supply agreement. On February 29, 2024, we met our contractual obligations under the terms of the Modification Agreement. In settlement of the dispute, we made cash payments of $500,000 and $250,000 to Mack and issued to Mack a warrant to purchase 750,000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2024, we entered into an amendment to the Modification Agreement with Mack, which modified the payment terms and VFU purchase requirements under the Modification Agreement. Pursuant to the amendment, we agreed to make payments of $1.0 million prior to October 31, 2024 and an additional $1.0 million prior to December 31, 2024. We also agreed to purchase at least 25 VFUs prior to October 31, 2024 and a further 25 VFUs between November 1, 2024 and December 31, 2024. Upon payment in accordance with the terms of the amendment, we will be entitled to certain residual inventory in the possession of Mack, and the warrant issued to Mack will be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18, 2024, we entered into an amendment with CP Acquisitions to the 2024 CP Note, pursuant to which the maximum principal sum of the 2024 CP Note was increased from $1,500,000 to $3,000,000. The conversion price applicable to the 2024 CP Note will remain unchanged with an exercise price of $0.001 per share, in each case at a conversion price of $3.9495 (as may be adjusted per the 2024 CP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Convertible Note; Board and Management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2024, we issued a Secured Convertible Note (the “Green Thumb Note”) to RSLGH, LLC (the “Investor”), a subsidiary of Green Thumb Industries Inc. (“Green Thumb”). The Green Thumb Note is a secured obligation and ranks senior to all indebtedness of the Company except for indebtedness held by CP Acquisitions and Mack. The Green Thumb Note will mature on November 5, 2025 and has a 10.0% annualized interest rate, with interest to be paid on the first calendar day of each September and March while the Green Thumb Note is outstanding, in cash, beginning January 1, 2025. The principal amount of the Green Thumb Note will be payable on the maturity date. The Green Thumb Note provides for advances of up to $20.0 million in the aggregate, of which $10.0 million was advanced upon issuance. If the Investor elects to convert the Green Thumb Note, the conversion price per share will be $3.158, subject to customary adjustments for certain corporate events. The conversion of the Green Thumb Note will be subject to certain customary conditions and the receipt of stockholder approval to the extent necessary under Nasdaq listing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issuance of the Green Thumb Note, Raymond Chang, I-Tseng Jenny Chan and entities affiliated with each of them sold shares of Common Stock and Pre-Funded Warrants to the Investor. Immediately following the issuance of the Green Thumb Note, Mr. Chang resigned as our Chairman and Chief Executive Officer, and Ms. Chan resigned as a member of our Board of Directors. The Board of Directors appointed Benjamin Kovler as our Chairman and Interim Chief Executive Officer and Armon Vakili and Richard Drexler as members of the Board of Directors to fill the vacancies resulting from Mr. Chang’s and Ms. Chan’s resignations.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Plans to Acquire the Señorita Brand of THC Beverages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we announced that we signed a non-binding letter of intent to acquire certain assets from Double or Nothing LLC, the owner and creator of the Señorita brand of hemp-derived legal THC (“HDLT”) drinks, in exchange for 530,000 shares of Agrify common stock or common stock equivalents (the “Transaction”). The Transaction would involve the acquisition of assets involved in the operation of Señorita’s HDLT business. There can be no assurances that we will reach a binding agreement and if we do, the terms could differ from those stated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and useful life of fixed assets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 and Significant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position and results of operations is based on our financial statements, which have been prepared in accordance with accounting principles generally accepted in the United States of America, or U.S. GAAP. The preparation of financial statements in conformity with U.S. GAAP requires us to make estimates and assumptions that affect the amounts reported in the financial statements and accompanying notes. On an ongoing basis, we evaluate estimates,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warrants as either equity-classified or liability-classified instruments based on an assessment of the warrant’s specific terms and applicable authoritative guidance in Accounting Standards Codification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marked-to-market each reporting period with the changes in fair value of warrant liabilities recorded in other income (expense), net in the accompanying unaudited condensed consolidated statements of operations until the warrants are exercised. The fair value of the warrant liabilities are estimated using a Black-Scholes option-pricing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warrant liabilities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the following sources: (1) equipment sales, (2) providing services and (3) construction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Topic 606, </w:t>
      </w:r>
      <w:r>
        <w:rPr>
          <w:rFonts w:ascii="Times New Roman;Times;Serif" w:hAnsi="Times New Roman;Times;Serif"/>
          <w:b w:val="false"/>
          <w:i/>
          <w:caps w:val="false"/>
          <w:smallCaps w:val="false"/>
          <w:sz w:val="20"/>
        </w:rPr>
        <w:t>Revenue Recognition</w:t>
      </w:r>
      <w:r>
        <w:rPr>
          <w:rFonts w:ascii="Times New Roman;Times;Serif" w:hAnsi="Times New Roman;Times;Serif"/>
          <w:b w:val="false"/>
          <w:i w:val="false"/>
          <w:caps w:val="false"/>
          <w:smallCaps w:val="false"/>
          <w:sz w:val="20"/>
        </w:rPr>
        <w:t xml:space="preserve"> (“ASC 606”), we recognize revenue from contracts with customers using a five-step model, which is described below:</w:t>
      </w:r>
    </w:p>
    <w:p>
      <w:pPr>
        <w:pStyle w:val="TextBody"/>
        <w:bidi w:val="0"/>
        <w:spacing w:before="0" w:after="0"/>
        <w:ind w:left="0" w:right="0" w:firstLine="360"/>
        <w:jc w:val="both"/>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38"/>
        <w:gridCol w:w="17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283"/>
              <w:jc w:val="both"/>
              <w:rPr>
                <w:sz w:val="20"/>
              </w:rPr>
            </w:pPr>
            <w:r>
              <w:rPr>
                <w:sz w:val="20"/>
              </w:rPr>
              <w:t>identify the customer contract;</w:t>
            </w:r>
          </w:p>
        </w:tc>
      </w:tr>
    </w:tbl>
    <w:p>
      <w:pPr>
        <w:pStyle w:val="TextBody"/>
        <w:bidi w:val="0"/>
        <w:spacing w:before="0" w:after="0"/>
        <w:jc w:val="left"/>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17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both"/>
              <w:rPr>
                <w:sz w:val="20"/>
              </w:rPr>
            </w:pPr>
            <w:r>
              <w:rPr>
                <w:sz w:val="20"/>
              </w:rPr>
              <w:t>identify performance obligations that are distinct;</w:t>
            </w:r>
          </w:p>
        </w:tc>
      </w:tr>
    </w:tbl>
    <w:p>
      <w:pPr>
        <w:pStyle w:val="TextBody"/>
        <w:bidi w:val="0"/>
        <w:spacing w:before="0" w:after="0"/>
        <w:ind w:left="0" w:right="0" w:hanging="0"/>
        <w:jc w:val="both"/>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17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sz w:val="20"/>
              </w:rPr>
            </w:pPr>
            <w:r>
              <w:rPr>
                <w:sz w:val="20"/>
              </w:rPr>
              <w:t>determine the transaction price;</w:t>
            </w:r>
          </w:p>
        </w:tc>
      </w:tr>
    </w:tbl>
    <w:p>
      <w:pPr>
        <w:pStyle w:val="TextBody"/>
        <w:bidi w:val="0"/>
        <w:spacing w:before="0" w:after="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sz w:val="20"/>
              </w:rPr>
            </w:pPr>
            <w:r>
              <w:rPr>
                <w:sz w:val="20"/>
              </w:rPr>
              <w:t>allocate the transaction price to the distinct performance obligations; and</w:t>
            </w:r>
          </w:p>
        </w:tc>
      </w:tr>
    </w:tbl>
    <w:p>
      <w:pPr>
        <w:pStyle w:val="TextBody"/>
        <w:bidi w:val="0"/>
        <w:spacing w:before="0" w:after="0"/>
        <w:jc w:val="left"/>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sz w:val="20"/>
              </w:rPr>
            </w:pPr>
            <w:r>
              <w:rPr>
                <w:sz w:val="20"/>
              </w:rPr>
              <w:t>recognize revenue as the performance obligations are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Identify the customer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customer contract is generally identified when there is approval and commitment from both use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Identify performance obligations that are distinct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Determine the transaction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amount of consideration to which we expect to be entitled in exchange for transferring goods or services to a customer, excluding sales taxes that are collected on behalf of government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Allocate the transaction price to distinct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Recognize revenue as the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or as, performance obligations are satisfied by transferring control of a promised product or service to a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the transaction price is determined,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 is required to determine the SSP for each distinct performance obligation. We determine SSP based on the price at which the performance obligation is sold separately and the methods of estimating SSP under the guidance of ASC 606-10-32-33. If the SSP is not observable through past transactions, we estimate the SSP, taking into account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the cost-plus margin method to determine the SSP for equipment and build-out services. This method is based on the cost of the services from third parties, plus a reasonable markup that we believe is reflective of a market-based reseller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the SSP for services in time and materials contracts by observable prices in standalone services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contract has payment terms that differ from the timing of revenue recognition, we will assess whether the transaction price for those contracts include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 upon interest rate and will present the financing components separately as financial income. For the nine months ended September 30, 2024 and 2023, we did not have any such financial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terms with customers typically require payment in advance or payment 30 days from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contract liabilities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contract liabilities when consideration has been received or an amount of consideration is due from the customer, and we have a future obligation to transfer certain proprietary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606-10-50-13, we are required to include disclosure on our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provide a one-year warranty on our products for materials and workmanship but may provide multiple 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unaudited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income taxes pursuant to the provisions of ASC Topic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(“ASC 740”)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unaudited condensed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follow the provisions of ASC Topic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xml:space="preserve"> ,(“ASC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that the discussion of our operating results that follows be read in conjunction with the critical accounting policies disclosed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and Nine Months Ended September 30,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three and nine months ended September 30, 2024 and 2023:</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95"/>
        <w:gridCol w:w="60"/>
        <w:gridCol w:w="140"/>
        <w:gridCol w:w="980"/>
        <w:gridCol w:w="95"/>
        <w:gridCol w:w="60"/>
        <w:gridCol w:w="140"/>
        <w:gridCol w:w="800"/>
        <w:gridCol w:w="95"/>
        <w:gridCol w:w="60"/>
        <w:gridCol w:w="140"/>
        <w:gridCol w:w="980"/>
        <w:gridCol w:w="95"/>
        <w:gridCol w:w="60"/>
        <w:gridCol w:w="140"/>
        <w:gridCol w:w="755"/>
        <w:gridCol w:w="110"/>
      </w:tblGrid>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110"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180"/>
              <w:jc w:val="left"/>
              <w:rPr/>
            </w:pPr>
            <w:r>
              <w:rPr/>
              <w:t> </w:t>
            </w:r>
          </w:p>
        </w:tc>
      </w:tr>
      <w:tr>
        <w:trPr/>
        <w:tc>
          <w:tcPr>
            <w:tcW w:w="5495" w:type="dxa"/>
            <w:tcBorders/>
            <w:shd w:fill="CCEEFF" w:val="clear"/>
            <w:vAlign w:val="center"/>
          </w:tcPr>
          <w:p>
            <w:pPr>
              <w:pStyle w:val="TableContents"/>
              <w:bidi w:val="0"/>
              <w:spacing w:before="0" w:after="283"/>
              <w:jc w:val="left"/>
              <w:rPr/>
            </w:pPr>
            <w:r>
              <w:rPr/>
              <w:t>Revenue (including $0, $0, $0, and $46 from related parties,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14,009</w:t>
            </w:r>
          </w:p>
        </w:tc>
        <w:tc>
          <w:tcPr>
            <w:tcW w:w="110" w:type="dxa"/>
            <w:tcBorders/>
            <w:shd w:fill="CCEEFF" w:val="clear"/>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Cost of goods sold</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1,709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2,165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6,009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11,447</w:t>
            </w:r>
          </w:p>
        </w:tc>
        <w:tc>
          <w:tcPr>
            <w:tcW w:w="110"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2,562</w:t>
            </w:r>
          </w:p>
        </w:tc>
        <w:tc>
          <w:tcPr>
            <w:tcW w:w="110" w:type="dxa"/>
            <w:tcBorders/>
            <w:shd w:fill="CCEEFF" w:val="clear"/>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16,066</w:t>
            </w:r>
          </w:p>
        </w:tc>
        <w:tc>
          <w:tcPr>
            <w:tcW w:w="110" w:type="dxa"/>
            <w:tcBorders/>
            <w:shd w:fill="CCEEFF" w:val="clear"/>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Selling and marketing</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812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3,522</w:t>
            </w:r>
          </w:p>
        </w:tc>
        <w:tc>
          <w:tcPr>
            <w:tcW w:w="110"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1,864</w:t>
            </w:r>
          </w:p>
        </w:tc>
        <w:tc>
          <w:tcPr>
            <w:tcW w:w="110" w:type="dxa"/>
            <w:tcBorders/>
            <w:shd w:fill="CCEEFF" w:val="clear"/>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(Gain) loss on settlement of contingent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(5,935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Gain on early termination of lease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(Gain) loss on disposal of property and equipment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(62</w:t>
            </w:r>
          </w:p>
        </w:tc>
        <w:tc>
          <w:tcPr>
            <w:tcW w:w="110" w:type="dxa"/>
            <w:tcBorders/>
            <w:vAlign w:val="center"/>
          </w:tcPr>
          <w:p>
            <w:pPr>
              <w:pStyle w:val="TableContents"/>
              <w:bidi w:val="0"/>
              <w:spacing w:before="0" w:after="283"/>
              <w:jc w:val="left"/>
              <w:rPr/>
            </w:pPr>
            <w:r>
              <w:rPr/>
              <w:t>)</w:t>
            </w:r>
          </w:p>
        </w:tc>
      </w:tr>
      <w:tr>
        <w:trPr/>
        <w:tc>
          <w:tcPr>
            <w:tcW w:w="5495" w:type="dxa"/>
            <w:tcBorders/>
            <w:shd w:fill="CCEEFF" w:val="clear"/>
            <w:vAlign w:val="center"/>
          </w:tcPr>
          <w:p>
            <w:pPr>
              <w:pStyle w:val="TableContents"/>
              <w:bidi w:val="0"/>
              <w:spacing w:before="0" w:after="283"/>
              <w:jc w:val="left"/>
              <w:rPr/>
            </w:pPr>
            <w:r>
              <w:rPr/>
              <w:t>Change in contingent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(2,180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(1,322</w:t>
            </w:r>
          </w:p>
        </w:tc>
        <w:tc>
          <w:tcPr>
            <w:tcW w:w="110" w:type="dxa"/>
            <w:tcBorders/>
            <w:shd w:fill="CCEEFF" w:val="clear"/>
            <w:vAlign w:val="center"/>
          </w:tcPr>
          <w:p>
            <w:pPr>
              <w:pStyle w:val="TableContents"/>
              <w:bidi w:val="0"/>
              <w:spacing w:before="0" w:after="283"/>
              <w:jc w:val="left"/>
              <w:rPr/>
            </w:pPr>
            <w:r>
              <w:rPr/>
              <w:t>)</w:t>
            </w:r>
          </w:p>
        </w:tc>
      </w:tr>
      <w:tr>
        <w:trPr/>
        <w:tc>
          <w:tcPr>
            <w:tcW w:w="5495" w:type="dxa"/>
            <w:tcBorders/>
            <w:vAlign w:val="center"/>
          </w:tcPr>
          <w:p>
            <w:pPr>
              <w:pStyle w:val="TableContents"/>
              <w:bidi w:val="0"/>
              <w:spacing w:before="0" w:after="283"/>
              <w:jc w:val="left"/>
              <w:rPr/>
            </w:pPr>
            <w:r>
              <w:rPr/>
              <w:t>Total operating expenses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3,890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5,552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3,405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20,068</w:t>
            </w:r>
          </w:p>
        </w:tc>
        <w:tc>
          <w:tcPr>
            <w:tcW w:w="110"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Operating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(3,665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(4,578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(17,506</w:t>
            </w:r>
          </w:p>
        </w:tc>
        <w:tc>
          <w:tcPr>
            <w:tcW w:w="110" w:type="dxa"/>
            <w:tcBorders/>
            <w:shd w:fill="CCEEFF" w:val="clear"/>
            <w:vAlign w:val="center"/>
          </w:tcPr>
          <w:p>
            <w:pPr>
              <w:pStyle w:val="TableContents"/>
              <w:bidi w:val="0"/>
              <w:spacing w:before="0" w:after="283"/>
              <w:jc w:val="left"/>
              <w:rPr/>
            </w:pPr>
            <w:r>
              <w:rPr/>
              <w:t>)</w:t>
            </w:r>
          </w:p>
        </w:tc>
      </w:tr>
      <w:tr>
        <w:trPr/>
        <w:tc>
          <w:tcPr>
            <w:tcW w:w="5495" w:type="dxa"/>
            <w:tcBorders/>
            <w:vAlign w:val="center"/>
          </w:tcPr>
          <w:p>
            <w:pPr>
              <w:pStyle w:val="TableContents"/>
              <w:bidi w:val="0"/>
              <w:spacing w:before="0" w:after="283"/>
              <w:jc w:val="left"/>
              <w:rPr/>
            </w:pPr>
            <w:r>
              <w:rPr/>
              <w:t>Interest income (expense),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(1,562</w:t>
            </w:r>
          </w:p>
        </w:tc>
        <w:tc>
          <w:tcPr>
            <w:tcW w:w="110" w:type="dxa"/>
            <w:tcBorders/>
            <w:vAlign w:val="center"/>
          </w:tcPr>
          <w:p>
            <w:pPr>
              <w:pStyle w:val="TableContents"/>
              <w:bidi w:val="0"/>
              <w:spacing w:before="0" w:after="283"/>
              <w:jc w:val="left"/>
              <w:rPr/>
            </w:pPr>
            <w:r>
              <w:rPr/>
              <w:t>)</w:t>
            </w:r>
          </w:p>
        </w:tc>
      </w:tr>
      <w:tr>
        <w:trPr/>
        <w:tc>
          <w:tcPr>
            <w:tcW w:w="5495"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3,599</w:t>
            </w:r>
          </w:p>
        </w:tc>
        <w:tc>
          <w:tcPr>
            <w:tcW w:w="110" w:type="dxa"/>
            <w:tcBorders/>
            <w:shd w:fill="CCEEFF" w:val="clear"/>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Loss on extinguishment of long-term debt,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(4,631</w:t>
            </w:r>
          </w:p>
        </w:tc>
        <w:tc>
          <w:tcPr>
            <w:tcW w:w="110" w:type="dxa"/>
            <w:tcBorders/>
            <w:vAlign w:val="center"/>
          </w:tcPr>
          <w:p>
            <w:pPr>
              <w:pStyle w:val="TableContents"/>
              <w:bidi w:val="0"/>
              <w:spacing w:before="0" w:after="283"/>
              <w:jc w:val="left"/>
              <w:rPr/>
            </w:pPr>
            <w:r>
              <w:rPr/>
              <w:t>)</w:t>
            </w:r>
          </w:p>
        </w:tc>
      </w:tr>
      <w:tr>
        <w:trPr/>
        <w:tc>
          <w:tcPr>
            <w:tcW w:w="5495"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874</w:t>
            </w:r>
          </w:p>
        </w:tc>
        <w:tc>
          <w:tcPr>
            <w:tcW w:w="110" w:type="dxa"/>
            <w:tcBorders/>
            <w:shd w:fill="CCEEFF" w:val="clear"/>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Total other expense, net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(14,986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2,486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(15,499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(1,720</w:t>
            </w:r>
          </w:p>
        </w:tc>
        <w:tc>
          <w:tcPr>
            <w:tcW w:w="110" w:type="dxa"/>
            <w:tcBorders/>
            <w:vAlign w:val="center"/>
          </w:tcPr>
          <w:p>
            <w:pPr>
              <w:pStyle w:val="TableContents"/>
              <w:bidi w:val="0"/>
              <w:spacing w:before="0" w:after="283"/>
              <w:jc w:val="left"/>
              <w:rPr/>
            </w:pPr>
            <w:r>
              <w:rPr/>
              <w:t>)</w:t>
            </w:r>
          </w:p>
        </w:tc>
      </w:tr>
      <w:tr>
        <w:trPr/>
        <w:tc>
          <w:tcPr>
            <w:tcW w:w="5495"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(18,651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(19,226</w:t>
            </w:r>
          </w:p>
        </w:tc>
        <w:tc>
          <w:tcPr>
            <w:tcW w:w="110" w:type="dxa"/>
            <w:tcBorders/>
            <w:shd w:fill="CCEEFF" w:val="clear"/>
            <w:vAlign w:val="center"/>
          </w:tcPr>
          <w:p>
            <w:pPr>
              <w:pStyle w:val="TableContents"/>
              <w:bidi w:val="0"/>
              <w:spacing w:before="0" w:after="283"/>
              <w:jc w:val="left"/>
              <w:rPr/>
            </w:pPr>
            <w:r>
              <w:rPr/>
              <w:t>)</w:t>
            </w:r>
          </w:p>
        </w:tc>
      </w:tr>
      <w:tr>
        <w:trPr/>
        <w:tc>
          <w:tcPr>
            <w:tcW w:w="5495" w:type="dxa"/>
            <w:tcBorders/>
            <w:vAlign w:val="center"/>
          </w:tcPr>
          <w:p>
            <w:pPr>
              <w:pStyle w:val="TableContents"/>
              <w:bidi w:val="0"/>
              <w:spacing w:before="0" w:after="283"/>
              <w:jc w:val="left"/>
              <w:rPr/>
            </w:pPr>
            <w:r>
              <w:rPr/>
              <w:t>Loss attributable to non-controlling interest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2</w:t>
            </w:r>
          </w:p>
        </w:tc>
        <w:tc>
          <w:tcPr>
            <w:tcW w:w="110"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Net (loss) income attributable to Agrify Corporation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(18,651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(17,387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(19,224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495" w:type="dxa"/>
            <w:tcBorders/>
            <w:vAlign w:val="center"/>
          </w:tcPr>
          <w:p>
            <w:pPr>
              <w:pStyle w:val="TableContents"/>
              <w:bidi w:val="0"/>
              <w:spacing w:before="0" w:after="283"/>
              <w:jc w:val="left"/>
              <w:rPr/>
            </w:pPr>
            <w:r>
              <w:rPr/>
              <w:t>Net (loss) income per share attributable to Common Stockholders – basic (1)</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(17.31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(19.02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(16.82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tcMar>
              <w:bottom w:w="28" w:type="dxa"/>
            </w:tcMar>
            <w:vAlign w:val="center"/>
          </w:tcPr>
          <w:p>
            <w:pPr>
              <w:pStyle w:val="TableContents"/>
              <w:bidi w:val="0"/>
              <w:spacing w:before="0" w:after="283"/>
              <w:jc w:val="right"/>
              <w:rPr/>
            </w:pPr>
            <w:r>
              <w:rPr/>
              <w:t>(202.21</w:t>
            </w:r>
          </w:p>
        </w:tc>
        <w:tc>
          <w:tcPr>
            <w:tcW w:w="110" w:type="dxa"/>
            <w:tcBorders/>
            <w:vAlign w:val="center"/>
          </w:tcPr>
          <w:p>
            <w:pPr>
              <w:pStyle w:val="TableContents"/>
              <w:bidi w:val="0"/>
              <w:spacing w:before="0" w:after="283"/>
              <w:jc w:val="left"/>
              <w:rPr/>
            </w:pPr>
            <w:r>
              <w:rPr/>
              <w:t>)</w:t>
            </w:r>
          </w:p>
        </w:tc>
      </w:tr>
      <w:tr>
        <w:trPr/>
        <w:tc>
          <w:tcPr>
            <w:tcW w:w="5495" w:type="dxa"/>
            <w:tcBorders/>
            <w:shd w:fill="CCEEFF" w:val="clear"/>
            <w:vAlign w:val="center"/>
          </w:tcPr>
          <w:p>
            <w:pPr>
              <w:pStyle w:val="TableContents"/>
              <w:bidi w:val="0"/>
              <w:spacing w:before="0" w:after="283"/>
              <w:jc w:val="left"/>
              <w:rPr/>
            </w:pPr>
            <w:r>
              <w:rPr/>
              <w:t>Weighted average common shares outstanding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1,077,780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109,983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1,033,582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95,068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provide our customers with a variety of products to address their entire indoor agriculture needs. Our core product offering includes our VFUs and Agrify Integrated Grow Racks with our Agrify Insights™ software, which are supplemented with environmental control products, grow lights, facility build-out services and extraction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sales of cultivation solutions, including ancillary products and services, Agrify Insights™ software, facility build-outs and extraction equipment and solutions. We believe that our product mix form an integrated ecosystem which allows us to be engaged with our potential customers from early stages of the grow cycle — first during the facility build-out; to the choice of cultivation solutions, running the grow business with our Agrify Insights™ software and finally, our extraction, post-processing and testing services to transform harvest into a sellable product. We believe that delivery of each solution in the various stages in the process will generate sales of additional solutions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breakdown of our revenue for the three and nine months ended September 30, 2024 and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9"/>
        <w:gridCol w:w="60"/>
        <w:gridCol w:w="146"/>
        <w:gridCol w:w="586"/>
        <w:gridCol w:w="99"/>
        <w:gridCol w:w="62"/>
        <w:gridCol w:w="146"/>
        <w:gridCol w:w="586"/>
        <w:gridCol w:w="95"/>
        <w:gridCol w:w="60"/>
        <w:gridCol w:w="147"/>
        <w:gridCol w:w="668"/>
        <w:gridCol w:w="95"/>
        <w:gridCol w:w="60"/>
        <w:gridCol w:w="152"/>
        <w:gridCol w:w="963"/>
        <w:gridCol w:w="224"/>
        <w:gridCol w:w="60"/>
        <w:gridCol w:w="142"/>
        <w:gridCol w:w="646"/>
        <w:gridCol w:w="96"/>
        <w:gridCol w:w="61"/>
        <w:gridCol w:w="142"/>
        <w:gridCol w:w="692"/>
        <w:gridCol w:w="95"/>
        <w:gridCol w:w="60"/>
        <w:gridCol w:w="147"/>
        <w:gridCol w:w="668"/>
        <w:gridCol w:w="95"/>
        <w:gridCol w:w="60"/>
        <w:gridCol w:w="129"/>
        <w:gridCol w:w="986"/>
        <w:gridCol w:w="248"/>
      </w:tblGrid>
      <w:tr>
        <w:trPr/>
        <w:tc>
          <w:tcPr>
            <w:tcW w:w="1729"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6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2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248" w:type="dxa"/>
            <w:tcBorders/>
            <w:vAlign w:val="center"/>
          </w:tcPr>
          <w:p>
            <w:pPr>
              <w:pStyle w:val="TableContents"/>
              <w:bidi w:val="0"/>
              <w:spacing w:before="0" w:after="283"/>
              <w:ind w:left="0" w:right="0" w:hanging="180"/>
              <w:jc w:val="center"/>
              <w:rPr/>
            </w:pPr>
            <w:r>
              <w:rPr/>
              <w:t> </w:t>
            </w:r>
          </w:p>
        </w:tc>
      </w:tr>
      <w:tr>
        <w:trPr/>
        <w:tc>
          <w:tcPr>
            <w:tcW w:w="1729"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7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48" w:type="dxa"/>
            <w:tcBorders/>
            <w:vAlign w:val="center"/>
          </w:tcPr>
          <w:p>
            <w:pPr>
              <w:pStyle w:val="TableContents"/>
              <w:bidi w:val="0"/>
              <w:spacing w:before="0" w:after="283"/>
              <w:ind w:left="0" w:right="0" w:hanging="180"/>
              <w:jc w:val="left"/>
              <w:rPr/>
            </w:pPr>
            <w:r>
              <w:rPr/>
              <w:t> </w:t>
            </w:r>
          </w:p>
        </w:tc>
      </w:tr>
      <w:tr>
        <w:trPr/>
        <w:tc>
          <w:tcPr>
            <w:tcW w:w="1729" w:type="dxa"/>
            <w:tcBorders/>
            <w:shd w:fill="CCEEFF" w:val="clear"/>
            <w:vAlign w:val="center"/>
          </w:tcPr>
          <w:p>
            <w:pPr>
              <w:pStyle w:val="TableContents"/>
              <w:bidi w:val="0"/>
              <w:spacing w:before="0" w:after="283"/>
              <w:jc w:val="left"/>
              <w:rPr/>
            </w:pPr>
            <w:r>
              <w:rPr/>
              <w:t>Cultivation solutions, including ancillary products and services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586" w:type="dxa"/>
            <w:tcBorders/>
            <w:shd w:fill="CCEEFF" w:val="clear"/>
            <w:vAlign w:val="center"/>
          </w:tcPr>
          <w:p>
            <w:pPr>
              <w:pStyle w:val="TableContents"/>
              <w:bidi w:val="0"/>
              <w:spacing w:before="0" w:after="283"/>
              <w:jc w:val="right"/>
              <w:rPr/>
            </w:pPr>
            <w:r>
              <w:rPr/>
              <w:t>281</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586" w:type="dxa"/>
            <w:tcBorders/>
            <w:shd w:fill="CCEEFF" w:val="clear"/>
            <w:vAlign w:val="center"/>
          </w:tcPr>
          <w:p>
            <w:pPr>
              <w:pStyle w:val="TableContents"/>
              <w:bidi w:val="0"/>
              <w:spacing w:before="0" w:after="283"/>
              <w:jc w:val="right"/>
              <w:rPr/>
            </w:pPr>
            <w:r>
              <w:rPr/>
              <w:t>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143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104</w:t>
            </w:r>
          </w:p>
        </w:tc>
        <w:tc>
          <w:tcPr>
            <w:tcW w:w="22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646" w:type="dxa"/>
            <w:tcBorders/>
            <w:shd w:fill="CCEEFF" w:val="clear"/>
            <w:vAlign w:val="center"/>
          </w:tcPr>
          <w:p>
            <w:pPr>
              <w:pStyle w:val="TableContents"/>
              <w:bidi w:val="0"/>
              <w:spacing w:before="0" w:after="283"/>
              <w:jc w:val="right"/>
              <w:rPr/>
            </w:pPr>
            <w:r>
              <w:rPr/>
              <w:t>1,719</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692" w:type="dxa"/>
            <w:tcBorders/>
            <w:shd w:fill="CCEEFF" w:val="clear"/>
            <w:vAlign w:val="center"/>
          </w:tcPr>
          <w:p>
            <w:pPr>
              <w:pStyle w:val="TableContents"/>
              <w:bidi w:val="0"/>
              <w:spacing w:before="0" w:after="283"/>
              <w:jc w:val="right"/>
              <w:rPr/>
            </w:pPr>
            <w:r>
              <w:rPr/>
              <w:t>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1,086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172</w:t>
            </w:r>
          </w:p>
        </w:tc>
        <w:tc>
          <w:tcPr>
            <w:tcW w:w="248" w:type="dxa"/>
            <w:tcBorders/>
            <w:shd w:fill="CCEEFF" w:val="clear"/>
            <w:vAlign w:val="center"/>
          </w:tcPr>
          <w:p>
            <w:pPr>
              <w:pStyle w:val="TableContents"/>
              <w:bidi w:val="0"/>
              <w:spacing w:before="0" w:after="283"/>
              <w:ind w:left="0" w:right="0" w:hanging="180"/>
              <w:jc w:val="left"/>
              <w:rPr/>
            </w:pPr>
            <w:r>
              <w:rPr/>
              <w:t>%</w:t>
            </w:r>
          </w:p>
        </w:tc>
      </w:tr>
      <w:tr>
        <w:trPr/>
        <w:tc>
          <w:tcPr>
            <w:tcW w:w="1729" w:type="dxa"/>
            <w:tcBorders/>
            <w:vAlign w:val="center"/>
          </w:tcPr>
          <w:p>
            <w:pPr>
              <w:pStyle w:val="TableContents"/>
              <w:bidi w:val="0"/>
              <w:spacing w:before="0" w:after="283"/>
              <w:jc w:val="left"/>
              <w:rPr/>
            </w:pPr>
            <w:r>
              <w:rPr/>
              <w:t>Agrify Insights™ software</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70</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12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21</w:t>
            </w:r>
          </w:p>
        </w:tc>
        <w:tc>
          <w:tcPr>
            <w:tcW w:w="22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200</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right"/>
              <w:rPr/>
            </w:pPr>
            <w:r>
              <w:rPr/>
              <w:t>123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77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63</w:t>
            </w:r>
          </w:p>
        </w:tc>
        <w:tc>
          <w:tcPr>
            <w:tcW w:w="248" w:type="dxa"/>
            <w:tcBorders/>
            <w:vAlign w:val="center"/>
          </w:tcPr>
          <w:p>
            <w:pPr>
              <w:pStyle w:val="TableContents"/>
              <w:bidi w:val="0"/>
              <w:spacing w:before="0" w:after="283"/>
              <w:ind w:left="0" w:right="0" w:hanging="180"/>
              <w:jc w:val="left"/>
              <w:rPr/>
            </w:pPr>
            <w:r>
              <w:rPr/>
              <w:t>%</w:t>
            </w:r>
          </w:p>
        </w:tc>
      </w:tr>
      <w:tr>
        <w:trPr/>
        <w:tc>
          <w:tcPr>
            <w:tcW w:w="1729" w:type="dxa"/>
            <w:tcBorders/>
            <w:shd w:fill="CCEEFF" w:val="clear"/>
            <w:vAlign w:val="center"/>
          </w:tcPr>
          <w:p>
            <w:pPr>
              <w:pStyle w:val="TableContents"/>
              <w:bidi w:val="0"/>
              <w:spacing w:before="0" w:after="283"/>
              <w:jc w:val="left"/>
              <w:rPr/>
            </w:pPr>
            <w:r>
              <w:rPr/>
              <w:t>Facility build-outs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0</w:t>
            </w:r>
          </w:p>
        </w:tc>
        <w:tc>
          <w:tcPr>
            <w:tcW w:w="22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(882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(100</w:t>
            </w:r>
          </w:p>
        </w:tc>
        <w:tc>
          <w:tcPr>
            <w:tcW w:w="248" w:type="dxa"/>
            <w:tcBorders/>
            <w:shd w:fill="CCEEFF" w:val="clear"/>
            <w:vAlign w:val="center"/>
          </w:tcPr>
          <w:p>
            <w:pPr>
              <w:pStyle w:val="TableContents"/>
              <w:bidi w:val="0"/>
              <w:spacing w:before="0" w:after="283"/>
              <w:ind w:left="0" w:right="0" w:hanging="180"/>
              <w:jc w:val="left"/>
              <w:rPr/>
            </w:pPr>
            <w:r>
              <w:rPr/>
              <w:t>)%</w:t>
            </w:r>
          </w:p>
        </w:tc>
      </w:tr>
      <w:tr>
        <w:trPr/>
        <w:tc>
          <w:tcPr>
            <w:tcW w:w="1729" w:type="dxa"/>
            <w:tcBorders/>
            <w:vAlign w:val="center"/>
          </w:tcPr>
          <w:p>
            <w:pPr>
              <w:pStyle w:val="TableContents"/>
              <w:bidi w:val="0"/>
              <w:spacing w:before="0" w:after="283"/>
              <w:jc w:val="left"/>
              <w:rPr/>
            </w:pPr>
            <w:r>
              <w:rPr/>
              <w:t>Extraction solutions</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2,171</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3,335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(1,164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(35</w:t>
            </w:r>
          </w:p>
        </w:tc>
        <w:tc>
          <w:tcPr>
            <w:tcW w:w="22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7,737</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right"/>
              <w:rPr/>
            </w:pPr>
            <w:r>
              <w:rPr/>
              <w:t>13,499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(5,762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(43</w:t>
            </w:r>
          </w:p>
        </w:tc>
        <w:tc>
          <w:tcPr>
            <w:tcW w:w="248" w:type="dxa"/>
            <w:tcBorders/>
            <w:vAlign w:val="center"/>
          </w:tcPr>
          <w:p>
            <w:pPr>
              <w:pStyle w:val="TableContents"/>
              <w:bidi w:val="0"/>
              <w:spacing w:before="0" w:after="283"/>
              <w:ind w:left="0" w:right="0" w:hanging="180"/>
              <w:jc w:val="left"/>
              <w:rPr/>
            </w:pPr>
            <w:r>
              <w:rPr/>
              <w:t>)%</w:t>
            </w:r>
          </w:p>
        </w:tc>
      </w:tr>
      <w:tr>
        <w:trPr/>
        <w:tc>
          <w:tcPr>
            <w:tcW w:w="1729" w:type="dxa"/>
            <w:tcBorders/>
            <w:shd w:fill="CCEEFF" w:val="clear"/>
            <w:vAlign w:val="center"/>
          </w:tcPr>
          <w:p>
            <w:pPr>
              <w:pStyle w:val="TableContents"/>
              <w:bidi w:val="0"/>
              <w:spacing w:before="0" w:after="283"/>
              <w:jc w:val="left"/>
              <w:rPr/>
            </w:pPr>
            <w:r>
              <w:rPr/>
              <w:t>Sales discounts on cultivation and extraction solutions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6" w:type="dxa"/>
            <w:tcBorders>
              <w:bottom w:val="single" w:sz="12" w:space="0" w:color="000000"/>
            </w:tcBorders>
            <w:shd w:fill="CCEEFF" w:val="clear"/>
            <w:tcMar>
              <w:bottom w:w="28" w:type="dxa"/>
            </w:tcMar>
            <w:vAlign w:val="center"/>
          </w:tcPr>
          <w:p>
            <w:pPr>
              <w:pStyle w:val="TableContents"/>
              <w:bidi w:val="0"/>
              <w:spacing w:before="0" w:after="283"/>
              <w:jc w:val="right"/>
              <w:rPr/>
            </w:pPr>
            <w:r>
              <w:rPr/>
              <w:t>(588</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6" w:type="dxa"/>
            <w:tcBorders>
              <w:bottom w:val="single" w:sz="12" w:space="0" w:color="000000"/>
            </w:tcBorders>
            <w:shd w:fill="CCEEFF" w:val="clear"/>
            <w:tcMar>
              <w:bottom w:w="28" w:type="dxa"/>
            </w:tcMar>
            <w:vAlign w:val="center"/>
          </w:tcPr>
          <w:p>
            <w:pPr>
              <w:pStyle w:val="TableContents"/>
              <w:bidi w:val="0"/>
              <w:spacing w:before="0" w:after="283"/>
              <w:jc w:val="right"/>
              <w:rPr/>
            </w:pPr>
            <w:r>
              <w:rPr/>
              <w:t>(392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center"/>
          </w:tcPr>
          <w:p>
            <w:pPr>
              <w:pStyle w:val="TableContents"/>
              <w:bidi w:val="0"/>
              <w:spacing w:before="0" w:after="283"/>
              <w:jc w:val="right"/>
              <w:rPr/>
            </w:pPr>
            <w:r>
              <w:rPr/>
              <w:t>(196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pPr>
            <w:r>
              <w:rPr/>
              <w:t>(50</w:t>
            </w:r>
          </w:p>
        </w:tc>
        <w:tc>
          <w:tcPr>
            <w:tcW w:w="22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6" w:type="dxa"/>
            <w:tcBorders>
              <w:bottom w:val="single" w:sz="12" w:space="0" w:color="000000"/>
            </w:tcBorders>
            <w:shd w:fill="CCEEFF" w:val="clear"/>
            <w:tcMar>
              <w:bottom w:w="28" w:type="dxa"/>
            </w:tcMar>
            <w:vAlign w:val="center"/>
          </w:tcPr>
          <w:p>
            <w:pPr>
              <w:pStyle w:val="TableContents"/>
              <w:bidi w:val="0"/>
              <w:spacing w:before="0" w:after="283"/>
              <w:jc w:val="right"/>
              <w:rPr/>
            </w:pPr>
            <w:r>
              <w:rPr/>
              <w:t>(2,130</w:t>
            </w:r>
          </w:p>
        </w:tc>
        <w:tc>
          <w:tcPr>
            <w:tcW w:w="96"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2" w:type="dxa"/>
            <w:tcBorders>
              <w:bottom w:val="single" w:sz="12" w:space="0" w:color="000000"/>
            </w:tcBorders>
            <w:shd w:fill="CCEEFF" w:val="clear"/>
            <w:tcMar>
              <w:bottom w:w="28" w:type="dxa"/>
            </w:tcMar>
            <w:vAlign w:val="center"/>
          </w:tcPr>
          <w:p>
            <w:pPr>
              <w:pStyle w:val="TableContents"/>
              <w:bidi w:val="0"/>
              <w:spacing w:before="0" w:after="283"/>
              <w:jc w:val="right"/>
              <w:rPr/>
            </w:pPr>
            <w:r>
              <w:rPr/>
              <w:t>(1,128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center"/>
          </w:tcPr>
          <w:p>
            <w:pPr>
              <w:pStyle w:val="TableContents"/>
              <w:bidi w:val="0"/>
              <w:spacing w:before="0" w:after="283"/>
              <w:jc w:val="right"/>
              <w:rPr/>
            </w:pPr>
            <w:r>
              <w:rPr/>
              <w:t>(1,002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89</w:t>
            </w:r>
          </w:p>
        </w:tc>
        <w:tc>
          <w:tcPr>
            <w:tcW w:w="248" w:type="dxa"/>
            <w:tcBorders/>
            <w:shd w:fill="CCEEFF" w:val="clear"/>
            <w:vAlign w:val="center"/>
          </w:tcPr>
          <w:p>
            <w:pPr>
              <w:pStyle w:val="TableContents"/>
              <w:bidi w:val="0"/>
              <w:spacing w:before="0" w:after="283"/>
              <w:ind w:left="0" w:right="0" w:hanging="180"/>
              <w:jc w:val="left"/>
              <w:rPr/>
            </w:pPr>
            <w:r>
              <w:rPr/>
              <w:t>%</w:t>
            </w:r>
          </w:p>
        </w:tc>
      </w:tr>
      <w:tr>
        <w:trPr/>
        <w:tc>
          <w:tcPr>
            <w:tcW w:w="1729" w:type="dxa"/>
            <w:tcBorders/>
            <w:vAlign w:val="center"/>
          </w:tcPr>
          <w:p>
            <w:pPr>
              <w:pStyle w:val="TableContents"/>
              <w:bidi w:val="0"/>
              <w:spacing w:before="0" w:after="283"/>
              <w:jc w:val="left"/>
              <w:rPr/>
            </w:pPr>
            <w:r>
              <w:rPr/>
              <w:t>Total revenue</w:t>
            </w:r>
          </w:p>
        </w:tc>
        <w:tc>
          <w:tcPr>
            <w:tcW w:w="60" w:type="dxa"/>
            <w:tcBorders/>
            <w:vAlign w:val="center"/>
          </w:tcPr>
          <w:p>
            <w:pPr>
              <w:pStyle w:val="TableContents"/>
              <w:bidi w:val="0"/>
              <w:spacing w:before="0" w:after="283"/>
              <w:jc w:val="left"/>
              <w:rPr/>
            </w:pPr>
            <w:r>
              <w:rPr/>
              <w:t> </w:t>
            </w:r>
          </w:p>
        </w:tc>
        <w:tc>
          <w:tcPr>
            <w:tcW w:w="146" w:type="dxa"/>
            <w:tcBorders>
              <w:bottom w:val="double" w:sz="10" w:space="0" w:color="000000"/>
            </w:tcBorders>
            <w:tcMar>
              <w:bottom w:w="28" w:type="dxa"/>
            </w:tcMar>
            <w:vAlign w:val="center"/>
          </w:tcPr>
          <w:p>
            <w:pPr>
              <w:pStyle w:val="TableContents"/>
              <w:bidi w:val="0"/>
              <w:spacing w:before="0" w:after="283"/>
              <w:jc w:val="left"/>
              <w:rPr/>
            </w:pPr>
            <w:r>
              <w:rPr/>
              <w:t>$</w:t>
            </w:r>
          </w:p>
        </w:tc>
        <w:tc>
          <w:tcPr>
            <w:tcW w:w="586" w:type="dxa"/>
            <w:tcBorders>
              <w:bottom w:val="double" w:sz="10" w:space="0" w:color="000000"/>
            </w:tcBorders>
            <w:tcMar>
              <w:bottom w:w="28" w:type="dxa"/>
            </w:tcMar>
            <w:vAlign w:val="center"/>
          </w:tcPr>
          <w:p>
            <w:pPr>
              <w:pStyle w:val="TableContents"/>
              <w:bidi w:val="0"/>
              <w:spacing w:before="0" w:after="283"/>
              <w:jc w:val="right"/>
              <w:rPr/>
            </w:pPr>
            <w:r>
              <w:rPr/>
              <w:t>1,934</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6" w:type="dxa"/>
            <w:tcBorders>
              <w:bottom w:val="double" w:sz="10" w:space="0" w:color="000000"/>
            </w:tcBorders>
            <w:tcMar>
              <w:bottom w:w="28" w:type="dxa"/>
            </w:tcMar>
            <w:vAlign w:val="center"/>
          </w:tcPr>
          <w:p>
            <w:pPr>
              <w:pStyle w:val="TableContents"/>
              <w:bidi w:val="0"/>
              <w:spacing w:before="0" w:after="283"/>
              <w:jc w:val="left"/>
              <w:rPr/>
            </w:pPr>
            <w:r>
              <w:rPr/>
              <w:t>$</w:t>
            </w:r>
          </w:p>
        </w:tc>
        <w:tc>
          <w:tcPr>
            <w:tcW w:w="586" w:type="dxa"/>
            <w:tcBorders>
              <w:bottom w:val="double" w:sz="10" w:space="0" w:color="000000"/>
            </w:tcBorders>
            <w:tcMar>
              <w:bottom w:w="28" w:type="dxa"/>
            </w:tcMar>
            <w:vAlign w:val="center"/>
          </w:tcPr>
          <w:p>
            <w:pPr>
              <w:pStyle w:val="TableContents"/>
              <w:bidi w:val="0"/>
              <w:spacing w:before="0" w:after="283"/>
              <w:jc w:val="right"/>
              <w:rPr/>
            </w:pPr>
            <w:r>
              <w:rPr/>
              <w:t>3,139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bottom w:val="double" w:sz="10" w:space="0" w:color="000000"/>
            </w:tcBorders>
            <w:tcMar>
              <w:bottom w:w="28" w:type="dxa"/>
            </w:tcMar>
            <w:vAlign w:val="center"/>
          </w:tcPr>
          <w:p>
            <w:pPr>
              <w:pStyle w:val="TableContents"/>
              <w:bidi w:val="0"/>
              <w:spacing w:before="0" w:after="283"/>
              <w:jc w:val="left"/>
              <w:rPr/>
            </w:pPr>
            <w:r>
              <w:rPr/>
              <w:t>$</w:t>
            </w:r>
          </w:p>
        </w:tc>
        <w:tc>
          <w:tcPr>
            <w:tcW w:w="668" w:type="dxa"/>
            <w:tcBorders>
              <w:bottom w:val="double" w:sz="10" w:space="0" w:color="000000"/>
            </w:tcBorders>
            <w:tcMar>
              <w:bottom w:w="28" w:type="dxa"/>
            </w:tcMar>
            <w:vAlign w:val="center"/>
          </w:tcPr>
          <w:p>
            <w:pPr>
              <w:pStyle w:val="TableContents"/>
              <w:bidi w:val="0"/>
              <w:spacing w:before="0" w:after="283"/>
              <w:jc w:val="right"/>
              <w:rPr/>
            </w:pPr>
            <w:r>
              <w:rPr/>
              <w:t>(1,205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2" w:type="dxa"/>
            <w:tcBorders>
              <w:bottom w:val="double" w:sz="10" w:space="0" w:color="000000"/>
            </w:tcBorders>
            <w:tcMar>
              <w:bottom w:w="28" w:type="dxa"/>
            </w:tcMar>
            <w:vAlign w:val="center"/>
          </w:tcPr>
          <w:p>
            <w:pPr>
              <w:pStyle w:val="TableContents"/>
              <w:bidi w:val="0"/>
              <w:spacing w:before="0" w:after="283"/>
              <w:jc w:val="left"/>
              <w:rPr/>
            </w:pPr>
            <w:r>
              <w:rPr/>
              <w:t> </w:t>
            </w:r>
          </w:p>
        </w:tc>
        <w:tc>
          <w:tcPr>
            <w:tcW w:w="963" w:type="dxa"/>
            <w:tcBorders>
              <w:bottom w:val="double" w:sz="10" w:space="0" w:color="000000"/>
            </w:tcBorders>
            <w:tcMar>
              <w:bottom w:w="28" w:type="dxa"/>
            </w:tcMar>
            <w:vAlign w:val="center"/>
          </w:tcPr>
          <w:p>
            <w:pPr>
              <w:pStyle w:val="TableContents"/>
              <w:bidi w:val="0"/>
              <w:spacing w:before="0" w:after="283"/>
              <w:jc w:val="right"/>
              <w:rPr/>
            </w:pPr>
            <w:r>
              <w:rPr/>
              <w:t>(38</w:t>
            </w:r>
          </w:p>
        </w:tc>
        <w:tc>
          <w:tcPr>
            <w:tcW w:w="22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2" w:type="dxa"/>
            <w:tcBorders>
              <w:bottom w:val="double" w:sz="10" w:space="0" w:color="000000"/>
            </w:tcBorders>
            <w:tcMar>
              <w:bottom w:w="28" w:type="dxa"/>
            </w:tcMar>
            <w:vAlign w:val="center"/>
          </w:tcPr>
          <w:p>
            <w:pPr>
              <w:pStyle w:val="TableContents"/>
              <w:bidi w:val="0"/>
              <w:spacing w:before="0" w:after="283"/>
              <w:jc w:val="left"/>
              <w:rPr/>
            </w:pPr>
            <w:r>
              <w:rPr/>
              <w:t>$</w:t>
            </w:r>
          </w:p>
        </w:tc>
        <w:tc>
          <w:tcPr>
            <w:tcW w:w="646" w:type="dxa"/>
            <w:tcBorders>
              <w:bottom w:val="double" w:sz="10" w:space="0" w:color="000000"/>
            </w:tcBorders>
            <w:tcMar>
              <w:bottom w:w="28" w:type="dxa"/>
            </w:tcMar>
            <w:vAlign w:val="center"/>
          </w:tcPr>
          <w:p>
            <w:pPr>
              <w:pStyle w:val="TableContents"/>
              <w:bidi w:val="0"/>
              <w:spacing w:before="0" w:after="283"/>
              <w:jc w:val="right"/>
              <w:rPr/>
            </w:pPr>
            <w:r>
              <w:rPr/>
              <w:t>7,526</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2" w:type="dxa"/>
            <w:tcBorders>
              <w:bottom w:val="double" w:sz="10" w:space="0" w:color="000000"/>
            </w:tcBorders>
            <w:tcMar>
              <w:bottom w:w="28" w:type="dxa"/>
            </w:tcMar>
            <w:vAlign w:val="center"/>
          </w:tcPr>
          <w:p>
            <w:pPr>
              <w:pStyle w:val="TableContents"/>
              <w:bidi w:val="0"/>
              <w:spacing w:before="0" w:after="283"/>
              <w:jc w:val="left"/>
              <w:rPr/>
            </w:pPr>
            <w:r>
              <w:rPr/>
              <w:t>$</w:t>
            </w:r>
          </w:p>
        </w:tc>
        <w:tc>
          <w:tcPr>
            <w:tcW w:w="692" w:type="dxa"/>
            <w:tcBorders>
              <w:bottom w:val="double" w:sz="10" w:space="0" w:color="000000"/>
            </w:tcBorders>
            <w:tcMar>
              <w:bottom w:w="28" w:type="dxa"/>
            </w:tcMar>
            <w:vAlign w:val="center"/>
          </w:tcPr>
          <w:p>
            <w:pPr>
              <w:pStyle w:val="TableContents"/>
              <w:bidi w:val="0"/>
              <w:spacing w:before="0" w:after="283"/>
              <w:jc w:val="right"/>
              <w:rPr/>
            </w:pPr>
            <w:r>
              <w:rPr/>
              <w:t>14,009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bottom w:val="double" w:sz="10" w:space="0" w:color="000000"/>
            </w:tcBorders>
            <w:tcMar>
              <w:bottom w:w="28" w:type="dxa"/>
            </w:tcMar>
            <w:vAlign w:val="center"/>
          </w:tcPr>
          <w:p>
            <w:pPr>
              <w:pStyle w:val="TableContents"/>
              <w:bidi w:val="0"/>
              <w:spacing w:before="0" w:after="283"/>
              <w:jc w:val="left"/>
              <w:rPr/>
            </w:pPr>
            <w:r>
              <w:rPr/>
              <w:t>$</w:t>
            </w:r>
          </w:p>
        </w:tc>
        <w:tc>
          <w:tcPr>
            <w:tcW w:w="668" w:type="dxa"/>
            <w:tcBorders>
              <w:bottom w:val="double" w:sz="10" w:space="0" w:color="000000"/>
            </w:tcBorders>
            <w:tcMar>
              <w:bottom w:w="28" w:type="dxa"/>
            </w:tcMar>
            <w:vAlign w:val="center"/>
          </w:tcPr>
          <w:p>
            <w:pPr>
              <w:pStyle w:val="TableContents"/>
              <w:bidi w:val="0"/>
              <w:spacing w:before="0" w:after="283"/>
              <w:jc w:val="right"/>
              <w:rPr/>
            </w:pPr>
            <w:r>
              <w:rPr/>
              <w:t>(6,483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9" w:type="dxa"/>
            <w:tcBorders>
              <w:bottom w:val="double" w:sz="10" w:space="0" w:color="000000"/>
            </w:tcBorders>
            <w:tcMar>
              <w:bottom w:w="28" w:type="dxa"/>
            </w:tcMar>
            <w:vAlign w:val="center"/>
          </w:tcPr>
          <w:p>
            <w:pPr>
              <w:pStyle w:val="TableContents"/>
              <w:bidi w:val="0"/>
              <w:spacing w:before="0" w:after="283"/>
              <w:jc w:val="left"/>
              <w:rPr/>
            </w:pPr>
            <w:r>
              <w:rPr/>
              <w:t> </w:t>
            </w:r>
          </w:p>
        </w:tc>
        <w:tc>
          <w:tcPr>
            <w:tcW w:w="986" w:type="dxa"/>
            <w:tcBorders>
              <w:bottom w:val="double" w:sz="10" w:space="0" w:color="000000"/>
            </w:tcBorders>
            <w:tcMar>
              <w:bottom w:w="28" w:type="dxa"/>
            </w:tcMar>
            <w:vAlign w:val="center"/>
          </w:tcPr>
          <w:p>
            <w:pPr>
              <w:pStyle w:val="TableContents"/>
              <w:bidi w:val="0"/>
              <w:spacing w:before="0" w:after="283"/>
              <w:jc w:val="right"/>
              <w:rPr/>
            </w:pPr>
            <w:r>
              <w:rPr/>
              <w:t>(46</w:t>
            </w:r>
          </w:p>
        </w:tc>
        <w:tc>
          <w:tcPr>
            <w:tcW w:w="248"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decreased by $1.2 million, or 38%, for the three months ended September 30, 2024 compared to the same period in 2023. Revenues decreased by $6.4 million, or 46%, for the nine months ended September 30, 2024 compared to the same period in 2023. The comparative decrease in revenue was generated primarily from decreases in revenue from facility build-outs and extraction solutions. Extraction division revenues decreased by $1.2 million and $5.8 million for the three and nine months ended September 30, 2024, respectively, primarily due to changes in contract terms with customers which expedited cash flows but reduced overall demand. Additionally, design and build revenues decreased by $0 and $0.9 million for the three and nine months ended September 30, 2024, respectively due to the discontinued build-out of facilities under our TTK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breakdown of our cost of goods sold for the three and nine months ended September 30, 2024 and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9"/>
        <w:gridCol w:w="60"/>
        <w:gridCol w:w="149"/>
        <w:gridCol w:w="596"/>
        <w:gridCol w:w="63"/>
        <w:gridCol w:w="63"/>
        <w:gridCol w:w="149"/>
        <w:gridCol w:w="596"/>
        <w:gridCol w:w="60"/>
        <w:gridCol w:w="60"/>
        <w:gridCol w:w="191"/>
        <w:gridCol w:w="624"/>
        <w:gridCol w:w="95"/>
        <w:gridCol w:w="60"/>
        <w:gridCol w:w="119"/>
        <w:gridCol w:w="996"/>
        <w:gridCol w:w="227"/>
        <w:gridCol w:w="60"/>
        <w:gridCol w:w="144"/>
        <w:gridCol w:w="579"/>
        <w:gridCol w:w="61"/>
        <w:gridCol w:w="61"/>
        <w:gridCol w:w="144"/>
        <w:gridCol w:w="703"/>
        <w:gridCol w:w="60"/>
        <w:gridCol w:w="60"/>
        <w:gridCol w:w="147"/>
        <w:gridCol w:w="668"/>
        <w:gridCol w:w="95"/>
        <w:gridCol w:w="60"/>
        <w:gridCol w:w="169"/>
        <w:gridCol w:w="946"/>
        <w:gridCol w:w="251"/>
      </w:tblGrid>
      <w:tr>
        <w:trPr/>
        <w:tc>
          <w:tcPr>
            <w:tcW w:w="188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6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ind w:left="0" w:right="0" w:hanging="180"/>
              <w:jc w:val="left"/>
              <w:rPr/>
            </w:pPr>
            <w:r>
              <w:rPr/>
              <w:t> </w:t>
            </w:r>
          </w:p>
        </w:tc>
      </w:tr>
      <w:tr>
        <w:trPr/>
        <w:tc>
          <w:tcPr>
            <w:tcW w:w="1889"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7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51" w:type="dxa"/>
            <w:tcBorders/>
            <w:vAlign w:val="center"/>
          </w:tcPr>
          <w:p>
            <w:pPr>
              <w:pStyle w:val="TableContents"/>
              <w:bidi w:val="0"/>
              <w:spacing w:before="0" w:after="283"/>
              <w:ind w:left="0" w:right="0" w:hanging="180"/>
              <w:jc w:val="left"/>
              <w:rPr/>
            </w:pPr>
            <w:r>
              <w:rPr/>
              <w:t> </w:t>
            </w:r>
          </w:p>
        </w:tc>
      </w:tr>
      <w:tr>
        <w:trPr/>
        <w:tc>
          <w:tcPr>
            <w:tcW w:w="1889" w:type="dxa"/>
            <w:tcBorders/>
            <w:shd w:fill="CCEEFF" w:val="clear"/>
            <w:vAlign w:val="center"/>
          </w:tcPr>
          <w:p>
            <w:pPr>
              <w:pStyle w:val="TableContents"/>
              <w:bidi w:val="0"/>
              <w:spacing w:before="0" w:after="283"/>
              <w:jc w:val="left"/>
              <w:rPr/>
            </w:pPr>
            <w:r>
              <w:rPr/>
              <w:t>Cultivation solutions, including ancillary products and services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596" w:type="dxa"/>
            <w:tcBorders/>
            <w:shd w:fill="CCEEFF" w:val="clear"/>
            <w:vAlign w:val="center"/>
          </w:tcPr>
          <w:p>
            <w:pPr>
              <w:pStyle w:val="TableContents"/>
              <w:bidi w:val="0"/>
              <w:spacing w:before="0" w:after="283"/>
              <w:jc w:val="right"/>
              <w:rPr/>
            </w:pPr>
            <w:r>
              <w:rPr/>
              <w:t>197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596" w:type="dxa"/>
            <w:tcBorders/>
            <w:shd w:fill="CCEEFF" w:val="clear"/>
            <w:vAlign w:val="center"/>
          </w:tcPr>
          <w:p>
            <w:pPr>
              <w:pStyle w:val="TableContents"/>
              <w:bidi w:val="0"/>
              <w:spacing w:before="0" w:after="283"/>
              <w:jc w:val="right"/>
              <w:rPr/>
            </w:pPr>
            <w:r>
              <w:rPr/>
              <w:t>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(359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(65</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579" w:type="dxa"/>
            <w:tcBorders/>
            <w:shd w:fill="CCEEFF" w:val="clear"/>
            <w:vAlign w:val="center"/>
          </w:tcPr>
          <w:p>
            <w:pPr>
              <w:pStyle w:val="TableContents"/>
              <w:bidi w:val="0"/>
              <w:spacing w:before="0" w:after="283"/>
              <w:jc w:val="right"/>
              <w:rPr/>
            </w:pPr>
            <w:r>
              <w:rPr/>
              <w:t>1,186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1,579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(393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(25</w:t>
            </w:r>
          </w:p>
        </w:tc>
        <w:tc>
          <w:tcPr>
            <w:tcW w:w="251" w:type="dxa"/>
            <w:tcBorders/>
            <w:shd w:fill="CCEEFF" w:val="clear"/>
            <w:vAlign w:val="center"/>
          </w:tcPr>
          <w:p>
            <w:pPr>
              <w:pStyle w:val="TableContents"/>
              <w:bidi w:val="0"/>
              <w:spacing w:before="0" w:after="283"/>
              <w:ind w:left="0" w:right="0" w:hanging="180"/>
              <w:jc w:val="left"/>
              <w:rPr/>
            </w:pPr>
            <w:r>
              <w:rPr/>
              <w:t>)%</w:t>
            </w:r>
          </w:p>
        </w:tc>
      </w:tr>
      <w:tr>
        <w:trPr/>
        <w:tc>
          <w:tcPr>
            <w:tcW w:w="1889" w:type="dxa"/>
            <w:tcBorders/>
            <w:vAlign w:val="center"/>
          </w:tcPr>
          <w:p>
            <w:pPr>
              <w:pStyle w:val="TableContents"/>
              <w:bidi w:val="0"/>
              <w:spacing w:before="0" w:after="283"/>
              <w:jc w:val="left"/>
              <w:rPr/>
            </w:pPr>
            <w:r>
              <w:rPr/>
              <w:t>Facility build-outs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36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right"/>
              <w:rPr/>
            </w:pPr>
            <w:r>
              <w:rPr/>
              <w:t>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1100</w:t>
            </w:r>
          </w:p>
        </w:tc>
        <w:tc>
          <w:tcPr>
            <w:tcW w:w="227"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right"/>
              <w:rPr/>
            </w:pPr>
            <w:r>
              <w:rPr/>
              <w:t>48</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right"/>
              <w:rPr/>
            </w:pPr>
            <w:r>
              <w:rPr/>
              <w:t>971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(923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(95</w:t>
            </w:r>
          </w:p>
        </w:tc>
        <w:tc>
          <w:tcPr>
            <w:tcW w:w="251" w:type="dxa"/>
            <w:tcBorders/>
            <w:vAlign w:val="center"/>
          </w:tcPr>
          <w:p>
            <w:pPr>
              <w:pStyle w:val="TableContents"/>
              <w:bidi w:val="0"/>
              <w:spacing w:before="0" w:after="283"/>
              <w:ind w:left="0" w:right="0" w:hanging="180"/>
              <w:jc w:val="left"/>
              <w:rPr/>
            </w:pPr>
            <w:r>
              <w:rPr/>
              <w:t>)%</w:t>
            </w:r>
          </w:p>
        </w:tc>
      </w:tr>
      <w:tr>
        <w:trPr/>
        <w:tc>
          <w:tcPr>
            <w:tcW w:w="1889" w:type="dxa"/>
            <w:tcBorders/>
            <w:shd w:fill="CCEEFF" w:val="clear"/>
            <w:vAlign w:val="center"/>
          </w:tcPr>
          <w:p>
            <w:pPr>
              <w:pStyle w:val="TableContents"/>
              <w:bidi w:val="0"/>
              <w:spacing w:before="0" w:after="283"/>
              <w:jc w:val="left"/>
              <w:rPr/>
            </w:pPr>
            <w:r>
              <w:rPr/>
              <w:t>Extraction solutions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CCEEFF" w:val="clear"/>
            <w:tcMar>
              <w:bottom w:w="28" w:type="dxa"/>
            </w:tcMar>
            <w:vAlign w:val="center"/>
          </w:tcPr>
          <w:p>
            <w:pPr>
              <w:pStyle w:val="TableContents"/>
              <w:bidi w:val="0"/>
              <w:spacing w:before="0" w:after="283"/>
              <w:jc w:val="right"/>
              <w:rPr/>
            </w:pPr>
            <w:r>
              <w:rPr/>
              <w:t>1,476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CCEEFF" w:val="clear"/>
            <w:tcMar>
              <w:bottom w:w="28" w:type="dxa"/>
            </w:tcMar>
            <w:vAlign w:val="center"/>
          </w:tcPr>
          <w:p>
            <w:pPr>
              <w:pStyle w:val="TableContents"/>
              <w:bidi w:val="0"/>
              <w:spacing w:before="0" w:after="283"/>
              <w:jc w:val="right"/>
              <w:rPr/>
            </w:pPr>
            <w:r>
              <w:rPr/>
              <w:t>1,606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4" w:type="dxa"/>
            <w:tcBorders>
              <w:bottom w:val="single" w:sz="12" w:space="0" w:color="000000"/>
            </w:tcBorders>
            <w:shd w:fill="CCEEFF" w:val="clear"/>
            <w:tcMar>
              <w:bottom w:w="28" w:type="dxa"/>
            </w:tcM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9" w:type="dxa"/>
            <w:tcBorders>
              <w:bottom w:val="single" w:sz="12" w:space="0" w:color="000000"/>
            </w:tcBorders>
            <w:shd w:fill="CCEEFF" w:val="clear"/>
            <w:tcMar>
              <w:bottom w:w="28" w:type="dxa"/>
            </w:tcMar>
            <w:vAlign w:val="center"/>
          </w:tcPr>
          <w:p>
            <w:pPr>
              <w:pStyle w:val="TableContents"/>
              <w:bidi w:val="0"/>
              <w:spacing w:before="0" w:after="283"/>
              <w:jc w:val="right"/>
              <w:rPr/>
            </w:pPr>
            <w:r>
              <w:rPr/>
              <w:t>4,775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3" w:type="dxa"/>
            <w:tcBorders>
              <w:bottom w:val="single" w:sz="12" w:space="0" w:color="000000"/>
            </w:tcBorders>
            <w:shd w:fill="CCEEFF" w:val="clear"/>
            <w:tcMar>
              <w:bottom w:w="28" w:type="dxa"/>
            </w:tcMar>
            <w:vAlign w:val="center"/>
          </w:tcPr>
          <w:p>
            <w:pPr>
              <w:pStyle w:val="TableContents"/>
              <w:bidi w:val="0"/>
              <w:spacing w:before="0" w:after="283"/>
              <w:jc w:val="right"/>
              <w:rPr/>
            </w:pPr>
            <w:r>
              <w:rPr/>
              <w:t>8,897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center"/>
          </w:tcPr>
          <w:p>
            <w:pPr>
              <w:pStyle w:val="TableContents"/>
              <w:bidi w:val="0"/>
              <w:spacing w:before="0" w:after="283"/>
              <w:jc w:val="right"/>
              <w:rPr/>
            </w:pPr>
            <w:r>
              <w:rPr/>
              <w:t>(4,122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shd w:fill="CCEEFF" w:val="clear"/>
            <w:tcMar>
              <w:bottom w:w="28" w:type="dxa"/>
            </w:tcMar>
            <w:vAlign w:val="center"/>
          </w:tcPr>
          <w:p>
            <w:pPr>
              <w:pStyle w:val="TableContents"/>
              <w:bidi w:val="0"/>
              <w:spacing w:before="0" w:after="283"/>
              <w:jc w:val="right"/>
              <w:rPr/>
            </w:pPr>
            <w:r>
              <w:rPr/>
              <w:t>(46</w:t>
            </w:r>
          </w:p>
        </w:tc>
        <w:tc>
          <w:tcPr>
            <w:tcW w:w="251" w:type="dxa"/>
            <w:tcBorders/>
            <w:shd w:fill="CCEEFF" w:val="clear"/>
            <w:vAlign w:val="center"/>
          </w:tcPr>
          <w:p>
            <w:pPr>
              <w:pStyle w:val="TableContents"/>
              <w:bidi w:val="0"/>
              <w:spacing w:before="0" w:after="283"/>
              <w:ind w:left="0" w:right="0" w:hanging="180"/>
              <w:jc w:val="left"/>
              <w:rPr/>
            </w:pPr>
            <w:r>
              <w:rPr/>
              <w:t>)%</w:t>
            </w:r>
          </w:p>
        </w:tc>
      </w:tr>
      <w:tr>
        <w:trPr/>
        <w:tc>
          <w:tcPr>
            <w:tcW w:w="1889" w:type="dxa"/>
            <w:tcBorders/>
            <w:vAlign w:val="center"/>
          </w:tcPr>
          <w:p>
            <w:pPr>
              <w:pStyle w:val="TableContents"/>
              <w:bidi w:val="0"/>
              <w:spacing w:before="0" w:after="283"/>
              <w:jc w:val="left"/>
              <w:rPr/>
            </w:pPr>
            <w:r>
              <w:rPr/>
              <w:t>Total cost of goods sold</w:t>
            </w:r>
          </w:p>
        </w:tc>
        <w:tc>
          <w:tcPr>
            <w:tcW w:w="60" w:type="dxa"/>
            <w:tcBorders/>
            <w:vAlign w:val="center"/>
          </w:tcPr>
          <w:p>
            <w:pPr>
              <w:pStyle w:val="TableContents"/>
              <w:bidi w:val="0"/>
              <w:spacing w:before="0" w:after="283"/>
              <w:jc w:val="left"/>
              <w:rPr/>
            </w:pPr>
            <w:r>
              <w:rPr/>
              <w:t> </w:t>
            </w:r>
          </w:p>
        </w:tc>
        <w:tc>
          <w:tcPr>
            <w:tcW w:w="149" w:type="dxa"/>
            <w:tcBorders>
              <w:bottom w:val="double" w:sz="10" w:space="0" w:color="000000"/>
            </w:tcBorders>
            <w:tcMar>
              <w:bottom w:w="28" w:type="dxa"/>
            </w:tcMar>
            <w:vAlign w:val="center"/>
          </w:tcPr>
          <w:p>
            <w:pPr>
              <w:pStyle w:val="TableContents"/>
              <w:bidi w:val="0"/>
              <w:spacing w:before="0" w:after="283"/>
              <w:jc w:val="left"/>
              <w:rPr/>
            </w:pPr>
            <w:r>
              <w:rPr/>
              <w:t>$</w:t>
            </w:r>
          </w:p>
        </w:tc>
        <w:tc>
          <w:tcPr>
            <w:tcW w:w="596" w:type="dxa"/>
            <w:tcBorders>
              <w:bottom w:val="double" w:sz="10" w:space="0" w:color="000000"/>
            </w:tcBorders>
            <w:tcMar>
              <w:bottom w:w="28" w:type="dxa"/>
            </w:tcMar>
            <w:vAlign w:val="center"/>
          </w:tcPr>
          <w:p>
            <w:pPr>
              <w:pStyle w:val="TableContents"/>
              <w:bidi w:val="0"/>
              <w:spacing w:before="0" w:after="283"/>
              <w:jc w:val="right"/>
              <w:rPr/>
            </w:pPr>
            <w:r>
              <w:rPr/>
              <w:t>1,709</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9" w:type="dxa"/>
            <w:tcBorders>
              <w:bottom w:val="double" w:sz="10" w:space="0" w:color="000000"/>
            </w:tcBorders>
            <w:tcMar>
              <w:bottom w:w="28" w:type="dxa"/>
            </w:tcMar>
            <w:vAlign w:val="center"/>
          </w:tcPr>
          <w:p>
            <w:pPr>
              <w:pStyle w:val="TableContents"/>
              <w:bidi w:val="0"/>
              <w:spacing w:before="0" w:after="283"/>
              <w:jc w:val="left"/>
              <w:rPr/>
            </w:pPr>
            <w:r>
              <w:rPr/>
              <w:t>$</w:t>
            </w:r>
          </w:p>
        </w:tc>
        <w:tc>
          <w:tcPr>
            <w:tcW w:w="596" w:type="dxa"/>
            <w:tcBorders>
              <w:bottom w:val="double" w:sz="10" w:space="0" w:color="000000"/>
            </w:tcBorders>
            <w:tcMar>
              <w:bottom w:w="28" w:type="dxa"/>
            </w:tcMar>
            <w:vAlign w:val="center"/>
          </w:tcPr>
          <w:p>
            <w:pPr>
              <w:pStyle w:val="TableContents"/>
              <w:bidi w:val="0"/>
              <w:spacing w:before="0" w:after="283"/>
              <w:jc w:val="right"/>
              <w:rPr/>
            </w:pPr>
            <w:r>
              <w:rPr/>
              <w:t>2,165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bottom w:val="double" w:sz="10" w:space="0" w:color="000000"/>
            </w:tcBorders>
            <w:tcMar>
              <w:bottom w:w="28" w:type="dxa"/>
            </w:tcMar>
            <w:vAlign w:val="center"/>
          </w:tcPr>
          <w:p>
            <w:pPr>
              <w:pStyle w:val="TableContents"/>
              <w:bidi w:val="0"/>
              <w:spacing w:before="0" w:after="283"/>
              <w:jc w:val="left"/>
              <w:rPr/>
            </w:pPr>
            <w:r>
              <w:rPr/>
              <w:t>$</w:t>
            </w:r>
          </w:p>
        </w:tc>
        <w:tc>
          <w:tcPr>
            <w:tcW w:w="624" w:type="dxa"/>
            <w:tcBorders>
              <w:bottom w:val="double" w:sz="10" w:space="0" w:color="000000"/>
            </w:tcBorders>
            <w:tcMar>
              <w:bottom w:w="28" w:type="dxa"/>
            </w:tcMar>
            <w:vAlign w:val="center"/>
          </w:tcPr>
          <w:p>
            <w:pPr>
              <w:pStyle w:val="TableContents"/>
              <w:bidi w:val="0"/>
              <w:spacing w:before="0" w:after="283"/>
              <w:jc w:val="right"/>
              <w:rPr/>
            </w:pPr>
            <w:r>
              <w:rPr/>
              <w:t>(456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9" w:type="dxa"/>
            <w:tcBorders>
              <w:bottom w:val="double" w:sz="10" w:space="0" w:color="000000"/>
            </w:tcBorders>
            <w:tcMar>
              <w:bottom w:w="28" w:type="dxa"/>
            </w:tcMar>
            <w:vAlign w:val="center"/>
          </w:tcPr>
          <w:p>
            <w:pPr>
              <w:pStyle w:val="TableContents"/>
              <w:bidi w:val="0"/>
              <w:spacing w:before="0" w:after="283"/>
              <w:jc w:val="left"/>
              <w:rPr/>
            </w:pPr>
            <w:r>
              <w:rPr/>
              <w:t> </w:t>
            </w:r>
          </w:p>
        </w:tc>
        <w:tc>
          <w:tcPr>
            <w:tcW w:w="996" w:type="dxa"/>
            <w:tcBorders>
              <w:bottom w:val="double" w:sz="10" w:space="0" w:color="000000"/>
            </w:tcBorders>
            <w:tcMar>
              <w:bottom w:w="28" w:type="dxa"/>
            </w:tcMar>
            <w:vAlign w:val="center"/>
          </w:tcPr>
          <w:p>
            <w:pPr>
              <w:pStyle w:val="TableContents"/>
              <w:bidi w:val="0"/>
              <w:spacing w:before="0" w:after="283"/>
              <w:jc w:val="right"/>
              <w:rPr/>
            </w:pPr>
            <w:r>
              <w:rPr/>
              <w:t>(21</w:t>
            </w:r>
          </w:p>
        </w:tc>
        <w:tc>
          <w:tcPr>
            <w:tcW w:w="227"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4" w:type="dxa"/>
            <w:tcBorders>
              <w:bottom w:val="double" w:sz="10" w:space="0" w:color="000000"/>
            </w:tcBorders>
            <w:tcMar>
              <w:bottom w:w="28" w:type="dxa"/>
            </w:tcMar>
            <w:vAlign w:val="center"/>
          </w:tcPr>
          <w:p>
            <w:pPr>
              <w:pStyle w:val="TableContents"/>
              <w:bidi w:val="0"/>
              <w:spacing w:before="0" w:after="283"/>
              <w:jc w:val="left"/>
              <w:rPr/>
            </w:pPr>
            <w:r>
              <w:rPr/>
              <w:t>$</w:t>
            </w:r>
          </w:p>
        </w:tc>
        <w:tc>
          <w:tcPr>
            <w:tcW w:w="579" w:type="dxa"/>
            <w:tcBorders>
              <w:bottom w:val="double" w:sz="10" w:space="0" w:color="000000"/>
            </w:tcBorders>
            <w:tcMar>
              <w:bottom w:w="28" w:type="dxa"/>
            </w:tcMar>
            <w:vAlign w:val="center"/>
          </w:tcPr>
          <w:p>
            <w:pPr>
              <w:pStyle w:val="TableContents"/>
              <w:bidi w:val="0"/>
              <w:spacing w:before="0" w:after="283"/>
              <w:jc w:val="right"/>
              <w:rPr/>
            </w:pPr>
            <w:r>
              <w:rPr/>
              <w:t>6,009</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4" w:type="dxa"/>
            <w:tcBorders>
              <w:bottom w:val="double" w:sz="10" w:space="0" w:color="000000"/>
            </w:tcBorders>
            <w:tcMar>
              <w:bottom w:w="28" w:type="dxa"/>
            </w:tcMar>
            <w:vAlign w:val="center"/>
          </w:tcPr>
          <w:p>
            <w:pPr>
              <w:pStyle w:val="TableContents"/>
              <w:bidi w:val="0"/>
              <w:spacing w:before="0" w:after="283"/>
              <w:jc w:val="left"/>
              <w:rPr/>
            </w:pPr>
            <w:r>
              <w:rPr/>
              <w:t>$</w:t>
            </w:r>
          </w:p>
        </w:tc>
        <w:tc>
          <w:tcPr>
            <w:tcW w:w="703" w:type="dxa"/>
            <w:tcBorders>
              <w:bottom w:val="double" w:sz="10" w:space="0" w:color="000000"/>
            </w:tcBorders>
            <w:tcMar>
              <w:bottom w:w="28" w:type="dxa"/>
            </w:tcMar>
            <w:vAlign w:val="center"/>
          </w:tcPr>
          <w:p>
            <w:pPr>
              <w:pStyle w:val="TableContents"/>
              <w:bidi w:val="0"/>
              <w:spacing w:before="0" w:after="283"/>
              <w:jc w:val="right"/>
              <w:rPr/>
            </w:pPr>
            <w:r>
              <w:rPr/>
              <w:t>11,447</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bottom w:val="double" w:sz="10" w:space="0" w:color="000000"/>
            </w:tcBorders>
            <w:tcMar>
              <w:bottom w:w="28" w:type="dxa"/>
            </w:tcMar>
            <w:vAlign w:val="center"/>
          </w:tcPr>
          <w:p>
            <w:pPr>
              <w:pStyle w:val="TableContents"/>
              <w:bidi w:val="0"/>
              <w:spacing w:before="0" w:after="283"/>
              <w:jc w:val="left"/>
              <w:rPr/>
            </w:pPr>
            <w:r>
              <w:rPr/>
              <w:t>$</w:t>
            </w:r>
          </w:p>
        </w:tc>
        <w:tc>
          <w:tcPr>
            <w:tcW w:w="668" w:type="dxa"/>
            <w:tcBorders>
              <w:bottom w:val="double" w:sz="10" w:space="0" w:color="000000"/>
            </w:tcBorders>
            <w:tcMar>
              <w:bottom w:w="28" w:type="dxa"/>
            </w:tcMar>
            <w:vAlign w:val="center"/>
          </w:tcPr>
          <w:p>
            <w:pPr>
              <w:pStyle w:val="TableContents"/>
              <w:bidi w:val="0"/>
              <w:spacing w:before="0" w:after="283"/>
              <w:jc w:val="right"/>
              <w:rPr/>
            </w:pPr>
            <w:r>
              <w:rPr/>
              <w:t>(5,438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9" w:type="dxa"/>
            <w:tcBorders>
              <w:bottom w:val="double" w:sz="10" w:space="0" w:color="000000"/>
            </w:tcBorders>
            <w:tcMar>
              <w:bottom w:w="28" w:type="dxa"/>
            </w:tcMar>
            <w:vAlign w:val="center"/>
          </w:tcPr>
          <w:p>
            <w:pPr>
              <w:pStyle w:val="TableContents"/>
              <w:bidi w:val="0"/>
              <w:spacing w:before="0" w:after="283"/>
              <w:jc w:val="left"/>
              <w:rPr/>
            </w:pPr>
            <w:r>
              <w:rPr/>
              <w:t> </w:t>
            </w:r>
          </w:p>
        </w:tc>
        <w:tc>
          <w:tcPr>
            <w:tcW w:w="946" w:type="dxa"/>
            <w:tcBorders>
              <w:bottom w:val="double" w:sz="10" w:space="0" w:color="000000"/>
            </w:tcBorders>
            <w:tcMar>
              <w:bottom w:w="28" w:type="dxa"/>
            </w:tcMar>
            <w:vAlign w:val="center"/>
          </w:tcPr>
          <w:p>
            <w:pPr>
              <w:pStyle w:val="TableContents"/>
              <w:bidi w:val="0"/>
              <w:spacing w:before="0" w:after="283"/>
              <w:jc w:val="right"/>
              <w:rPr/>
            </w:pPr>
            <w:r>
              <w:rPr/>
              <w:t>(48</w:t>
            </w:r>
          </w:p>
        </w:tc>
        <w:tc>
          <w:tcPr>
            <w:tcW w:w="251"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decreased by $0.5 million, or 21%, for the three months ended September 30, 2024 compared to the same period in 2023. Cost of goods sold decreased by $5.4 million, or 48%, for the nine months ended September 30, 2024 compared to the same period in 2023. The comparative quarterly decrease in cost of goods sold is associated with decreases in cost of goods sold related to facility build-outs and extraction solutions which aligns with the reduction in revenue over the same period for each of these revenue streams.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91"/>
        <w:gridCol w:w="60"/>
        <w:gridCol w:w="224"/>
        <w:gridCol w:w="612"/>
        <w:gridCol w:w="96"/>
        <w:gridCol w:w="96"/>
        <w:gridCol w:w="224"/>
        <w:gridCol w:w="612"/>
        <w:gridCol w:w="60"/>
        <w:gridCol w:w="60"/>
        <w:gridCol w:w="191"/>
        <w:gridCol w:w="624"/>
        <w:gridCol w:w="95"/>
        <w:gridCol w:w="60"/>
        <w:gridCol w:w="169"/>
        <w:gridCol w:w="946"/>
        <w:gridCol w:w="270"/>
        <w:gridCol w:w="60"/>
        <w:gridCol w:w="171"/>
        <w:gridCol w:w="686"/>
        <w:gridCol w:w="73"/>
        <w:gridCol w:w="73"/>
        <w:gridCol w:w="171"/>
        <w:gridCol w:w="686"/>
        <w:gridCol w:w="60"/>
        <w:gridCol w:w="60"/>
        <w:gridCol w:w="147"/>
        <w:gridCol w:w="668"/>
        <w:gridCol w:w="95"/>
        <w:gridCol w:w="60"/>
        <w:gridCol w:w="169"/>
        <w:gridCol w:w="946"/>
        <w:gridCol w:w="290"/>
      </w:tblGrid>
      <w:tr>
        <w:trPr/>
        <w:tc>
          <w:tcPr>
            <w:tcW w:w="1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391"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8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1391"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612" w:type="dxa"/>
            <w:tcBorders/>
            <w:shd w:fill="CCEEFF" w:val="clear"/>
            <w:vAlign w:val="center"/>
          </w:tcPr>
          <w:p>
            <w:pPr>
              <w:pStyle w:val="TableContents"/>
              <w:bidi w:val="0"/>
              <w:spacing w:before="0" w:after="283"/>
              <w:jc w:val="right"/>
              <w:rPr/>
            </w:pPr>
            <w:r>
              <w:rPr/>
              <w:t>225</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612" w:type="dxa"/>
            <w:tcBorders/>
            <w:shd w:fill="CCEEFF" w:val="clear"/>
            <w:vAlign w:val="center"/>
          </w:tcPr>
          <w:p>
            <w:pPr>
              <w:pStyle w:val="TableContents"/>
              <w:bidi w:val="0"/>
              <w:spacing w:before="0" w:after="283"/>
              <w:jc w:val="right"/>
              <w:rPr/>
            </w:pPr>
            <w:r>
              <w:rPr/>
              <w:t>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(77</w:t>
            </w:r>
          </w:p>
        </w:tc>
        <w:tc>
          <w:tcPr>
            <w:tcW w:w="27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1,517</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2,562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(1,045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(41</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totaled $0.2 million, or 11.6%, of total revenue during the three months ended September 30, 2024 compared to $1.0 million, or 31.0%, of total revenue during the three months ended September 30, 2023. Gross profit totaled $1.5 million, or 20.2% of total revenue during the nine months ended September 30, 2024 compared to a gross profit of $2.6 million, or 18.3% of total revenue during the nine months ended September 30, 2023. The comparative $0.8 million third-quarter year over year decrease in gross profit, as well as the comparative decrease in gross profit margin, is primarily attributable to a smaller decrease in costs of goods sold relative to the decrease in revenue for the period. During the third quarter of 2024, we realized a gross profit margin of 32% associated with our extraction solutions revenue, while we realized a gross profit margin of 45% on our extraction solution revenues for the third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1"/>
        <w:gridCol w:w="60"/>
        <w:gridCol w:w="157"/>
        <w:gridCol w:w="628"/>
        <w:gridCol w:w="67"/>
        <w:gridCol w:w="67"/>
        <w:gridCol w:w="157"/>
        <w:gridCol w:w="628"/>
        <w:gridCol w:w="60"/>
        <w:gridCol w:w="60"/>
        <w:gridCol w:w="191"/>
        <w:gridCol w:w="624"/>
        <w:gridCol w:w="95"/>
        <w:gridCol w:w="60"/>
        <w:gridCol w:w="169"/>
        <w:gridCol w:w="946"/>
        <w:gridCol w:w="238"/>
        <w:gridCol w:w="60"/>
        <w:gridCol w:w="148"/>
        <w:gridCol w:w="596"/>
        <w:gridCol w:w="63"/>
        <w:gridCol w:w="63"/>
        <w:gridCol w:w="148"/>
        <w:gridCol w:w="724"/>
        <w:gridCol w:w="60"/>
        <w:gridCol w:w="60"/>
        <w:gridCol w:w="147"/>
        <w:gridCol w:w="668"/>
        <w:gridCol w:w="95"/>
        <w:gridCol w:w="60"/>
        <w:gridCol w:w="169"/>
        <w:gridCol w:w="946"/>
        <w:gridCol w:w="260"/>
      </w:tblGrid>
      <w:tr>
        <w:trPr/>
        <w:tc>
          <w:tcPr>
            <w:tcW w:w="1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1731"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60" w:type="dxa"/>
            <w:tcBorders/>
            <w:vAlign w:val="center"/>
          </w:tcPr>
          <w:p>
            <w:pPr>
              <w:pStyle w:val="TableContents"/>
              <w:bidi w:val="0"/>
              <w:spacing w:before="0" w:after="283"/>
              <w:ind w:left="0" w:right="0" w:hanging="180"/>
              <w:jc w:val="left"/>
              <w:rPr/>
            </w:pPr>
            <w:r>
              <w:rPr/>
              <w:t> </w:t>
            </w:r>
          </w:p>
        </w:tc>
      </w:tr>
      <w:tr>
        <w:trPr/>
        <w:tc>
          <w:tcPr>
            <w:tcW w:w="1731"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628" w:type="dxa"/>
            <w:tcBorders/>
            <w:shd w:fill="CCEEFF" w:val="clear"/>
            <w:vAlign w:val="center"/>
          </w:tcPr>
          <w:p>
            <w:pPr>
              <w:pStyle w:val="TableContents"/>
              <w:bidi w:val="0"/>
              <w:spacing w:before="0" w:after="283"/>
              <w:jc w:val="right"/>
              <w:rPr/>
            </w:pPr>
            <w:r>
              <w:rPr/>
              <w:t>3,364</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628" w:type="dxa"/>
            <w:tcBorders/>
            <w:shd w:fill="CCEEFF" w:val="clear"/>
            <w:vAlign w:val="center"/>
          </w:tcPr>
          <w:p>
            <w:pPr>
              <w:pStyle w:val="TableContents"/>
              <w:bidi w:val="0"/>
              <w:spacing w:before="0" w:after="283"/>
              <w:jc w:val="right"/>
              <w:rPr/>
            </w:pPr>
            <w:r>
              <w:rPr/>
              <w:t>4,321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(957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(22</w:t>
            </w:r>
          </w:p>
        </w:tc>
        <w:tc>
          <w:tcPr>
            <w:tcW w:w="23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596" w:type="dxa"/>
            <w:tcBorders/>
            <w:shd w:fill="CCEEFF" w:val="clear"/>
            <w:vAlign w:val="center"/>
          </w:tcPr>
          <w:p>
            <w:pPr>
              <w:pStyle w:val="TableContents"/>
              <w:bidi w:val="0"/>
              <w:spacing w:before="0" w:after="283"/>
              <w:jc w:val="right"/>
              <w:rPr/>
            </w:pPr>
            <w:r>
              <w:rPr/>
              <w:t>9,726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4" w:type="dxa"/>
            <w:tcBorders/>
            <w:shd w:fill="CCEEFF" w:val="clear"/>
            <w:vAlign w:val="center"/>
          </w:tcPr>
          <w:p>
            <w:pPr>
              <w:pStyle w:val="TableContents"/>
              <w:bidi w:val="0"/>
              <w:spacing w:before="0" w:after="283"/>
              <w:jc w:val="right"/>
              <w:rPr/>
            </w:pPr>
            <w:r>
              <w:rPr/>
              <w:t>16,066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(6,340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(39</w:t>
            </w:r>
          </w:p>
        </w:tc>
        <w:tc>
          <w:tcPr>
            <w:tcW w:w="26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(“G&amp;A”) expenses consist principally of salaries and related costs for personnel, including stock-based compensation and travel expenses, associated with executive and other administrative functions. Other G&amp;A expenses include, but are not limited to, professional fees for legal, consulting, depreciation and amortization and accounting services, as well as facility-related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G&amp;A expense decreased by $1.0 million, or 22%, for the three months ended September 30, 2024, compared to the same period in 2023. G&amp;A expense decreased by $6.3 million, or 39%, for the nine months ended September 30, 2024, compared to the same period in 2023. The decrease for the nine months ended September 30, 2024 is primarily attributable to a decrease in payroll expense of $2.9 million, a decrease in insurance of $1.5 million, a decrease in stock based compensation of $1.3 million, and a decrease in sales tax expense of $0.5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3"/>
        <w:gridCol w:w="60"/>
        <w:gridCol w:w="212"/>
        <w:gridCol w:w="576"/>
        <w:gridCol w:w="90"/>
        <w:gridCol w:w="90"/>
        <w:gridCol w:w="212"/>
        <w:gridCol w:w="576"/>
        <w:gridCol w:w="60"/>
        <w:gridCol w:w="60"/>
        <w:gridCol w:w="191"/>
        <w:gridCol w:w="624"/>
        <w:gridCol w:w="95"/>
        <w:gridCol w:w="60"/>
        <w:gridCol w:w="169"/>
        <w:gridCol w:w="946"/>
        <w:gridCol w:w="233"/>
        <w:gridCol w:w="60"/>
        <w:gridCol w:w="194"/>
        <w:gridCol w:w="528"/>
        <w:gridCol w:w="83"/>
        <w:gridCol w:w="83"/>
        <w:gridCol w:w="194"/>
        <w:gridCol w:w="778"/>
        <w:gridCol w:w="60"/>
        <w:gridCol w:w="60"/>
        <w:gridCol w:w="147"/>
        <w:gridCol w:w="668"/>
        <w:gridCol w:w="95"/>
        <w:gridCol w:w="60"/>
        <w:gridCol w:w="169"/>
        <w:gridCol w:w="946"/>
        <w:gridCol w:w="253"/>
      </w:tblGrid>
      <w:tr>
        <w:trPr/>
        <w:tc>
          <w:tcPr>
            <w:tcW w:w="15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r>
      <w:tr>
        <w:trPr/>
        <w:tc>
          <w:tcPr>
            <w:tcW w:w="1573"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7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53" w:type="dxa"/>
            <w:tcBorders/>
            <w:vAlign w:val="center"/>
          </w:tcPr>
          <w:p>
            <w:pPr>
              <w:pStyle w:val="TableContents"/>
              <w:bidi w:val="0"/>
              <w:spacing w:before="0" w:after="283"/>
              <w:ind w:left="0" w:right="0" w:hanging="180"/>
              <w:jc w:val="left"/>
              <w:rPr/>
            </w:pPr>
            <w:r>
              <w:rPr/>
              <w:t> </w:t>
            </w:r>
          </w:p>
        </w:tc>
      </w:tr>
      <w:tr>
        <w:trPr/>
        <w:tc>
          <w:tcPr>
            <w:tcW w:w="1573"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576" w:type="dxa"/>
            <w:tcBorders/>
            <w:shd w:fill="CCEEFF" w:val="clear"/>
            <w:vAlign w:val="center"/>
          </w:tcPr>
          <w:p>
            <w:pPr>
              <w:pStyle w:val="TableContents"/>
              <w:bidi w:val="0"/>
              <w:spacing w:before="0" w:after="283"/>
              <w:jc w:val="right"/>
              <w:rPr/>
            </w:pPr>
            <w:r>
              <w:rPr/>
              <w:t>168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576" w:type="dxa"/>
            <w:tcBorders/>
            <w:shd w:fill="CCEEFF" w:val="clear"/>
            <w:vAlign w:val="center"/>
          </w:tcPr>
          <w:p>
            <w:pPr>
              <w:pStyle w:val="TableContents"/>
              <w:bidi w:val="0"/>
              <w:spacing w:before="0" w:after="283"/>
              <w:jc w:val="right"/>
              <w:rPr/>
            </w:pPr>
            <w:r>
              <w:rPr/>
              <w:t>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(65</w:t>
            </w:r>
          </w:p>
        </w:tc>
        <w:tc>
          <w:tcPr>
            <w:tcW w:w="23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528" w:type="dxa"/>
            <w:tcBorders/>
            <w:shd w:fill="CCEEFF" w:val="clear"/>
            <w:vAlign w:val="center"/>
          </w:tcPr>
          <w:p>
            <w:pPr>
              <w:pStyle w:val="TableContents"/>
              <w:bidi w:val="0"/>
              <w:spacing w:before="0" w:after="283"/>
              <w:jc w:val="right"/>
              <w:rPr/>
            </w:pPr>
            <w:r>
              <w:rPr/>
              <w:t>628</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1,864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(1,236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(66</w:t>
            </w:r>
          </w:p>
        </w:tc>
        <w:tc>
          <w:tcPr>
            <w:tcW w:w="25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consisted primarily of costs incurred for the development of our Agrify Insights™ software, next generation VFUs, and new extraction technology and methodology, which includes: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employee-related expenses, including salaries, benefits, and travel;</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expenses incurred by the subcontractor under agreements to provide engineering work related to the development of our Agrify Insights</w:t>
            </w:r>
            <w:r>
              <w:rPr/>
              <w:t>™  </w:t>
            </w:r>
            <w:r>
              <w:rPr>
                <w:rFonts w:ascii="Times New Roman;Times;Serif" w:hAnsi="Times New Roman;Times;Serif"/>
                <w:sz w:val="20"/>
              </w:rPr>
              <w:t>software and next generation VFUs;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related to our facilities, depreciation, and other expenses, which include direct and allocated expenses for rent and maintenance of facilities, insurance and other supplies.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 decreased by $0.3 million, or 65% for the three months ended September 30, 2024, compared to the same period in 2023. R&amp;D expense decreased by $1.2 million, or 66%, for the nine months ended September 30, 2024, compared to the same period in 2023. The decrease is attributable to the reduction in personnel, outsourced consulting and materials purchased.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1"/>
        <w:gridCol w:w="60"/>
        <w:gridCol w:w="218"/>
        <w:gridCol w:w="592"/>
        <w:gridCol w:w="93"/>
        <w:gridCol w:w="93"/>
        <w:gridCol w:w="218"/>
        <w:gridCol w:w="592"/>
        <w:gridCol w:w="60"/>
        <w:gridCol w:w="60"/>
        <w:gridCol w:w="191"/>
        <w:gridCol w:w="624"/>
        <w:gridCol w:w="95"/>
        <w:gridCol w:w="60"/>
        <w:gridCol w:w="169"/>
        <w:gridCol w:w="946"/>
        <w:gridCol w:w="234"/>
        <w:gridCol w:w="60"/>
        <w:gridCol w:w="187"/>
        <w:gridCol w:w="751"/>
        <w:gridCol w:w="80"/>
        <w:gridCol w:w="80"/>
        <w:gridCol w:w="187"/>
        <w:gridCol w:w="751"/>
        <w:gridCol w:w="60"/>
        <w:gridCol w:w="60"/>
        <w:gridCol w:w="147"/>
        <w:gridCol w:w="668"/>
        <w:gridCol w:w="95"/>
        <w:gridCol w:w="60"/>
        <w:gridCol w:w="169"/>
        <w:gridCol w:w="946"/>
        <w:gridCol w:w="258"/>
      </w:tblGrid>
      <w:tr>
        <w:trPr/>
        <w:tc>
          <w:tcPr>
            <w:tcW w:w="1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r>
      <w:tr>
        <w:trPr/>
        <w:tc>
          <w:tcPr>
            <w:tcW w:w="1341"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8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58" w:type="dxa"/>
            <w:tcBorders/>
            <w:vAlign w:val="center"/>
          </w:tcPr>
          <w:p>
            <w:pPr>
              <w:pStyle w:val="TableContents"/>
              <w:bidi w:val="0"/>
              <w:spacing w:before="0" w:after="283"/>
              <w:ind w:left="0" w:right="0" w:hanging="180"/>
              <w:jc w:val="left"/>
              <w:rPr/>
            </w:pPr>
            <w:r>
              <w:rPr/>
              <w:t> </w:t>
            </w:r>
          </w:p>
        </w:tc>
      </w:tr>
      <w:tr>
        <w:trPr/>
        <w:tc>
          <w:tcPr>
            <w:tcW w:w="1341"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592" w:type="dxa"/>
            <w:tcBorders/>
            <w:shd w:fill="CCEEFF" w:val="clear"/>
            <w:vAlign w:val="center"/>
          </w:tcPr>
          <w:p>
            <w:pPr>
              <w:pStyle w:val="TableContents"/>
              <w:bidi w:val="0"/>
              <w:spacing w:before="0" w:after="283"/>
              <w:jc w:val="right"/>
              <w:rPr/>
            </w:pPr>
            <w:r>
              <w:rPr/>
              <w:t>348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592" w:type="dxa"/>
            <w:tcBorders/>
            <w:shd w:fill="CCEEFF" w:val="clear"/>
            <w:vAlign w:val="center"/>
          </w:tcPr>
          <w:p>
            <w:pPr>
              <w:pStyle w:val="TableContents"/>
              <w:bidi w:val="0"/>
              <w:spacing w:before="0" w:after="283"/>
              <w:jc w:val="right"/>
              <w:rPr/>
            </w:pPr>
            <w:r>
              <w:rPr/>
              <w:t>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(464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(57</w:t>
            </w:r>
          </w:p>
        </w:tc>
        <w:tc>
          <w:tcPr>
            <w:tcW w:w="23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1,204</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51" w:type="dxa"/>
            <w:tcBorders/>
            <w:shd w:fill="CCEEFF" w:val="clear"/>
            <w:vAlign w:val="center"/>
          </w:tcPr>
          <w:p>
            <w:pPr>
              <w:pStyle w:val="TableContents"/>
              <w:bidi w:val="0"/>
              <w:spacing w:before="0" w:after="283"/>
              <w:jc w:val="right"/>
              <w:rPr/>
            </w:pPr>
            <w:r>
              <w:rPr/>
              <w:t>3,522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(2,318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(66</w:t>
            </w:r>
          </w:p>
        </w:tc>
        <w:tc>
          <w:tcPr>
            <w:tcW w:w="258"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consist primarily of salaries and related costs of personnel, travel expenses, trade shows and advertising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decreased by $0.5 million, or 57%, for the three months ended September 30, 2024, compared to the same period in 2023. Selling and marketing expenses decreased by $2.3 million, or 66%, for the nine months ended September 30, 2024, compared to the same period in 2023. The decrease is attributable to a decrease in payroll, consulting services, and travel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settlement of contingent liabilities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7"/>
        <w:gridCol w:w="60"/>
        <w:gridCol w:w="234"/>
        <w:gridCol w:w="417"/>
        <w:gridCol w:w="95"/>
        <w:gridCol w:w="95"/>
        <w:gridCol w:w="232"/>
        <w:gridCol w:w="421"/>
        <w:gridCol w:w="60"/>
        <w:gridCol w:w="60"/>
        <w:gridCol w:w="285"/>
        <w:gridCol w:w="530"/>
        <w:gridCol w:w="60"/>
        <w:gridCol w:w="60"/>
        <w:gridCol w:w="334"/>
        <w:gridCol w:w="781"/>
        <w:gridCol w:w="215"/>
        <w:gridCol w:w="60"/>
        <w:gridCol w:w="164"/>
        <w:gridCol w:w="748"/>
        <w:gridCol w:w="111"/>
        <w:gridCol w:w="70"/>
        <w:gridCol w:w="208"/>
        <w:gridCol w:w="326"/>
        <w:gridCol w:w="60"/>
        <w:gridCol w:w="60"/>
        <w:gridCol w:w="147"/>
        <w:gridCol w:w="668"/>
        <w:gridCol w:w="95"/>
        <w:gridCol w:w="60"/>
        <w:gridCol w:w="152"/>
        <w:gridCol w:w="963"/>
        <w:gridCol w:w="237"/>
      </w:tblGrid>
      <w:tr>
        <w:trPr/>
        <w:tc>
          <w:tcPr>
            <w:tcW w:w="21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r>
      <w:tr>
        <w:trPr/>
        <w:tc>
          <w:tcPr>
            <w:tcW w:w="2137"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6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7" w:type="dxa"/>
            <w:tcBorders/>
            <w:vAlign w:val="center"/>
          </w:tcPr>
          <w:p>
            <w:pPr>
              <w:pStyle w:val="TableContents"/>
              <w:bidi w:val="0"/>
              <w:spacing w:before="0" w:after="283"/>
              <w:ind w:left="0" w:right="0" w:hanging="180"/>
              <w:jc w:val="left"/>
              <w:rPr/>
            </w:pPr>
            <w:r>
              <w:rPr/>
              <w:t> </w:t>
            </w:r>
          </w:p>
        </w:tc>
      </w:tr>
      <w:tr>
        <w:trPr/>
        <w:tc>
          <w:tcPr>
            <w:tcW w:w="2137" w:type="dxa"/>
            <w:tcBorders/>
            <w:shd w:fill="CCEEFF" w:val="clear"/>
            <w:vAlign w:val="center"/>
          </w:tcPr>
          <w:p>
            <w:pPr>
              <w:pStyle w:val="TableContents"/>
              <w:bidi w:val="0"/>
              <w:spacing w:before="0" w:after="283"/>
              <w:jc w:val="left"/>
              <w:rPr/>
            </w:pPr>
            <w:r>
              <w:rPr/>
              <w:t>Gain on settlement of contingent liabilities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41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4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5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(5,935</w:t>
            </w:r>
          </w:p>
        </w:tc>
        <w:tc>
          <w:tcPr>
            <w:tcW w:w="111"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3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(5,935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100</w:t>
            </w:r>
          </w:p>
        </w:tc>
        <w:tc>
          <w:tcPr>
            <w:tcW w:w="237"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settlement of contingent liabilities relates to the legal settlement effected with Mack as described in Note 14 - Commitments and Contingencies within the unaudited condensed consolidated financial statements for the period ended September 30, 2024. On February 29, 2024, we met our performance obligations in terms of the Modification Agreement with Mack. In the second quarter of 2024, management derecognized the previously recognized contingent liability, resulting in a credit of approximately $5.9 million, increasing the total gain for the nine months ended September 30, 2024 to approximately $5.9 million. The gain was recorded within gain on settlement of contingent liabilities, on the unaudited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tbl>
      <w:tblPr>
        <w:tblW w:w="10255" w:type="dxa"/>
        <w:jc w:val="left"/>
        <w:tblInd w:w="0" w:type="dxa"/>
        <w:tblLayout w:type="fixed"/>
        <w:tblCellMar>
          <w:top w:w="0" w:type="dxa"/>
          <w:left w:w="0" w:type="dxa"/>
          <w:bottom w:w="0" w:type="dxa"/>
          <w:right w:w="0" w:type="dxa"/>
        </w:tblCellMar>
      </w:tblPr>
      <w:tblGrid>
        <w:gridCol w:w="1475"/>
        <w:gridCol w:w="60"/>
        <w:gridCol w:w="140"/>
        <w:gridCol w:w="755"/>
        <w:gridCol w:w="95"/>
        <w:gridCol w:w="60"/>
        <w:gridCol w:w="140"/>
        <w:gridCol w:w="560"/>
        <w:gridCol w:w="95"/>
        <w:gridCol w:w="60"/>
        <w:gridCol w:w="140"/>
        <w:gridCol w:w="755"/>
        <w:gridCol w:w="95"/>
        <w:gridCol w:w="60"/>
        <w:gridCol w:w="129"/>
        <w:gridCol w:w="986"/>
        <w:gridCol w:w="215"/>
        <w:gridCol w:w="60"/>
        <w:gridCol w:w="140"/>
        <w:gridCol w:w="755"/>
        <w:gridCol w:w="95"/>
        <w:gridCol w:w="60"/>
        <w:gridCol w:w="140"/>
        <w:gridCol w:w="635"/>
        <w:gridCol w:w="95"/>
        <w:gridCol w:w="60"/>
        <w:gridCol w:w="140"/>
        <w:gridCol w:w="755"/>
        <w:gridCol w:w="95"/>
        <w:gridCol w:w="60"/>
        <w:gridCol w:w="129"/>
        <w:gridCol w:w="986"/>
        <w:gridCol w:w="230"/>
      </w:tblGrid>
      <w:tr>
        <w:trPr/>
        <w:tc>
          <w:tcPr>
            <w:tcW w:w="14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7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147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ind w:left="0" w:right="0" w:hanging="180"/>
              <w:jc w:val="left"/>
              <w:rPr/>
            </w:pPr>
            <w:r>
              <w:rPr/>
              <w:t> </w:t>
            </w:r>
          </w:p>
        </w:tc>
      </w:tr>
      <w:tr>
        <w:trPr/>
        <w:tc>
          <w:tcPr>
            <w:tcW w:w="1475" w:type="dxa"/>
            <w:tcBorders/>
            <w:shd w:fill="CCEEFF" w:val="clear"/>
            <w:vAlign w:val="center"/>
          </w:tcPr>
          <w:p>
            <w:pPr>
              <w:pStyle w:val="TableContents"/>
              <w:bidi w:val="0"/>
              <w:spacing w:before="0" w:after="283"/>
              <w:jc w:val="left"/>
              <w:rPr/>
            </w:pPr>
            <w:r>
              <w:rPr/>
              <w:t>Interest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(90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(1,562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(89</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1475" w:type="dxa"/>
            <w:tcBorders/>
            <w:vAlign w:val="center"/>
          </w:tcPr>
          <w:p>
            <w:pPr>
              <w:pStyle w:val="TableContents"/>
              <w:bidi w:val="0"/>
              <w:spacing w:before="0" w:after="283"/>
              <w:jc w:val="left"/>
              <w:rPr/>
            </w:pPr>
            <w:r>
              <w:rPr/>
              <w:t>Other income (expense),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874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(724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(83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874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(705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(81</w:t>
            </w:r>
          </w:p>
        </w:tc>
        <w:tc>
          <w:tcPr>
            <w:tcW w:w="230" w:type="dxa"/>
            <w:tcBorders/>
            <w:vAlign w:val="center"/>
          </w:tcPr>
          <w:p>
            <w:pPr>
              <w:pStyle w:val="TableContents"/>
              <w:bidi w:val="0"/>
              <w:spacing w:before="0" w:after="283"/>
              <w:ind w:left="0" w:right="0" w:hanging="180"/>
              <w:jc w:val="left"/>
              <w:rPr/>
            </w:pPr>
            <w:r>
              <w:rPr/>
              <w:t>)%</w:t>
            </w:r>
          </w:p>
        </w:tc>
      </w:tr>
      <w:tr>
        <w:trPr/>
        <w:tc>
          <w:tcPr>
            <w:tcW w:w="1475"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(15,098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(17,073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(864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(531</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1475" w:type="dxa"/>
            <w:tcBorders/>
            <w:vAlign w:val="center"/>
          </w:tcPr>
          <w:p>
            <w:pPr>
              <w:pStyle w:val="TableContents"/>
              <w:bidi w:val="0"/>
              <w:spacing w:before="0" w:after="283"/>
              <w:jc w:val="left"/>
              <w:rPr/>
            </w:pPr>
            <w:r>
              <w:rPr/>
              <w:t>Loss on extinguishment of long-term debt, net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bottom w:val="single" w:sz="12" w:space="0" w:color="000000"/>
            </w:tcBorders>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tcMar>
              <w:bottom w:w="28" w:type="dxa"/>
            </w:tcMar>
            <w:vAlign w:val="center"/>
          </w:tcPr>
          <w:p>
            <w:pPr>
              <w:pStyle w:val="TableContents"/>
              <w:bidi w:val="0"/>
              <w:spacing w:before="0" w:after="283"/>
              <w:jc w:val="right"/>
              <w:rPr/>
            </w:pPr>
            <w:r>
              <w:rPr/>
              <w:t>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tcMar>
              <w:bottom w:w="28" w:type="dxa"/>
            </w:tcMar>
            <w:vAlign w:val="center"/>
          </w:tcPr>
          <w:p>
            <w:pPr>
              <w:pStyle w:val="TableContents"/>
              <w:bidi w:val="0"/>
              <w:spacing w:before="0" w:after="283"/>
              <w:jc w:val="right"/>
              <w:rPr/>
            </w:pPr>
            <w:r>
              <w:rPr/>
              <w:t>(4,631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4,631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bottom w:val="single" w:sz="12" w:space="0" w:color="000000"/>
            </w:tcBorders>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tcMar>
              <w:bottom w:w="28" w:type="dxa"/>
            </w:tcMar>
            <w:vAlign w:val="center"/>
          </w:tcPr>
          <w:p>
            <w:pPr>
              <w:pStyle w:val="TableContents"/>
              <w:bidi w:val="0"/>
              <w:spacing w:before="0" w:after="283"/>
              <w:jc w:val="right"/>
              <w:rPr/>
            </w:pPr>
            <w:r>
              <w:rPr/>
              <w:t>(100</w:t>
            </w:r>
          </w:p>
        </w:tc>
        <w:tc>
          <w:tcPr>
            <w:tcW w:w="230" w:type="dxa"/>
            <w:tcBorders/>
            <w:vAlign w:val="center"/>
          </w:tcPr>
          <w:p>
            <w:pPr>
              <w:pStyle w:val="TableContents"/>
              <w:bidi w:val="0"/>
              <w:spacing w:before="0" w:after="283"/>
              <w:ind w:left="0" w:right="0" w:hanging="180"/>
              <w:jc w:val="left"/>
              <w:rPr/>
            </w:pPr>
            <w:r>
              <w:rPr/>
              <w:t>)%</w:t>
            </w:r>
          </w:p>
        </w:tc>
      </w:tr>
      <w:tr>
        <w:trPr/>
        <w:tc>
          <w:tcPr>
            <w:tcW w:w="1475" w:type="dxa"/>
            <w:tcBorders/>
            <w:shd w:fill="CCEEFF" w:val="clear"/>
            <w:vAlign w:val="center"/>
          </w:tcPr>
          <w:p>
            <w:pPr>
              <w:pStyle w:val="TableContents"/>
              <w:bidi w:val="0"/>
              <w:spacing w:before="0" w:after="283"/>
              <w:jc w:val="left"/>
              <w:rPr/>
            </w:pPr>
            <w:r>
              <w:rPr/>
              <w:t>Total other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(14,986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2,486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(17,472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double" w:sz="10" w:space="0" w:color="000000"/>
            </w:tcBorders>
            <w:shd w:fill="CCEEFF" w:val="clear"/>
            <w:tcMar>
              <w:bottom w:w="28" w:type="dxa"/>
            </w:tcMar>
            <w:vAlign w:val="center"/>
          </w:tcPr>
          <w:p>
            <w:pPr>
              <w:pStyle w:val="TableContents"/>
              <w:bidi w:val="0"/>
              <w:spacing w:before="0" w:after="283"/>
              <w:jc w:val="right"/>
              <w:rPr/>
            </w:pPr>
            <w:r>
              <w:rPr/>
              <w:t>(703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(15,499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(1,720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(13,779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double" w:sz="10" w:space="0" w:color="000000"/>
            </w:tcBorders>
            <w:shd w:fill="CCEEFF" w:val="clear"/>
            <w:tcMar>
              <w:bottom w:w="28" w:type="dxa"/>
            </w:tcMar>
            <w:vAlign w:val="center"/>
          </w:tcPr>
          <w:p>
            <w:pPr>
              <w:pStyle w:val="TableContents"/>
              <w:bidi w:val="0"/>
              <w:spacing w:before="0" w:after="283"/>
              <w:jc w:val="right"/>
              <w:rPr/>
            </w:pPr>
            <w:r>
              <w:rPr/>
              <w:t>801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decreased by $0.3 million, or 90%, for the three months ended September 30, 2024, compared to the same period in 2023. Interest expense decreased by $1.4 million, or 89%, for the nine months ended September 30, 2024, compared to the same period in 2023. The decrease in interest expense is attributable mainly to the decrease in principal balance on outstanding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warrant liabilities decreased by $17.1 million, or 864% during the three months ended September 30, 2024, compared to the same period in 2023. The change in fair value of warrant liabilities decreased by $19.1 million, or 531%, during the nine months ended September 30, 2024, compared to the same period in 2023. The decrease is primarily related to the fair value remeasurement of warrants as a result of amendments to warrant agreements during the third quarter of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(Loss) Attributable to Non-Controlling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consolidate the results of operations of two less than wholly-owned entities into our unaudited condensed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attributable to non-controlling interest represents the portion of profit (or loss) that are attributable to non-controlling interest calculated as a product of the net income of the entity multiplied by the percentage of ownership held by the non-controlling interest. In 2023 and 2024 the profit (or loss) attributable to non-controlling interest is immaterial. See the Condensed Consolidated Statements of Operations for the impact on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our principal sources of liquidity were cash and cash equivalents and marketable securities totaling $267 thousand. Our current working capital needs are to support revenue growth, to fund construction and equipment financing commitments associated with our TTK Solutions, manage inventory to meet demand forecasts and support operational growth. Our long-term financial needs primarily include working capital requirements and capital expenditures. We anticipate that we will allocate a significant portion of our current balance of working capital to satisfy the financing requirements of our current and future TTK arrangements. These arrangements require a significant amount of upfront capital necessary to fund construction, associated with facility build-outs, and equipment.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Acquisitions Junior Secured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2023, CP Acquisitions, an entity affiliated with and controlled by our former Chief Executive Officer and former member of our Board of Directors, purchased the Exchange Note and the Convertible Note from CP Acquisitions (the “Note Purchase”). As part of the same transaction, we issued the Junior Secured Note to CP Acquisitions. Pursuant to the Junior Secured Note, CP Acquisitions would lend up to $3.0 million to us. The Junior Secured Note bears interest at a rate of 10% per annum, would mature in full on December 31, 2023, and may be prepaid without any fee or penalty. On December 4, 2023, CP Acquisitions and the Company amended and restated the Junior Secured Note agreement. Pursuant to the terms of the amendment, the maximum principal amount that may be loaned by CP Acquisitions to us was increased to $4.0 million and extended the maturity date thereon to December 31, 2024. On November 30, 2023, CP Acquisitions agreed to forgive $1.0 million of the principal amount outstanding on the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Consolidated CP Acquisitions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25, 2024, we and CP Acquisitions consolidated the outstanding principal and interest due under the Junior Secured Note and the Exchange Note as well as the interest due under the Convertible Note into the Convertible Note (collectively, with the Junior Secured Note and the Exchange Note, the “Consolidated Notes”), and amended and restated the Convertible Note with the Restated Note having a total outstanding principal of $18,308,021. The Restated Note bears interest at a rate of 10% per annum and will mature in full on December 31, 2025. We may redeem all or a portion not less than $5.0 million of principal at any time at a price equal to 102.5% of the redeemed principal amount plus accrued but unpaid interest. If CP Acquisitions elects to convert the Restated Note, the conversion price per share will be $21.90, subject to customary adjustments for certain corporate events. The conversion of the Restated Note will be subject to certain customary conditions. The Restated Note may not be converted into shares of Common Stock if such conversion would result in CP Acquisitions and its affiliates owning an aggregate of in excess of 49.99% of the then-outstanding shares of Common Stock. Immediately following the execution of the Restated Note, CP Acquisitions elected to convert approximately $3.9 million of outstanding principal into an aggregate of 178,109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we and CP Acquisitions entered into the Consolidated Note Amendment, pursuant to which CP Acquisitions may elect, in lieu of shares of Common Stock issuable upon conversion of the Restated Note, to instead receive Pre-Funded Warrants. The conversion price applicable to the Pre-Funded Warrants will remain unchanged at $21.90. Immediately following the execution of the Consolidated Note Amendment, CP Acquisitions elected to convert $11.5 million of outstanding principal into the CP Warrant Conversion, exercisable at issuance for up to 525,114 shares of Common Stock having a fair value of approximately $2.9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GIC Acquisition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2023, our Board of Directors approved the issuance of the GIC Note to GIC, an entity that is owned and managed by our former Chairman and Chief Executive Officer. Pursuant to the GIC Note, GIC was obligated to lend us up to $0.5 million, $0.3 million of which was delivered at issuance and the remaining $0.2 million delivered on July 31, 2023. The GIC Note bore interest at a rate of 10% per annum, would mature in full on August 6, 2023, and could be prepaid without any fee or penalty. The GIC Note ranked junior to all existing secured indebtedness. On October 27, 2023, the maturity date of the GIC Note was subsequently amended to December 31, 2024, at which point principal and accrued interest will be repaid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GIC and the Company entered into the Restated GIC Note, (the Restated GIC Note collectively with the Consolidated Note Amendment, the “Related Party Debt Amendments”) to increase the aggregate principal amount to approximately $2.29 million, extend the maturity date to December 31, 2025, and provide that the Restated Junior Note may be converted into Common Stock of the Company or, at GIC’s election, Pre-Funded Warrants, in each case at a conversion price of $4.65. Immediately following the execution of the Restated GIC Note, GIC elected to convert all of the outstanding principal under the Restated GIC Note into a Pre-Funded Warrant exercisable at issuance for up to 492,203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Acquisitions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we issued a junior secured promissory note (the “2024 CP Note”) to CP Acquisitions. Pursuant to the 2024 CP Note, CP Acquisitions would lend us up to $1,500,000. The 2024 CP Note bears interest at a rate of 10% per annum, will mature in full on July 1, 2025, and may be prepaid without any fee or penalty. The 2024 CP Note is secured by the Company’s assets and ranks junior to existing secured indebtedness of the Company. The 2024 CP Note may be converted into Common Stock or, at CP Acquisition’s election, Pre-Funded Warrants with an exercise price of $0.001 per share, in each case at a conversion price of $3.9495.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Green Thumb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2024, we issued the Green Thumb Note to the Investor. The Green Thumb Note is a secured obligation and ranks senior to all indebtedness of the Company except for indebtedness held by CP Acquisitions and Mack. The Green Thumb Note will mature on November 5, 2025 and has a 10.0% annualized interest rate, with interest to be paid on the first calendar day of each September and March while the Green Thumb Note is outstanding, in cash, beginning January 1, 2025. The principal amount of the Green Thumb Note will be payable on its maturity date. The Green Thumb Note provides for advances of up to $20.0 million in the aggregate, of which $10.0 million was advanced upon issuance. If the Investor elects to convert the Green Thumb Note, the conversion price per share will be $3.158, subject to customary adjustments for certain corporate events. The conversion of the Green Thumb Note will be subject to certain customary conditions and the receipt of stockholder approval to the extent necessary under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major components of net cash flows from and used in operating, investing, and financing activities for the nine months ended September 30, 2024, and 2023:</w:t>
      </w:r>
    </w:p>
    <w:p>
      <w:pPr>
        <w:pStyle w:val="TextBody"/>
        <w:bidi w:val="0"/>
        <w:spacing w:before="0" w:after="0"/>
        <w:ind w:left="0" w:right="0" w:firstLine="360"/>
        <w:jc w:val="both"/>
        <w:rPr>
          <w:caps w:val="false"/>
          <w:smallCaps w:val="false"/>
        </w:rPr>
      </w:pPr>
      <w:r>
        <w:rPr>
          <w:caps w:val="false"/>
          <w:smallCaps w:val="false"/>
        </w:rPr>
        <w:t> </w:t>
      </w:r>
    </w:p>
    <w:tbl>
      <w:tblPr>
        <w:tblW w:w="7255" w:type="dxa"/>
        <w:jc w:val="left"/>
        <w:tblInd w:w="0" w:type="dxa"/>
        <w:tblLayout w:type="fixed"/>
        <w:tblCellMar>
          <w:top w:w="0" w:type="dxa"/>
          <w:left w:w="0" w:type="dxa"/>
          <w:bottom w:w="28" w:type="dxa"/>
          <w:right w:w="0" w:type="dxa"/>
        </w:tblCellMar>
      </w:tblPr>
      <w:tblGrid>
        <w:gridCol w:w="3980"/>
        <w:gridCol w:w="60"/>
        <w:gridCol w:w="266"/>
        <w:gridCol w:w="1209"/>
        <w:gridCol w:w="95"/>
        <w:gridCol w:w="60"/>
        <w:gridCol w:w="230"/>
        <w:gridCol w:w="1245"/>
        <w:gridCol w:w="110"/>
      </w:tblGrid>
      <w:tr>
        <w:trPr/>
        <w:tc>
          <w:tcPr>
            <w:tcW w:w="3980"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12" w:space="0" w:color="000000"/>
            </w:tcBorders>
            <w:vAlign w:val="center"/>
          </w:tcPr>
          <w:p>
            <w:pPr>
              <w:pStyle w:val="TableContents"/>
              <w:bidi w:val="0"/>
              <w:spacing w:before="0" w:after="283"/>
              <w:jc w:val="center"/>
              <w:rPr>
                <w:b/>
              </w:rPr>
            </w:pPr>
            <w:r>
              <w:rPr>
                <w:b/>
              </w:rPr>
              <w:t>September 30,</w:t>
              <w:b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12" w:space="0" w:color="000000"/>
            </w:tcBorders>
            <w:vAlign w:val="center"/>
          </w:tcPr>
          <w:p>
            <w:pPr>
              <w:pStyle w:val="TableContents"/>
              <w:bidi w:val="0"/>
              <w:spacing w:before="0" w:after="283"/>
              <w:jc w:val="center"/>
              <w:rPr>
                <w:b/>
              </w:rPr>
            </w:pPr>
            <w:r>
              <w:rPr>
                <w:b/>
              </w:rPr>
              <w:t>September 30,</w:t>
              <w:br/>
              <w:t>2023</w:t>
            </w:r>
          </w:p>
        </w:tc>
        <w:tc>
          <w:tcPr>
            <w:tcW w:w="110" w:type="dxa"/>
            <w:tcBorders/>
            <w:tcMar>
              <w:bottom w:w="0" w:type="dxa"/>
            </w:tcMar>
            <w:vAlign w:val="center"/>
          </w:tcPr>
          <w:p>
            <w:pPr>
              <w:pStyle w:val="TableContents"/>
              <w:bidi w:val="0"/>
              <w:spacing w:before="0" w:after="283"/>
              <w:jc w:val="left"/>
              <w:rPr/>
            </w:pPr>
            <w:r>
              <w:rPr/>
              <w:t> </w:t>
            </w:r>
          </w:p>
        </w:tc>
      </w:tr>
      <w:tr>
        <w:trPr/>
        <w:tc>
          <w:tcPr>
            <w:tcW w:w="3980" w:type="dxa"/>
            <w:tcBorders/>
            <w:tcMar>
              <w:bottom w:w="0" w:type="dxa"/>
            </w:tcMar>
            <w:vAlign w:val="center"/>
          </w:tcPr>
          <w:p>
            <w:pPr>
              <w:pStyle w:val="TableContents"/>
              <w:bidi w:val="0"/>
              <w:spacing w:before="0" w:after="283"/>
              <w:jc w:val="left"/>
              <w:rPr>
                <w:b/>
              </w:rPr>
            </w:pPr>
            <w:r>
              <w:rPr>
                <w:b/>
              </w:rPr>
              <w:t>Net cash (used in) provided by:</w:t>
            </w:r>
          </w:p>
        </w:tc>
        <w:tc>
          <w:tcPr>
            <w:tcW w:w="60" w:type="dxa"/>
            <w:tcBorders/>
            <w:tcMar>
              <w:bottom w:w="0" w:type="dxa"/>
            </w:tcMar>
            <w:vAlign w:val="center"/>
          </w:tcPr>
          <w:p>
            <w:pPr>
              <w:pStyle w:val="TableContents"/>
              <w:bidi w:val="0"/>
              <w:spacing w:before="0" w:after="283"/>
              <w:jc w:val="left"/>
              <w:rPr/>
            </w:pPr>
            <w:r>
              <w:rPr/>
              <w:t> </w:t>
            </w:r>
          </w:p>
        </w:tc>
        <w:tc>
          <w:tcPr>
            <w:tcW w:w="147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5"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283"/>
              <w:jc w:val="left"/>
              <w:rPr/>
            </w:pPr>
            <w:r>
              <w:rPr/>
              <w:t>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w:t>
            </w:r>
          </w:p>
        </w:tc>
        <w:tc>
          <w:tcPr>
            <w:tcW w:w="1209" w:type="dxa"/>
            <w:tcBorders/>
            <w:shd w:fill="CCEEFF" w:val="clear"/>
            <w:tcMar>
              <w:bottom w:w="0" w:type="dxa"/>
            </w:tcMar>
            <w:vAlign w:val="center"/>
          </w:tcPr>
          <w:p>
            <w:pPr>
              <w:pStyle w:val="TableContents"/>
              <w:bidi w:val="0"/>
              <w:spacing w:before="0" w:after="283"/>
              <w:jc w:val="right"/>
              <w:rPr/>
            </w:pPr>
            <w:r>
              <w:rPr/>
              <w:t>(6,250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w:t>
            </w:r>
          </w:p>
        </w:tc>
        <w:tc>
          <w:tcPr>
            <w:tcW w:w="1245" w:type="dxa"/>
            <w:tcBorders/>
            <w:shd w:fill="CCEEFF" w:val="clear"/>
            <w:tcMar>
              <w:bottom w:w="0" w:type="dxa"/>
            </w:tcMar>
            <w:vAlign w:val="center"/>
          </w:tcPr>
          <w:p>
            <w:pPr>
              <w:pStyle w:val="TableContents"/>
              <w:bidi w:val="0"/>
              <w:spacing w:before="0" w:after="283"/>
              <w:jc w:val="right"/>
              <w:rPr/>
            </w:pPr>
            <w:r>
              <w:rPr/>
              <w:t>(25,940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980" w:type="dxa"/>
            <w:tcBorders/>
            <w:tcMar>
              <w:bottom w:w="0" w:type="dxa"/>
            </w:tcMar>
            <w:vAlign w:val="center"/>
          </w:tcPr>
          <w:p>
            <w:pPr>
              <w:pStyle w:val="TableContents"/>
              <w:bidi w:val="0"/>
              <w:spacing w:before="0" w:after="283"/>
              <w:jc w:val="left"/>
              <w:rPr/>
            </w:pPr>
            <w:r>
              <w:rPr/>
              <w:t>Investing activities</w:t>
            </w:r>
          </w:p>
        </w:tc>
        <w:tc>
          <w:tcPr>
            <w:tcW w:w="60" w:type="dxa"/>
            <w:tcBorders/>
            <w:tcMar>
              <w:bottom w:w="0" w:type="dxa"/>
            </w:tcMar>
            <w:vAlign w:val="center"/>
          </w:tcPr>
          <w:p>
            <w:pPr>
              <w:pStyle w:val="TableContents"/>
              <w:bidi w:val="0"/>
              <w:spacing w:before="0" w:after="283"/>
              <w:jc w:val="left"/>
              <w:rPr/>
            </w:pPr>
            <w:r>
              <w:rPr/>
              <w:t> </w:t>
            </w:r>
          </w:p>
        </w:tc>
        <w:tc>
          <w:tcPr>
            <w:tcW w:w="266" w:type="dxa"/>
            <w:tcBorders/>
            <w:tcMar>
              <w:bottom w:w="0" w:type="dxa"/>
            </w:tcMar>
            <w:vAlign w:val="center"/>
          </w:tcPr>
          <w:p>
            <w:pPr>
              <w:pStyle w:val="TableContents"/>
              <w:bidi w:val="0"/>
              <w:spacing w:before="0" w:after="283"/>
              <w:jc w:val="left"/>
              <w:rPr/>
            </w:pPr>
            <w:r>
              <w:rPr/>
              <w:t> </w:t>
            </w:r>
          </w:p>
        </w:tc>
        <w:tc>
          <w:tcPr>
            <w:tcW w:w="1209" w:type="dxa"/>
            <w:tcBorders/>
            <w:tcMar>
              <w:bottom w:w="0" w:type="dxa"/>
            </w:tcMar>
            <w:vAlign w:val="center"/>
          </w:tcPr>
          <w:p>
            <w:pPr>
              <w:pStyle w:val="TableContents"/>
              <w:bidi w:val="0"/>
              <w:spacing w:before="0" w:after="283"/>
              <w:jc w:val="right"/>
              <w:rPr/>
            </w:pPr>
            <w:r>
              <w:rPr/>
              <w:t>340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c>
          <w:tcPr>
            <w:tcW w:w="1245" w:type="dxa"/>
            <w:tcBorders/>
            <w:tcMar>
              <w:bottom w:w="0" w:type="dxa"/>
            </w:tcMar>
            <w:vAlign w:val="center"/>
          </w:tcPr>
          <w:p>
            <w:pPr>
              <w:pStyle w:val="TableContents"/>
              <w:bidi w:val="0"/>
              <w:spacing w:before="0" w:after="283"/>
              <w:jc w:val="right"/>
              <w:rPr/>
            </w:pPr>
            <w:r>
              <w:rPr/>
              <w:t>25,235</w:t>
            </w:r>
          </w:p>
        </w:tc>
        <w:tc>
          <w:tcPr>
            <w:tcW w:w="110" w:type="dxa"/>
            <w:tcBorders/>
            <w:tcMar>
              <w:bottom w:w="0" w:type="dxa"/>
            </w:tcMar>
            <w:vAlign w:val="center"/>
          </w:tcPr>
          <w:p>
            <w:pPr>
              <w:pStyle w:val="TableContents"/>
              <w:bidi w:val="0"/>
              <w:spacing w:before="0" w:after="283"/>
              <w:jc w:val="left"/>
              <w:rPr/>
            </w:pPr>
            <w:r>
              <w:rPr/>
              <w:t> </w:t>
            </w:r>
          </w:p>
        </w:tc>
      </w:tr>
      <w:tr>
        <w:trPr/>
        <w:tc>
          <w:tcPr>
            <w:tcW w:w="3980" w:type="dxa"/>
            <w:tcBorders/>
            <w:shd w:fill="CCEEFF" w:val="clear"/>
            <w:tcMar>
              <w:bottom w:w="0" w:type="dxa"/>
            </w:tcMar>
            <w:vAlign w:val="center"/>
          </w:tcPr>
          <w:p>
            <w:pPr>
              <w:pStyle w:val="TableContents"/>
              <w:bidi w:val="0"/>
              <w:spacing w:before="0" w:after="283"/>
              <w:jc w:val="left"/>
              <w:rPr/>
            </w:pPr>
            <w:r>
              <w:rPr/>
              <w:t>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bottom w:val="single" w:sz="12" w:space="0" w:color="000000"/>
            </w:tcBorders>
            <w:shd w:fill="CCEEFF" w:val="clear"/>
            <w:vAlign w:val="center"/>
          </w:tcPr>
          <w:p>
            <w:pPr>
              <w:pStyle w:val="TableContents"/>
              <w:bidi w:val="0"/>
              <w:spacing w:before="0" w:after="283"/>
              <w:jc w:val="left"/>
              <w:rPr/>
            </w:pPr>
            <w:r>
              <w:rPr/>
              <w:t> </w:t>
            </w:r>
          </w:p>
        </w:tc>
        <w:tc>
          <w:tcPr>
            <w:tcW w:w="1209" w:type="dxa"/>
            <w:tcBorders>
              <w:bottom w:val="single" w:sz="12" w:space="0" w:color="000000"/>
            </w:tcBorders>
            <w:shd w:fill="CCEEFF" w:val="clear"/>
            <w:vAlign w:val="center"/>
          </w:tcPr>
          <w:p>
            <w:pPr>
              <w:pStyle w:val="TableContents"/>
              <w:bidi w:val="0"/>
              <w:spacing w:before="0" w:after="283"/>
              <w:jc w:val="right"/>
              <w:rPr/>
            </w:pPr>
            <w:r>
              <w:rPr/>
              <w:t>5,743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bottom w:val="single" w:sz="12" w:space="0" w:color="000000"/>
            </w:tcBorders>
            <w:shd w:fill="CCEEFF" w:val="clear"/>
            <w:vAlign w:val="center"/>
          </w:tcPr>
          <w:p>
            <w:pPr>
              <w:pStyle w:val="TableContents"/>
              <w:bidi w:val="0"/>
              <w:spacing w:before="0" w:after="283"/>
              <w:jc w:val="left"/>
              <w:rPr/>
            </w:pPr>
            <w:r>
              <w:rPr/>
              <w:t> </w:t>
            </w:r>
          </w:p>
        </w:tc>
        <w:tc>
          <w:tcPr>
            <w:tcW w:w="1245" w:type="dxa"/>
            <w:tcBorders>
              <w:bottom w:val="single" w:sz="12" w:space="0" w:color="000000"/>
            </w:tcBorders>
            <w:shd w:fill="CCEEFF" w:val="clear"/>
            <w:vAlign w:val="center"/>
          </w:tcPr>
          <w:p>
            <w:pPr>
              <w:pStyle w:val="TableContents"/>
              <w:bidi w:val="0"/>
              <w:spacing w:before="0" w:after="283"/>
              <w:jc w:val="right"/>
              <w:rPr/>
            </w:pPr>
            <w:r>
              <w:rPr/>
              <w:t>(9,598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980" w:type="dxa"/>
            <w:tcBorders/>
            <w:tcMar>
              <w:bottom w:w="0" w:type="dxa"/>
            </w:tcMar>
            <w:vAlign w:val="center"/>
          </w:tcPr>
          <w:p>
            <w:pPr>
              <w:pStyle w:val="TableContents"/>
              <w:bidi w:val="0"/>
              <w:spacing w:before="0" w:after="283"/>
              <w:jc w:val="left"/>
              <w:rPr/>
            </w:pPr>
            <w:r>
              <w:rPr/>
              <w:t>Net decrease in cash and cash equivalents</w:t>
            </w:r>
          </w:p>
        </w:tc>
        <w:tc>
          <w:tcPr>
            <w:tcW w:w="60" w:type="dxa"/>
            <w:tcBorders/>
            <w:tcMar>
              <w:bottom w:w="0" w:type="dxa"/>
            </w:tcMar>
            <w:vAlign w:val="center"/>
          </w:tcPr>
          <w:p>
            <w:pPr>
              <w:pStyle w:val="TableContents"/>
              <w:bidi w:val="0"/>
              <w:spacing w:before="0" w:after="283"/>
              <w:jc w:val="left"/>
              <w:rPr/>
            </w:pPr>
            <w:r>
              <w:rPr/>
              <w:t> </w:t>
            </w:r>
          </w:p>
        </w:tc>
        <w:tc>
          <w:tcPr>
            <w:tcW w:w="266" w:type="dxa"/>
            <w:tcBorders>
              <w:bottom w:val="double" w:sz="10" w:space="0" w:color="000000"/>
            </w:tcBorders>
            <w:vAlign w:val="center"/>
          </w:tcPr>
          <w:p>
            <w:pPr>
              <w:pStyle w:val="TableContents"/>
              <w:bidi w:val="0"/>
              <w:spacing w:before="0" w:after="283"/>
              <w:jc w:val="left"/>
              <w:rPr/>
            </w:pPr>
            <w:r>
              <w:rPr/>
              <w:t>$</w:t>
            </w:r>
          </w:p>
        </w:tc>
        <w:tc>
          <w:tcPr>
            <w:tcW w:w="1209" w:type="dxa"/>
            <w:tcBorders>
              <w:bottom w:val="double" w:sz="10" w:space="0" w:color="000000"/>
            </w:tcBorders>
            <w:vAlign w:val="center"/>
          </w:tcPr>
          <w:p>
            <w:pPr>
              <w:pStyle w:val="TableContents"/>
              <w:bidi w:val="0"/>
              <w:spacing w:before="0" w:after="283"/>
              <w:jc w:val="right"/>
              <w:rPr/>
            </w:pPr>
            <w:r>
              <w:rPr/>
              <w:t>(167</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30" w:type="dxa"/>
            <w:tcBorders>
              <w:bottom w:val="double" w:sz="10" w:space="0" w:color="000000"/>
            </w:tcBorders>
            <w:vAlign w:val="center"/>
          </w:tcPr>
          <w:p>
            <w:pPr>
              <w:pStyle w:val="TableContents"/>
              <w:bidi w:val="0"/>
              <w:spacing w:before="0" w:after="283"/>
              <w:jc w:val="left"/>
              <w:rPr/>
            </w:pPr>
            <w:r>
              <w:rPr/>
              <w:t>$</w:t>
            </w:r>
          </w:p>
        </w:tc>
        <w:tc>
          <w:tcPr>
            <w:tcW w:w="1245" w:type="dxa"/>
            <w:tcBorders>
              <w:bottom w:val="double" w:sz="10" w:space="0" w:color="000000"/>
            </w:tcBorders>
            <w:vAlign w:val="center"/>
          </w:tcPr>
          <w:p>
            <w:pPr>
              <w:pStyle w:val="TableContents"/>
              <w:bidi w:val="0"/>
              <w:spacing w:before="0" w:after="283"/>
              <w:jc w:val="right"/>
              <w:rPr/>
            </w:pPr>
            <w:r>
              <w:rPr/>
              <w:t>(10,303</w:t>
            </w:r>
          </w:p>
        </w:tc>
        <w:tc>
          <w:tcPr>
            <w:tcW w:w="11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2024, our operating cash flows included a net loss of $17.4 million, a $15.5 million change in the fair value of warrant liabilities, $2.2 million decrease related to accrued acquisition liabilities due to issuance of held-back-shares, $1.8 million decrease related to recovery of provision for slow-moving inventory, $7.1 gain on a supply agreement $1.1 million related to depreciation and amortization, and $0.9 million of stock based compensation expense. Net cash was increased by changes in operating assets and liabilities of $3.3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our operating cash flows included a net loss of $19.2 million, a change in the provision for credit losses of $14.8 million, a $4.6 million loss on extinguishment of notes payable, and $1.4 million of depreciation and amortization expense, $2.1 million in stock based compensation expense, a $2.9 million decrease to inventory reserves, and a $3.6 million credit related to the change in fair value of warrant liabilities. Net cash increased by changes in operating assets and liabilities of $6.2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from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2024, net cash provided in investing activities was $0.3 million, which primarily resulted from cash inflows of $0.3 million in proceeds from the repayment of a loan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net cash provided by investing activities was $25.3 million, which primarily included cash inflows of $10.5 million in proceeds from the sale of securities and $15.3 million in proceeds from the repayment of a loan receivable, partially offset by cash outflows of $0.6 million in costs related to the issuance of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from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2024, net cash provided by financing activities was $5.7 million. Net cash provided by financing activities was primarily driven by proceeds from issuance of related party notes of $4.0 million and proceeds from an issuance of Common Stock through an S-1 and Pre-Funded Warrants offering of $2.1 million, offset by $0.4 million in payments on insurance financing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net cash used in financing activities was $9.6 million, which was primarily driven by repayment of debt in a private placement of $10.3 million and payments on insurance financing loans of $1.2 million, partially offset by proceeds from the ATM Program of $1.5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pStyle w:val="TextBody"/>
        <w:bidi w:val="0"/>
        <w:spacing w:before="0" w:after="0"/>
        <w:ind w:left="0" w:right="0" w:firstLine="41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 Item, 2, “Management’s Discussion and Analysis of Financial Condition and Results of Operations” discusses our unaudited condensed consolidated financial statements, which have been prepared in accordance with U.S. GAAP. The preparation of these unaudited condensed consolidated financial statements requires management to make estimates and assumptions that affect the reported amounts of assets and liabilities and the disclosure of contingent assets and liabilities at the date of the unaudited condensed consolidated financial statements and the reported amounts of revenues and expenses during the reporting period. Actual results may differ from these estimates under different assumptions or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goodwill impairment assessment, revenue recognition and 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and estimates that have been adopted and followed in the preparation of our condensed consolidated financial statements are detailed in Note 1 - Overview, Basis of Presentation and Significant Accounting Policies included in our 2023 Annual Report and Note 1 - Overview, Basis of Presentation and Significant Accounting Policies to our unaudited condensed consolidated financial statements in Part I, Item 1 of this Quarterly Report on Form 10-Q. There have been no changes in these policies and estimates that had a significant impact on the financial condition and results of operations for the periods covered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recently issued accounting pronouncements are included within Note 1 - Overview, Basis of Presentation and Significant Accounting Policies, included elsewhere in the notes to unaudited condensed consolidated financial statements covered under Part I, Item 1 of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new accounting pronouncements not yet adopted are included within Note 1 - Overview, Basis of Presentation and Significant Accounting Policies, included elsewhere in the notes to unaudited condensed consolidated financial statements covered under Part I, Item 1 in this Quarterly Report on Form 10-Q.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17 C.F.R. § 229.10, the Company is not required to provide information required by this Item.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Interim Chief Executive Officer,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paragraph (b) of Rules 13a-15 and 15d-15 under the Exchange Act, our Interim Chief Executive Officer carried out an evaluation of the effectiveness of the design and operation of our disclosure controls and procedures as of September 30, 2024. Based on this evaluation, our Interim Chief Executive Officer concluded that, due to the material weaknesses in our internal control over financial reporting previously identified in Item 9A, “Controls and Procedures” of our Annual Report on Form 10-K for the fiscal year ended December 31, 2023 and filed with the SEC on April 15, 2024, as amended on April 29, 2024 our disclosure controls and procedures were not effective at the reasonable assurance level as of September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with the oversight of the Audit Committee of our Board of Directors, continue to focus on remediating the material weaknesses identified in the design and operation of our internal control over financial reporting, including hiring additional qualified personnel, further documentation and implementation of control procedures and the implementation of control monitoring. While we have begun the process of talking through measures which we believe will remediate the underlying cause of these material weaknesses, there can be no assurance as to when the remediation plan will be fully developed and implemented and whether such measures will be effective. Until our remediation plan is fully implemented and effective, we will continue to devote time, attention and financial resources to this effort.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those measures intended to remediate the material weaknesses noted above, there have been no changes in our internal control over financial reporting (as such term is defined in Rules 13a-15(f) and 15d-15(f) under the Exchange Act) during the quarter ended September 30, 2024 that have materially affected, or are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a party to various legal proceedings or claims arising in the ordinary course of business. For information related to legal proceedings, see the discussion under the caption Legal Proceedings in Note 14 - Commitments and Contingencies to our unaudited condensed consolidated financial statements included in Part I, Item 1 of this Quarterly Report, which information is incorporated by reference into this Part II, Item 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there are no material changes to our risk factors as previously disclosed in Part I, Item 1A of our Annual Report on Form 10-K for the year ended December 31,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Item 6. Exhibits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3"/>
        <w:gridCol w:w="60"/>
        <w:gridCol w:w="9372"/>
      </w:tblGrid>
      <w:tr>
        <w:trPr/>
        <w:tc>
          <w:tcPr>
            <w:tcW w:w="773"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72"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773" w:type="dxa"/>
            <w:tcBorders/>
            <w:shd w:fill="CCEEFF" w:val="clear"/>
            <w:tcMar>
              <w:bottom w:w="0" w:type="dxa"/>
            </w:tcMar>
            <w:vAlign w:val="center"/>
          </w:tcPr>
          <w:p>
            <w:pPr>
              <w:pStyle w:val="TableContents"/>
              <w:bidi w:val="0"/>
              <w:spacing w:before="0" w:after="283"/>
              <w:jc w:val="left"/>
              <w:rPr>
                <w:b/>
                <w:sz w:val="20"/>
              </w:rPr>
            </w:pPr>
            <w:r>
              <w:rPr>
                <w:b/>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2" w:type="dxa"/>
            <w:tcBorders/>
            <w:shd w:fill="CCEEFF" w:val="clear"/>
            <w:tcMar>
              <w:bottom w:w="0" w:type="dxa"/>
            </w:tcMar>
            <w:vAlign w:val="center"/>
          </w:tcPr>
          <w:p>
            <w:pPr>
              <w:pStyle w:val="TableContents"/>
              <w:bidi w:val="0"/>
              <w:spacing w:before="0" w:after="283"/>
              <w:jc w:val="both"/>
              <w:rPr/>
            </w:pPr>
            <w:hyperlink r:id="rId3">
              <w:r>
                <w:rPr>
                  <w:rStyle w:val="InternetLink"/>
                  <w:sz w:val="20"/>
                </w:rPr>
                <w:t>Articles of Amendment to Articles of Incorporation of Agrify Corporation, filed October 3, 2024 (incorporated by reference to Exhibit 3.1 to the Company’s Current Report on Form 8-K filed with the Securities and Exchange Commission on October 4, 2024).</w:t>
              </w:r>
            </w:hyperlink>
          </w:p>
        </w:tc>
      </w:tr>
      <w:tr>
        <w:trPr/>
        <w:tc>
          <w:tcPr>
            <w:tcW w:w="773" w:type="dxa"/>
            <w:tcBorders/>
            <w:tcMar>
              <w:bottom w:w="0" w:type="dxa"/>
            </w:tcMar>
            <w:vAlign w:val="center"/>
          </w:tcPr>
          <w:p>
            <w:pPr>
              <w:pStyle w:val="TableContents"/>
              <w:bidi w:val="0"/>
              <w:spacing w:before="0" w:after="283"/>
              <w:jc w:val="left"/>
              <w:rPr>
                <w:sz w:val="20"/>
              </w:rPr>
            </w:pPr>
            <w:r>
              <w:rPr>
                <w:sz w:val="20"/>
              </w:rPr>
              <w:t>4.1</w:t>
            </w:r>
          </w:p>
        </w:tc>
        <w:tc>
          <w:tcPr>
            <w:tcW w:w="60" w:type="dxa"/>
            <w:tcBorders/>
            <w:tcMar>
              <w:bottom w:w="0" w:type="dxa"/>
            </w:tcMar>
            <w:vAlign w:val="center"/>
          </w:tcPr>
          <w:p>
            <w:pPr>
              <w:pStyle w:val="TableContents"/>
              <w:bidi w:val="0"/>
              <w:spacing w:before="0" w:after="283"/>
              <w:jc w:val="left"/>
              <w:rPr/>
            </w:pPr>
            <w:r>
              <w:rPr/>
              <w:t> </w:t>
            </w:r>
          </w:p>
        </w:tc>
        <w:tc>
          <w:tcPr>
            <w:tcW w:w="9372" w:type="dxa"/>
            <w:tcBorders/>
            <w:tcMar>
              <w:bottom w:w="0" w:type="dxa"/>
            </w:tcMar>
            <w:vAlign w:val="center"/>
          </w:tcPr>
          <w:p>
            <w:pPr>
              <w:pStyle w:val="TableContents"/>
              <w:bidi w:val="0"/>
              <w:spacing w:before="0" w:after="283"/>
              <w:jc w:val="both"/>
              <w:rPr/>
            </w:pPr>
            <w:hyperlink r:id="rId4">
              <w:r>
                <w:rPr>
                  <w:rStyle w:val="InternetLink"/>
                  <w:sz w:val="20"/>
                </w:rPr>
                <w:t>Amendment No. 1 to Junior Secured Convertible Promissory Note, dated as of October 18, 2024 (incorporated by reference to Exhibit 4.1 to the Company’s Current Report on Form 8-K filed with the Securities and Exchange Commission on October 22, 2024).</w:t>
              </w:r>
            </w:hyperlink>
          </w:p>
        </w:tc>
      </w:tr>
      <w:tr>
        <w:trPr/>
        <w:tc>
          <w:tcPr>
            <w:tcW w:w="773" w:type="dxa"/>
            <w:tcBorders/>
            <w:shd w:fill="CCEEFF" w:val="clear"/>
            <w:tcMar>
              <w:bottom w:w="0" w:type="dxa"/>
            </w:tcMar>
            <w:vAlign w:val="center"/>
          </w:tcPr>
          <w:p>
            <w:pPr>
              <w:pStyle w:val="TableContents"/>
              <w:bidi w:val="0"/>
              <w:spacing w:before="0" w:after="283"/>
              <w:jc w:val="left"/>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2" w:type="dxa"/>
            <w:tcBorders/>
            <w:shd w:fill="CCEEFF" w:val="clear"/>
            <w:tcMar>
              <w:bottom w:w="0" w:type="dxa"/>
            </w:tcMar>
            <w:vAlign w:val="center"/>
          </w:tcPr>
          <w:p>
            <w:pPr>
              <w:pStyle w:val="TableContents"/>
              <w:bidi w:val="0"/>
              <w:spacing w:before="0" w:after="283"/>
              <w:jc w:val="both"/>
              <w:rPr/>
            </w:pPr>
            <w:hyperlink r:id="rId5">
              <w:r>
                <w:rPr>
                  <w:rStyle w:val="InternetLink"/>
                  <w:sz w:val="20"/>
                </w:rPr>
                <w:t>Secured Convertible Note (incorporated by reference to Exhibit 4.1 to the Company’s Current Report on Form 8-K filed with the Securities and Exchange Commission on November 5, 2024).</w:t>
              </w:r>
            </w:hyperlink>
          </w:p>
        </w:tc>
      </w:tr>
      <w:tr>
        <w:trPr/>
        <w:tc>
          <w:tcPr>
            <w:tcW w:w="773" w:type="dxa"/>
            <w:tcBorders/>
            <w:tcMar>
              <w:bottom w:w="0" w:type="dxa"/>
            </w:tcMar>
            <w:vAlign w:val="center"/>
          </w:tcPr>
          <w:p>
            <w:pPr>
              <w:pStyle w:val="TableContents"/>
              <w:bidi w:val="0"/>
              <w:spacing w:before="0" w:after="283"/>
              <w:jc w:val="left"/>
              <w:rPr>
                <w:sz w:val="20"/>
              </w:rPr>
            </w:pPr>
            <w:r>
              <w:rPr>
                <w:sz w:val="20"/>
              </w:rPr>
              <w:t>4.3</w:t>
            </w:r>
          </w:p>
        </w:tc>
        <w:tc>
          <w:tcPr>
            <w:tcW w:w="60" w:type="dxa"/>
            <w:tcBorders/>
            <w:tcMar>
              <w:bottom w:w="0" w:type="dxa"/>
            </w:tcMar>
            <w:vAlign w:val="center"/>
          </w:tcPr>
          <w:p>
            <w:pPr>
              <w:pStyle w:val="TableContents"/>
              <w:bidi w:val="0"/>
              <w:spacing w:before="0" w:after="283"/>
              <w:jc w:val="left"/>
              <w:rPr/>
            </w:pPr>
            <w:r>
              <w:rPr/>
              <w:t> </w:t>
            </w:r>
          </w:p>
        </w:tc>
        <w:tc>
          <w:tcPr>
            <w:tcW w:w="9372" w:type="dxa"/>
            <w:tcBorders/>
            <w:tcMar>
              <w:bottom w:w="0" w:type="dxa"/>
            </w:tcMar>
            <w:vAlign w:val="center"/>
          </w:tcPr>
          <w:p>
            <w:pPr>
              <w:pStyle w:val="TableContents"/>
              <w:bidi w:val="0"/>
              <w:spacing w:before="0" w:after="283"/>
              <w:jc w:val="both"/>
              <w:rPr/>
            </w:pPr>
            <w:hyperlink r:id="rId6">
              <w:r>
                <w:rPr>
                  <w:rStyle w:val="InternetLink"/>
                  <w:sz w:val="20"/>
                </w:rPr>
                <w:t>Amendment to Pre-Funded Comon Stock Purchase Warrant between Agrify Corporation and CP Acquisitions, LLC dated as of June 30, 2024 (incorporated by reference to Exhibit 4.1 to the Company’s Current Report on Form 8-K filed with the Securities and Exchange Commission on July 3, 2024)</w:t>
              </w:r>
            </w:hyperlink>
          </w:p>
        </w:tc>
      </w:tr>
      <w:tr>
        <w:trPr/>
        <w:tc>
          <w:tcPr>
            <w:tcW w:w="773" w:type="dxa"/>
            <w:tcBorders/>
            <w:shd w:fill="CCEEFF" w:val="clear"/>
            <w:tcMar>
              <w:bottom w:w="0" w:type="dxa"/>
            </w:tcMar>
            <w:vAlign w:val="center"/>
          </w:tcPr>
          <w:p>
            <w:pPr>
              <w:pStyle w:val="TableContents"/>
              <w:bidi w:val="0"/>
              <w:spacing w:before="0" w:after="283"/>
              <w:jc w:val="left"/>
              <w:rPr>
                <w:sz w:val="20"/>
              </w:rPr>
            </w:pPr>
            <w:r>
              <w:rPr>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2" w:type="dxa"/>
            <w:tcBorders/>
            <w:shd w:fill="CCEEFF" w:val="clear"/>
            <w:tcMar>
              <w:bottom w:w="0" w:type="dxa"/>
            </w:tcMar>
            <w:vAlign w:val="center"/>
          </w:tcPr>
          <w:p>
            <w:pPr>
              <w:pStyle w:val="TableContents"/>
              <w:bidi w:val="0"/>
              <w:spacing w:before="0" w:after="283"/>
              <w:jc w:val="both"/>
              <w:rPr/>
            </w:pPr>
            <w:hyperlink r:id="rId7">
              <w:r>
                <w:rPr>
                  <w:rStyle w:val="InternetLink"/>
                  <w:sz w:val="20"/>
                </w:rPr>
                <w:t>Amendment to Pre-Funded Comon Stock Purchase Warrant between Agrify Corporation and GIC Acquisitions, LLC dated as of June 30, 2024 (incorporated by reference to Exhibit 4.2 to the Company’s Current Report on Form 8-K filed with the Securities and Exchange Commission on July 3, 2024)</w:t>
              </w:r>
            </w:hyperlink>
          </w:p>
        </w:tc>
      </w:tr>
      <w:tr>
        <w:trPr/>
        <w:tc>
          <w:tcPr>
            <w:tcW w:w="773" w:type="dxa"/>
            <w:tcBorders/>
            <w:tcMar>
              <w:bottom w:w="0" w:type="dxa"/>
            </w:tcMar>
            <w:vAlign w:val="center"/>
          </w:tcPr>
          <w:p>
            <w:pPr>
              <w:pStyle w:val="TableContents"/>
              <w:bidi w:val="0"/>
              <w:spacing w:before="0" w:after="283"/>
              <w:jc w:val="left"/>
              <w:rPr>
                <w:sz w:val="20"/>
              </w:rPr>
            </w:pPr>
            <w:r>
              <w:rPr>
                <w:sz w:val="20"/>
              </w:rPr>
              <w:t>10.1†</w:t>
            </w:r>
          </w:p>
        </w:tc>
        <w:tc>
          <w:tcPr>
            <w:tcW w:w="60" w:type="dxa"/>
            <w:tcBorders/>
            <w:tcMar>
              <w:bottom w:w="0" w:type="dxa"/>
            </w:tcMar>
            <w:vAlign w:val="center"/>
          </w:tcPr>
          <w:p>
            <w:pPr>
              <w:pStyle w:val="TableContents"/>
              <w:bidi w:val="0"/>
              <w:spacing w:before="0" w:after="283"/>
              <w:jc w:val="left"/>
              <w:rPr/>
            </w:pPr>
            <w:r>
              <w:rPr/>
              <w:t> </w:t>
            </w:r>
          </w:p>
        </w:tc>
        <w:tc>
          <w:tcPr>
            <w:tcW w:w="9372" w:type="dxa"/>
            <w:tcBorders/>
            <w:tcMar>
              <w:bottom w:w="0" w:type="dxa"/>
            </w:tcMar>
            <w:vAlign w:val="center"/>
          </w:tcPr>
          <w:p>
            <w:pPr>
              <w:pStyle w:val="TableContents"/>
              <w:bidi w:val="0"/>
              <w:spacing w:before="0" w:after="283"/>
              <w:jc w:val="both"/>
              <w:rPr/>
            </w:pPr>
            <w:hyperlink r:id="rId8">
              <w:r>
                <w:rPr>
                  <w:rStyle w:val="InternetLink"/>
                  <w:sz w:val="20"/>
                </w:rPr>
                <w:t>Purchase Agreement between Ionic Ventures, LLC and Agrify Corporation (incorporated by reference to Exhibit 10.1 to the Company’s Current Report on Form 8-K filed with the Securities and Exchange Commission on August 29, 2024).</w:t>
              </w:r>
            </w:hyperlink>
          </w:p>
        </w:tc>
      </w:tr>
      <w:tr>
        <w:trPr/>
        <w:tc>
          <w:tcPr>
            <w:tcW w:w="773" w:type="dxa"/>
            <w:tcBorders/>
            <w:shd w:fill="CCEEFF" w:val="clear"/>
            <w:tcMar>
              <w:bottom w:w="0" w:type="dxa"/>
            </w:tcMar>
            <w:vAlign w:val="center"/>
          </w:tcPr>
          <w:p>
            <w:pPr>
              <w:pStyle w:val="TableContents"/>
              <w:bidi w:val="0"/>
              <w:spacing w:before="0" w:after="283"/>
              <w:jc w:val="left"/>
              <w:rPr>
                <w:sz w:val="20"/>
              </w:rPr>
            </w:pPr>
            <w:r>
              <w:rPr>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2" w:type="dxa"/>
            <w:tcBorders/>
            <w:shd w:fill="CCEEFF" w:val="clear"/>
            <w:tcMar>
              <w:bottom w:w="0" w:type="dxa"/>
            </w:tcMar>
            <w:vAlign w:val="center"/>
          </w:tcPr>
          <w:p>
            <w:pPr>
              <w:pStyle w:val="TableContents"/>
              <w:bidi w:val="0"/>
              <w:spacing w:before="0" w:after="283"/>
              <w:jc w:val="both"/>
              <w:rPr/>
            </w:pPr>
            <w:hyperlink r:id="rId9">
              <w:r>
                <w:rPr>
                  <w:rStyle w:val="InternetLink"/>
                  <w:sz w:val="20"/>
                </w:rPr>
                <w:t>Registration Rights Agreement between Ionic Ventures, LLC and Agrify Corporation (incorporated by reference to Exhibit 10.2 to the Company’s Current Report on Form 8-K filed with the Securities and Exchange Commission on August 29, 2024).</w:t>
              </w:r>
            </w:hyperlink>
          </w:p>
        </w:tc>
      </w:tr>
      <w:tr>
        <w:trPr/>
        <w:tc>
          <w:tcPr>
            <w:tcW w:w="773" w:type="dxa"/>
            <w:tcBorders/>
            <w:tcMar>
              <w:bottom w:w="0" w:type="dxa"/>
            </w:tcMar>
            <w:vAlign w:val="center"/>
          </w:tcPr>
          <w:p>
            <w:pPr>
              <w:pStyle w:val="TableContents"/>
              <w:bidi w:val="0"/>
              <w:spacing w:before="0" w:after="283"/>
              <w:jc w:val="left"/>
              <w:rPr>
                <w:sz w:val="20"/>
              </w:rPr>
            </w:pPr>
            <w:r>
              <w:rPr>
                <w:sz w:val="20"/>
              </w:rPr>
              <w:t>10.3</w:t>
            </w:r>
          </w:p>
        </w:tc>
        <w:tc>
          <w:tcPr>
            <w:tcW w:w="60" w:type="dxa"/>
            <w:tcBorders/>
            <w:tcMar>
              <w:bottom w:w="0" w:type="dxa"/>
            </w:tcMar>
            <w:vAlign w:val="center"/>
          </w:tcPr>
          <w:p>
            <w:pPr>
              <w:pStyle w:val="TableContents"/>
              <w:bidi w:val="0"/>
              <w:spacing w:before="0" w:after="283"/>
              <w:jc w:val="left"/>
              <w:rPr/>
            </w:pPr>
            <w:r>
              <w:rPr/>
              <w:t> </w:t>
            </w:r>
          </w:p>
        </w:tc>
        <w:tc>
          <w:tcPr>
            <w:tcW w:w="9372" w:type="dxa"/>
            <w:tcBorders/>
            <w:tcMar>
              <w:bottom w:w="0" w:type="dxa"/>
            </w:tcMar>
            <w:vAlign w:val="center"/>
          </w:tcPr>
          <w:p>
            <w:pPr>
              <w:pStyle w:val="TableContents"/>
              <w:bidi w:val="0"/>
              <w:spacing w:before="0" w:after="283"/>
              <w:jc w:val="both"/>
              <w:rPr/>
            </w:pPr>
            <w:hyperlink r:id="rId10">
              <w:r>
                <w:rPr>
                  <w:rStyle w:val="InternetLink"/>
                  <w:sz w:val="20"/>
                </w:rPr>
                <w:t>Amendment to Pre-Funded Common Stock Purchase Warrant, dated as of August 28, 2024, by and between Agrify Corporation and CP Acquisitions, LLC (incorporated by reference to Exhibit 10.3 to the Company’s Current Report on Form 8-K filed with the Securities and Exchange Commission on August 29, 2024).</w:t>
              </w:r>
            </w:hyperlink>
          </w:p>
        </w:tc>
      </w:tr>
      <w:tr>
        <w:trPr/>
        <w:tc>
          <w:tcPr>
            <w:tcW w:w="773"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2" w:type="dxa"/>
            <w:tcBorders/>
            <w:shd w:fill="CCEEFF" w:val="clear"/>
            <w:tcMar>
              <w:bottom w:w="0" w:type="dxa"/>
            </w:tcMar>
            <w:vAlign w:val="center"/>
          </w:tcPr>
          <w:p>
            <w:pPr>
              <w:pStyle w:val="TableContents"/>
              <w:bidi w:val="0"/>
              <w:spacing w:before="0" w:after="283"/>
              <w:jc w:val="both"/>
              <w:rPr/>
            </w:pPr>
            <w:hyperlink r:id="rId11">
              <w:r>
                <w:rPr>
                  <w:rStyle w:val="InternetLink"/>
                  <w:sz w:val="20"/>
                </w:rPr>
                <w:t>Amendment to Pre-Funded Common Stock Purchase Warrant, dated as of August 28, 2024, by and between Agrify Corporation and GIC Acquisition LLC (incorporated by reference to Exhibit 10.4 to the Company’s Current Report on Form 8-K filed with the Securities and Exchange Commission on August 29, 2024).</w:t>
              </w:r>
            </w:hyperlink>
          </w:p>
        </w:tc>
      </w:tr>
      <w:tr>
        <w:trPr/>
        <w:tc>
          <w:tcPr>
            <w:tcW w:w="773" w:type="dxa"/>
            <w:tcBorders/>
            <w:tcMar>
              <w:bottom w:w="0" w:type="dxa"/>
            </w:tcMar>
            <w:vAlign w:val="center"/>
          </w:tcPr>
          <w:p>
            <w:pPr>
              <w:pStyle w:val="TableContents"/>
              <w:bidi w:val="0"/>
              <w:spacing w:before="0" w:after="283"/>
              <w:jc w:val="left"/>
              <w:rPr>
                <w:sz w:val="20"/>
              </w:rPr>
            </w:pPr>
            <w:r>
              <w:rPr>
                <w:sz w:val="20"/>
              </w:rPr>
              <w:t>10.5†#</w:t>
            </w:r>
          </w:p>
        </w:tc>
        <w:tc>
          <w:tcPr>
            <w:tcW w:w="60" w:type="dxa"/>
            <w:tcBorders/>
            <w:tcMar>
              <w:bottom w:w="0" w:type="dxa"/>
            </w:tcMar>
            <w:vAlign w:val="center"/>
          </w:tcPr>
          <w:p>
            <w:pPr>
              <w:pStyle w:val="TableContents"/>
              <w:bidi w:val="0"/>
              <w:spacing w:before="0" w:after="283"/>
              <w:jc w:val="left"/>
              <w:rPr/>
            </w:pPr>
            <w:r>
              <w:rPr/>
              <w:t> </w:t>
            </w:r>
          </w:p>
        </w:tc>
        <w:tc>
          <w:tcPr>
            <w:tcW w:w="9372" w:type="dxa"/>
            <w:tcBorders/>
            <w:tcMar>
              <w:bottom w:w="0" w:type="dxa"/>
            </w:tcMar>
            <w:vAlign w:val="center"/>
          </w:tcPr>
          <w:p>
            <w:pPr>
              <w:pStyle w:val="TableContents"/>
              <w:bidi w:val="0"/>
              <w:spacing w:before="0" w:after="283"/>
              <w:jc w:val="both"/>
              <w:rPr/>
            </w:pPr>
            <w:hyperlink r:id="rId12">
              <w:r>
                <w:rPr>
                  <w:rStyle w:val="InternetLink"/>
                  <w:sz w:val="20"/>
                </w:rPr>
                <w:t>First Amendment to Modification and Settlement Agreement, dated as of August 30, 2024, by and between Agrify Corporation and Mack Molding Company (incorporated by reference to Exhibit 10.1 to the Company’s Current Report on Form 8-K filed with the Securities and Exchange Commission on September 4, 2024).</w:t>
              </w:r>
            </w:hyperlink>
          </w:p>
        </w:tc>
      </w:tr>
      <w:tr>
        <w:trPr/>
        <w:tc>
          <w:tcPr>
            <w:tcW w:w="773" w:type="dxa"/>
            <w:tcBorders/>
            <w:shd w:fill="CCEEFF" w:val="clear"/>
            <w:tcMar>
              <w:bottom w:w="0" w:type="dxa"/>
            </w:tcMar>
            <w:vAlign w:val="center"/>
          </w:tcPr>
          <w:p>
            <w:pPr>
              <w:pStyle w:val="TableContents"/>
              <w:bidi w:val="0"/>
              <w:spacing w:before="0" w:after="283"/>
              <w:jc w:val="left"/>
              <w:rPr>
                <w:sz w:val="20"/>
              </w:rPr>
            </w:pPr>
            <w:r>
              <w:rPr>
                <w:sz w:val="20"/>
              </w:rPr>
              <w:t>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2" w:type="dxa"/>
            <w:tcBorders/>
            <w:shd w:fill="CCEEFF" w:val="clear"/>
            <w:tcMar>
              <w:bottom w:w="0" w:type="dxa"/>
            </w:tcMar>
            <w:vAlign w:val="center"/>
          </w:tcPr>
          <w:p>
            <w:pPr>
              <w:pStyle w:val="TableContents"/>
              <w:bidi w:val="0"/>
              <w:spacing w:before="0" w:after="283"/>
              <w:jc w:val="both"/>
              <w:rPr/>
            </w:pPr>
            <w:hyperlink r:id="rId13">
              <w:r>
                <w:rPr>
                  <w:rStyle w:val="InternetLink"/>
                  <w:sz w:val="20"/>
                </w:rPr>
                <w:t>Amendment to Pre-Funded Common Stock Purchase Warrant, dated as of September 27, 2024, by and between Agrify Corporation and CP Acquisitions, LLC (incorporated by reference to Exhibit 10.1 to the Company’s Current Report on Form 8-K filed with the Securities and Exchange Commission on October 1, 2024).</w:t>
              </w:r>
            </w:hyperlink>
          </w:p>
        </w:tc>
      </w:tr>
      <w:tr>
        <w:trPr/>
        <w:tc>
          <w:tcPr>
            <w:tcW w:w="773" w:type="dxa"/>
            <w:tcBorders/>
            <w:tcMar>
              <w:bottom w:w="0" w:type="dxa"/>
            </w:tcMar>
            <w:vAlign w:val="center"/>
          </w:tcPr>
          <w:p>
            <w:pPr>
              <w:pStyle w:val="TableContents"/>
              <w:bidi w:val="0"/>
              <w:spacing w:before="0" w:after="283"/>
              <w:jc w:val="left"/>
              <w:rPr>
                <w:sz w:val="20"/>
              </w:rPr>
            </w:pPr>
            <w:r>
              <w:rPr>
                <w:sz w:val="20"/>
              </w:rPr>
              <w:t>10.7</w:t>
            </w:r>
          </w:p>
        </w:tc>
        <w:tc>
          <w:tcPr>
            <w:tcW w:w="60" w:type="dxa"/>
            <w:tcBorders/>
            <w:tcMar>
              <w:bottom w:w="0" w:type="dxa"/>
            </w:tcMar>
            <w:vAlign w:val="center"/>
          </w:tcPr>
          <w:p>
            <w:pPr>
              <w:pStyle w:val="TableContents"/>
              <w:bidi w:val="0"/>
              <w:spacing w:before="0" w:after="283"/>
              <w:jc w:val="left"/>
              <w:rPr/>
            </w:pPr>
            <w:r>
              <w:rPr/>
              <w:t> </w:t>
            </w:r>
          </w:p>
        </w:tc>
        <w:tc>
          <w:tcPr>
            <w:tcW w:w="9372" w:type="dxa"/>
            <w:tcBorders/>
            <w:tcMar>
              <w:bottom w:w="0" w:type="dxa"/>
            </w:tcMar>
            <w:vAlign w:val="center"/>
          </w:tcPr>
          <w:p>
            <w:pPr>
              <w:pStyle w:val="TableContents"/>
              <w:bidi w:val="0"/>
              <w:spacing w:before="0" w:after="283"/>
              <w:jc w:val="both"/>
              <w:rPr/>
            </w:pPr>
            <w:hyperlink r:id="rId14">
              <w:r>
                <w:rPr>
                  <w:rStyle w:val="InternetLink"/>
                  <w:sz w:val="20"/>
                </w:rPr>
                <w:t>Amendment to Pre-Funded Common Stock Purchase Warrant, dated as of September 27, 2024, by and between Agrify Corporation and GIC Acquisition LLC (incorporated by reference to Exhibit 10.2 to the Company’s Current Report on Form 8-K filed with the Securities and Exchange Commission on October 1, 2024).</w:t>
              </w:r>
            </w:hyperlink>
          </w:p>
        </w:tc>
      </w:tr>
      <w:tr>
        <w:trPr/>
        <w:tc>
          <w:tcPr>
            <w:tcW w:w="773" w:type="dxa"/>
            <w:tcBorders/>
            <w:shd w:fill="CCEEFF" w:val="clear"/>
            <w:tcMar>
              <w:bottom w:w="0" w:type="dxa"/>
            </w:tcMar>
            <w:vAlign w:val="center"/>
          </w:tcPr>
          <w:p>
            <w:pPr>
              <w:pStyle w:val="TableContents"/>
              <w:bidi w:val="0"/>
              <w:spacing w:before="0" w:after="283"/>
              <w:jc w:val="left"/>
              <w:rPr>
                <w:sz w:val="20"/>
              </w:rPr>
            </w:pPr>
            <w:r>
              <w:rPr>
                <w:sz w:val="20"/>
              </w:rPr>
              <w:t>10.8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2" w:type="dxa"/>
            <w:tcBorders/>
            <w:shd w:fill="CCEEFF" w:val="clear"/>
            <w:tcMar>
              <w:bottom w:w="0" w:type="dxa"/>
            </w:tcMar>
            <w:vAlign w:val="center"/>
          </w:tcPr>
          <w:p>
            <w:pPr>
              <w:pStyle w:val="TableContents"/>
              <w:bidi w:val="0"/>
              <w:spacing w:before="0" w:after="283"/>
              <w:jc w:val="both"/>
              <w:rPr/>
            </w:pPr>
            <w:hyperlink r:id="rId15">
              <w:r>
                <w:rPr>
                  <w:rStyle w:val="InternetLink"/>
                  <w:sz w:val="20"/>
                </w:rPr>
                <w:t>Severance Agreement, dated November 5, 2024, between Agrify Corporation and Raymond Chang (incorporated by reference to Exhibit 10.1 to the Company’s Current Report on Form 8-K filed with the Securities and Exchange Commission on November 5, 2024).</w:t>
              </w:r>
            </w:hyperlink>
          </w:p>
        </w:tc>
      </w:tr>
      <w:tr>
        <w:trPr/>
        <w:tc>
          <w:tcPr>
            <w:tcW w:w="773" w:type="dxa"/>
            <w:tcBorders/>
            <w:tcMar>
              <w:bottom w:w="0" w:type="dxa"/>
            </w:tcMar>
            <w:vAlign w:val="center"/>
          </w:tcPr>
          <w:p>
            <w:pPr>
              <w:pStyle w:val="TableContents"/>
              <w:bidi w:val="0"/>
              <w:spacing w:before="0" w:after="283"/>
              <w:jc w:val="left"/>
              <w:rPr>
                <w:sz w:val="20"/>
              </w:rPr>
            </w:pPr>
            <w:r>
              <w:rPr>
                <w:sz w:val="20"/>
              </w:rPr>
              <w:t>10.3</w:t>
            </w:r>
          </w:p>
        </w:tc>
        <w:tc>
          <w:tcPr>
            <w:tcW w:w="60" w:type="dxa"/>
            <w:tcBorders/>
            <w:tcMar>
              <w:bottom w:w="0" w:type="dxa"/>
            </w:tcMar>
            <w:vAlign w:val="center"/>
          </w:tcPr>
          <w:p>
            <w:pPr>
              <w:pStyle w:val="TableContents"/>
              <w:bidi w:val="0"/>
              <w:spacing w:before="0" w:after="283"/>
              <w:jc w:val="left"/>
              <w:rPr/>
            </w:pPr>
            <w:r>
              <w:rPr/>
              <w:t> </w:t>
            </w:r>
          </w:p>
        </w:tc>
        <w:tc>
          <w:tcPr>
            <w:tcW w:w="9372" w:type="dxa"/>
            <w:tcBorders/>
            <w:tcMar>
              <w:bottom w:w="0" w:type="dxa"/>
            </w:tcMar>
            <w:vAlign w:val="center"/>
          </w:tcPr>
          <w:p>
            <w:pPr>
              <w:pStyle w:val="TableContents"/>
              <w:bidi w:val="0"/>
              <w:spacing w:before="0" w:after="283"/>
              <w:jc w:val="both"/>
              <w:rPr/>
            </w:pPr>
            <w:hyperlink r:id="rId16">
              <w:r>
                <w:rPr>
                  <w:rStyle w:val="InternetLink"/>
                  <w:sz w:val="20"/>
                </w:rPr>
                <w:t>Amendment to Pre-Funded Common Stock Purchase Warrant, dated as of August 28, 2024, by and between Agrify Corporation and CP Acquisitions, LLC (incorporated by reference to Exhibit 10.3 to the Company’s Current Report on Form 8-K filed with the Securities and Exchange Commission on August 29, 2024).</w:t>
              </w:r>
            </w:hyperlink>
          </w:p>
        </w:tc>
      </w:tr>
      <w:tr>
        <w:trPr/>
        <w:tc>
          <w:tcPr>
            <w:tcW w:w="773" w:type="dxa"/>
            <w:tcBorders/>
            <w:shd w:fill="CCEEFF" w:val="clear"/>
            <w:tcMar>
              <w:bottom w:w="0" w:type="dxa"/>
            </w:tcMar>
            <w:vAlign w:val="center"/>
          </w:tcPr>
          <w:p>
            <w:pPr>
              <w:pStyle w:val="TableContents"/>
              <w:bidi w:val="0"/>
              <w:spacing w:before="0" w:after="283"/>
              <w:jc w:val="left"/>
              <w:rPr>
                <w:sz w:val="20"/>
              </w:rPr>
            </w:pPr>
            <w:r>
              <w:rPr>
                <w:sz w:val="20"/>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2" w:type="dxa"/>
            <w:tcBorders/>
            <w:shd w:fill="CCEEFF" w:val="clear"/>
            <w:tcMar>
              <w:bottom w:w="0" w:type="dxa"/>
            </w:tcMar>
            <w:vAlign w:val="center"/>
          </w:tcPr>
          <w:p>
            <w:pPr>
              <w:pStyle w:val="TableContents"/>
              <w:bidi w:val="0"/>
              <w:spacing w:before="0" w:after="283"/>
              <w:jc w:val="both"/>
              <w:rPr/>
            </w:pPr>
            <w:hyperlink w:anchor="ea022074101ex31-1_agrify.htm">
              <w:r>
                <w:rPr>
                  <w:rStyle w:val="InternetLink"/>
                  <w:sz w:val="20"/>
                </w:rPr>
                <w:t>Rule 13(a)-14(a)/15(d)-14(a) Certification of principal executive officer and principal financial and accounting officer</w:t>
              </w:r>
            </w:hyperlink>
          </w:p>
        </w:tc>
      </w:tr>
      <w:tr>
        <w:trPr/>
        <w:tc>
          <w:tcPr>
            <w:tcW w:w="773" w:type="dxa"/>
            <w:tcBorders/>
            <w:tcMar>
              <w:bottom w:w="0" w:type="dxa"/>
            </w:tcMar>
            <w:vAlign w:val="center"/>
          </w:tcPr>
          <w:p>
            <w:pPr>
              <w:pStyle w:val="TableContents"/>
              <w:bidi w:val="0"/>
              <w:spacing w:before="0" w:after="283"/>
              <w:jc w:val="left"/>
              <w:rPr>
                <w:sz w:val="20"/>
              </w:rPr>
            </w:pPr>
            <w:r>
              <w:rPr>
                <w:sz w:val="20"/>
              </w:rPr>
              <w:t>32.1**</w:t>
            </w:r>
          </w:p>
        </w:tc>
        <w:tc>
          <w:tcPr>
            <w:tcW w:w="60" w:type="dxa"/>
            <w:tcBorders/>
            <w:tcMar>
              <w:bottom w:w="0" w:type="dxa"/>
            </w:tcMar>
            <w:vAlign w:val="center"/>
          </w:tcPr>
          <w:p>
            <w:pPr>
              <w:pStyle w:val="TableContents"/>
              <w:bidi w:val="0"/>
              <w:spacing w:before="0" w:after="283"/>
              <w:jc w:val="left"/>
              <w:rPr/>
            </w:pPr>
            <w:r>
              <w:rPr/>
              <w:t> </w:t>
            </w:r>
          </w:p>
        </w:tc>
        <w:tc>
          <w:tcPr>
            <w:tcW w:w="9372" w:type="dxa"/>
            <w:tcBorders/>
            <w:tcMar>
              <w:bottom w:w="0" w:type="dxa"/>
            </w:tcMar>
            <w:vAlign w:val="center"/>
          </w:tcPr>
          <w:p>
            <w:pPr>
              <w:pStyle w:val="TableContents"/>
              <w:bidi w:val="0"/>
              <w:spacing w:before="0" w:after="283"/>
              <w:jc w:val="both"/>
              <w:rPr/>
            </w:pPr>
            <w:hyperlink w:anchor="ea022074101ex32-1_agrify.htm">
              <w:r>
                <w:rPr>
                  <w:rStyle w:val="InternetLink"/>
                  <w:sz w:val="20"/>
                </w:rPr>
                <w:t>Section 1350 Certification of principal executive officer and principal financial and accounting officer</w:t>
              </w:r>
            </w:hyperlink>
          </w:p>
        </w:tc>
      </w:tr>
      <w:tr>
        <w:trPr/>
        <w:tc>
          <w:tcPr>
            <w:tcW w:w="773" w:type="dxa"/>
            <w:tcBorders/>
            <w:shd w:fill="CCEEFF" w:val="clear"/>
            <w:tcMar>
              <w:bottom w:w="0" w:type="dxa"/>
            </w:tcMar>
            <w:vAlign w:val="center"/>
          </w:tcPr>
          <w:p>
            <w:pPr>
              <w:pStyle w:val="TableContents"/>
              <w:bidi w:val="0"/>
              <w:spacing w:before="0" w:after="283"/>
              <w:jc w:val="left"/>
              <w:rPr>
                <w:sz w:val="20"/>
              </w:rPr>
            </w:pPr>
            <w:r>
              <w:rPr>
                <w:sz w:val="20"/>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2" w:type="dxa"/>
            <w:tcBorders/>
            <w:shd w:fill="CCEEFF" w:val="clear"/>
            <w:tcMar>
              <w:bottom w:w="0" w:type="dxa"/>
            </w:tcMar>
            <w:vAlign w:val="center"/>
          </w:tcPr>
          <w:p>
            <w:pPr>
              <w:pStyle w:val="TableContents"/>
              <w:bidi w:val="0"/>
              <w:spacing w:before="0" w:after="283"/>
              <w:jc w:val="both"/>
              <w:rPr>
                <w:sz w:val="20"/>
              </w:rPr>
            </w:pPr>
            <w:r>
              <w:rPr>
                <w:sz w:val="20"/>
              </w:rPr>
              <w:t>Inline XBRL Instance Document</w:t>
            </w:r>
          </w:p>
        </w:tc>
      </w:tr>
      <w:tr>
        <w:trPr/>
        <w:tc>
          <w:tcPr>
            <w:tcW w:w="773" w:type="dxa"/>
            <w:tcBorders/>
            <w:tcMar>
              <w:bottom w:w="0" w:type="dxa"/>
            </w:tcMar>
            <w:vAlign w:val="center"/>
          </w:tcPr>
          <w:p>
            <w:pPr>
              <w:pStyle w:val="TableContents"/>
              <w:bidi w:val="0"/>
              <w:spacing w:before="0" w:after="283"/>
              <w:jc w:val="left"/>
              <w:rPr>
                <w:sz w:val="20"/>
              </w:rPr>
            </w:pPr>
            <w:r>
              <w:rPr>
                <w:sz w:val="20"/>
              </w:rPr>
              <w:t>101.SCH</w:t>
            </w:r>
          </w:p>
        </w:tc>
        <w:tc>
          <w:tcPr>
            <w:tcW w:w="60" w:type="dxa"/>
            <w:tcBorders/>
            <w:tcMar>
              <w:bottom w:w="0" w:type="dxa"/>
            </w:tcMar>
            <w:vAlign w:val="center"/>
          </w:tcPr>
          <w:p>
            <w:pPr>
              <w:pStyle w:val="TableContents"/>
              <w:bidi w:val="0"/>
              <w:spacing w:before="0" w:after="283"/>
              <w:jc w:val="left"/>
              <w:rPr/>
            </w:pPr>
            <w:r>
              <w:rPr/>
              <w:t> </w:t>
            </w:r>
          </w:p>
        </w:tc>
        <w:tc>
          <w:tcPr>
            <w:tcW w:w="9372" w:type="dxa"/>
            <w:tcBorders/>
            <w:tcMar>
              <w:bottom w:w="0" w:type="dxa"/>
            </w:tcMar>
            <w:vAlign w:val="center"/>
          </w:tcPr>
          <w:p>
            <w:pPr>
              <w:pStyle w:val="TableContents"/>
              <w:bidi w:val="0"/>
              <w:spacing w:before="0" w:after="283"/>
              <w:jc w:val="both"/>
              <w:rPr>
                <w:sz w:val="20"/>
              </w:rPr>
            </w:pPr>
            <w:r>
              <w:rPr>
                <w:sz w:val="20"/>
              </w:rPr>
              <w:t>Inline XBRL Taxonomy Extension Schema Document.</w:t>
            </w:r>
          </w:p>
        </w:tc>
      </w:tr>
      <w:tr>
        <w:trPr/>
        <w:tc>
          <w:tcPr>
            <w:tcW w:w="773" w:type="dxa"/>
            <w:tcBorders/>
            <w:shd w:fill="CCEEFF" w:val="clear"/>
            <w:tcMar>
              <w:bottom w:w="0" w:type="dxa"/>
            </w:tcMar>
            <w:vAlign w:val="center"/>
          </w:tcPr>
          <w:p>
            <w:pPr>
              <w:pStyle w:val="TableContents"/>
              <w:bidi w:val="0"/>
              <w:spacing w:before="0" w:after="283"/>
              <w:jc w:val="left"/>
              <w:rPr>
                <w:sz w:val="20"/>
              </w:rPr>
            </w:pPr>
            <w:r>
              <w:rPr>
                <w:sz w:val="2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2" w:type="dxa"/>
            <w:tcBorders/>
            <w:shd w:fill="CCEEFF" w:val="clear"/>
            <w:tcMar>
              <w:bottom w:w="0" w:type="dxa"/>
            </w:tcMar>
            <w:vAlign w:val="center"/>
          </w:tcPr>
          <w:p>
            <w:pPr>
              <w:pStyle w:val="TableContents"/>
              <w:bidi w:val="0"/>
              <w:spacing w:before="0" w:after="283"/>
              <w:jc w:val="both"/>
              <w:rPr>
                <w:sz w:val="20"/>
              </w:rPr>
            </w:pPr>
            <w:r>
              <w:rPr>
                <w:sz w:val="20"/>
              </w:rPr>
              <w:t>Inline XBRL Taxonomy Extension Calculation Linkbase Document.</w:t>
            </w:r>
          </w:p>
        </w:tc>
      </w:tr>
      <w:tr>
        <w:trPr/>
        <w:tc>
          <w:tcPr>
            <w:tcW w:w="773" w:type="dxa"/>
            <w:tcBorders/>
            <w:tcMar>
              <w:bottom w:w="0" w:type="dxa"/>
            </w:tcMar>
            <w:vAlign w:val="center"/>
          </w:tcPr>
          <w:p>
            <w:pPr>
              <w:pStyle w:val="TableContents"/>
              <w:bidi w:val="0"/>
              <w:spacing w:before="0" w:after="283"/>
              <w:jc w:val="left"/>
              <w:rPr>
                <w:sz w:val="20"/>
              </w:rPr>
            </w:pPr>
            <w:r>
              <w:rPr>
                <w:sz w:val="20"/>
              </w:rPr>
              <w:t>101.DEF</w:t>
            </w:r>
          </w:p>
        </w:tc>
        <w:tc>
          <w:tcPr>
            <w:tcW w:w="60" w:type="dxa"/>
            <w:tcBorders/>
            <w:tcMar>
              <w:bottom w:w="0" w:type="dxa"/>
            </w:tcMar>
            <w:vAlign w:val="center"/>
          </w:tcPr>
          <w:p>
            <w:pPr>
              <w:pStyle w:val="TableContents"/>
              <w:bidi w:val="0"/>
              <w:spacing w:before="0" w:after="283"/>
              <w:jc w:val="left"/>
              <w:rPr/>
            </w:pPr>
            <w:r>
              <w:rPr/>
              <w:t> </w:t>
            </w:r>
          </w:p>
        </w:tc>
        <w:tc>
          <w:tcPr>
            <w:tcW w:w="9372" w:type="dxa"/>
            <w:tcBorders/>
            <w:tcMar>
              <w:bottom w:w="0" w:type="dxa"/>
            </w:tcMar>
            <w:vAlign w:val="center"/>
          </w:tcPr>
          <w:p>
            <w:pPr>
              <w:pStyle w:val="TableContents"/>
              <w:bidi w:val="0"/>
              <w:spacing w:before="0" w:after="283"/>
              <w:jc w:val="both"/>
              <w:rPr>
                <w:sz w:val="20"/>
              </w:rPr>
            </w:pPr>
            <w:r>
              <w:rPr>
                <w:sz w:val="20"/>
              </w:rPr>
              <w:t>Inline XBRL Taxonomy Extension Definition Linkbase Document.</w:t>
            </w:r>
          </w:p>
        </w:tc>
      </w:tr>
      <w:tr>
        <w:trPr/>
        <w:tc>
          <w:tcPr>
            <w:tcW w:w="773" w:type="dxa"/>
            <w:tcBorders/>
            <w:shd w:fill="CCEEFF" w:val="clear"/>
            <w:tcMar>
              <w:bottom w:w="0" w:type="dxa"/>
            </w:tcMar>
            <w:vAlign w:val="center"/>
          </w:tcPr>
          <w:p>
            <w:pPr>
              <w:pStyle w:val="TableContents"/>
              <w:bidi w:val="0"/>
              <w:spacing w:before="0" w:after="283"/>
              <w:jc w:val="left"/>
              <w:rPr>
                <w:sz w:val="20"/>
              </w:rPr>
            </w:pPr>
            <w:r>
              <w:rPr>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2" w:type="dxa"/>
            <w:tcBorders/>
            <w:shd w:fill="CCEEFF" w:val="clear"/>
            <w:tcMar>
              <w:bottom w:w="0" w:type="dxa"/>
            </w:tcMar>
            <w:vAlign w:val="center"/>
          </w:tcPr>
          <w:p>
            <w:pPr>
              <w:pStyle w:val="TableContents"/>
              <w:bidi w:val="0"/>
              <w:spacing w:before="0" w:after="283"/>
              <w:jc w:val="both"/>
              <w:rPr>
                <w:sz w:val="20"/>
              </w:rPr>
            </w:pPr>
            <w:r>
              <w:rPr>
                <w:sz w:val="20"/>
              </w:rPr>
              <w:t>Inline XBRL Taxonomy Extension Label Linkbase Document.</w:t>
            </w:r>
          </w:p>
        </w:tc>
      </w:tr>
      <w:tr>
        <w:trPr/>
        <w:tc>
          <w:tcPr>
            <w:tcW w:w="773" w:type="dxa"/>
            <w:tcBorders/>
            <w:tcMar>
              <w:bottom w:w="0" w:type="dxa"/>
            </w:tcMar>
            <w:vAlign w:val="center"/>
          </w:tcPr>
          <w:p>
            <w:pPr>
              <w:pStyle w:val="TableContents"/>
              <w:bidi w:val="0"/>
              <w:spacing w:before="0" w:after="283"/>
              <w:jc w:val="left"/>
              <w:rPr>
                <w:sz w:val="20"/>
              </w:rPr>
            </w:pPr>
            <w:r>
              <w:rPr>
                <w:sz w:val="20"/>
              </w:rPr>
              <w:t>101.PRE</w:t>
            </w:r>
          </w:p>
        </w:tc>
        <w:tc>
          <w:tcPr>
            <w:tcW w:w="60" w:type="dxa"/>
            <w:tcBorders/>
            <w:tcMar>
              <w:bottom w:w="0" w:type="dxa"/>
            </w:tcMar>
            <w:vAlign w:val="center"/>
          </w:tcPr>
          <w:p>
            <w:pPr>
              <w:pStyle w:val="TableContents"/>
              <w:bidi w:val="0"/>
              <w:spacing w:before="0" w:after="283"/>
              <w:jc w:val="left"/>
              <w:rPr/>
            </w:pPr>
            <w:r>
              <w:rPr/>
              <w:t> </w:t>
            </w:r>
          </w:p>
        </w:tc>
        <w:tc>
          <w:tcPr>
            <w:tcW w:w="9372" w:type="dxa"/>
            <w:tcBorders/>
            <w:tcMar>
              <w:bottom w:w="0" w:type="dxa"/>
            </w:tcMar>
            <w:vAlign w:val="center"/>
          </w:tcPr>
          <w:p>
            <w:pPr>
              <w:pStyle w:val="TableContents"/>
              <w:bidi w:val="0"/>
              <w:spacing w:before="0" w:after="283"/>
              <w:jc w:val="both"/>
              <w:rPr>
                <w:sz w:val="20"/>
              </w:rPr>
            </w:pPr>
            <w:r>
              <w:rPr>
                <w:sz w:val="20"/>
              </w:rPr>
              <w:t>Inline XBRL Taxonomy Extension Presentation Linkbase Document.</w:t>
            </w:r>
          </w:p>
        </w:tc>
      </w:tr>
      <w:tr>
        <w:trPr/>
        <w:tc>
          <w:tcPr>
            <w:tcW w:w="773"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2"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sz w:val="20"/>
              </w:rPr>
            </w:pPr>
            <w:r>
              <w:rPr>
                <w:sz w:val="20"/>
              </w:rPr>
              <w:t>*</w:t>
            </w:r>
          </w:p>
        </w:tc>
        <w:tc>
          <w:tcPr>
            <w:tcW w:w="1250"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245"/>
        <w:gridCol w:w="6095"/>
      </w:tblGrid>
      <w:tr>
        <w:trPr/>
        <w:tc>
          <w:tcPr>
            <w:tcW w:w="245" w:type="dxa"/>
            <w:tcBorders/>
            <w:vAlign w:val="center"/>
          </w:tcPr>
          <w:p>
            <w:pPr>
              <w:pStyle w:val="TableContents"/>
              <w:bidi w:val="0"/>
              <w:spacing w:before="0" w:after="283"/>
              <w:jc w:val="left"/>
              <w:rPr>
                <w:sz w:val="20"/>
              </w:rPr>
            </w:pPr>
            <w:r>
              <w:rPr>
                <w:sz w:val="20"/>
              </w:rPr>
              <w:t>**</w:t>
            </w:r>
          </w:p>
        </w:tc>
        <w:tc>
          <w:tcPr>
            <w:tcW w:w="6095" w:type="dxa"/>
            <w:tcBorders/>
            <w:vAlign w:val="center"/>
          </w:tcPr>
          <w:p>
            <w:pPr>
              <w:pStyle w:val="TableContents"/>
              <w:bidi w:val="0"/>
              <w:spacing w:before="0" w:after="283"/>
              <w:jc w:val="both"/>
              <w:rPr>
                <w:sz w:val="20"/>
              </w:rPr>
            </w:pPr>
            <w:r>
              <w:rPr>
                <w:sz w:val="20"/>
              </w:rPr>
              <w:t>Furnished herewith in accordance with Item 601 (b)(32) of Regulation S-K.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Certain confidential portions of this exhibit were omitted pursuant to Item 601(b)(2)(ii) of Regulation S-K because the identified confidential portions (i) are not material and (ii) are customarily and actually treated as private or confidential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sz w:val="20"/>
              </w:rPr>
            </w:pPr>
            <w:r>
              <w:rPr>
                <w:sz w:val="20"/>
              </w:rPr>
              <w:t>Schedules and exhibits have been omitted pursuant to Item 601(a)(5) of Regulation S-K. The registrant hereby undertakes to furnish copies of any of the omitted schedules and exhibits upon request by the U.S. Securities and Exchange Commission.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320"/>
        <w:gridCol w:w="3770"/>
      </w:tblGrid>
      <w:tr>
        <w:trPr/>
        <w:tc>
          <w:tcPr>
            <w:tcW w:w="75" w:type="dxa"/>
            <w:tcBorders/>
            <w:vAlign w:val="center"/>
          </w:tcPr>
          <w:p>
            <w:pPr>
              <w:pStyle w:val="TableContents"/>
              <w:bidi w:val="0"/>
              <w:spacing w:before="0" w:after="283"/>
              <w:ind w:left="0" w:right="0" w:hanging="0"/>
              <w:jc w:val="left"/>
              <w:rPr/>
            </w:pPr>
            <w:r>
              <w:rPr/>
              <w:t> </w:t>
            </w:r>
          </w:p>
        </w:tc>
        <w:tc>
          <w:tcPr>
            <w:tcW w:w="4090" w:type="dxa"/>
            <w:gridSpan w:val="2"/>
            <w:tcBorders/>
            <w:vAlign w:val="center"/>
          </w:tcPr>
          <w:p>
            <w:pPr>
              <w:pStyle w:val="TableContents"/>
              <w:bidi w:val="0"/>
              <w:spacing w:before="0" w:after="283"/>
              <w:jc w:val="both"/>
              <w:rPr>
                <w:b/>
                <w:sz w:val="20"/>
              </w:rPr>
            </w:pPr>
            <w:r>
              <w:rPr>
                <w:b/>
                <w:sz w:val="20"/>
              </w:rPr>
              <w:t>AGRIFY CORPORATION</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37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ind w:left="0" w:right="0" w:hanging="0"/>
              <w:jc w:val="left"/>
              <w:rPr>
                <w:sz w:val="20"/>
              </w:rPr>
            </w:pPr>
            <w:r>
              <w:rPr>
                <w:sz w:val="20"/>
              </w:rPr>
              <w:t>By:</w:t>
            </w:r>
          </w:p>
        </w:tc>
        <w:tc>
          <w:tcPr>
            <w:tcW w:w="377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Benjamin Kovler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3770" w:type="dxa"/>
            <w:tcBorders/>
            <w:vAlign w:val="center"/>
          </w:tcPr>
          <w:p>
            <w:pPr>
              <w:pStyle w:val="TableContents"/>
              <w:bidi w:val="0"/>
              <w:spacing w:before="0" w:after="283"/>
              <w:jc w:val="left"/>
              <w:rPr>
                <w:sz w:val="20"/>
              </w:rPr>
            </w:pPr>
            <w:r>
              <w:rPr>
                <w:sz w:val="20"/>
              </w:rPr>
              <w:t>Benjamin Kovler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3770" w:type="dxa"/>
            <w:tcBorders/>
            <w:vAlign w:val="center"/>
          </w:tcPr>
          <w:p>
            <w:pPr>
              <w:pStyle w:val="TableContents"/>
              <w:bidi w:val="0"/>
              <w:spacing w:before="0" w:after="283"/>
              <w:jc w:val="left"/>
              <w:rPr>
                <w:sz w:val="20"/>
              </w:rPr>
            </w:pPr>
            <w:r>
              <w:rPr>
                <w:sz w:val="20"/>
              </w:rPr>
              <w:t>Chairman and Interim Chief Executive Officer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3770" w:type="dxa"/>
            <w:tcBorders/>
            <w:vAlign w:val="center"/>
          </w:tcPr>
          <w:p>
            <w:pPr>
              <w:pStyle w:val="TableContents"/>
              <w:bidi w:val="0"/>
              <w:spacing w:before="0" w:after="283"/>
              <w:jc w:val="left"/>
              <w:rPr>
                <w:sz w:val="20"/>
              </w:rPr>
            </w:pPr>
            <w:r>
              <w:rPr>
                <w:sz w:val="20"/>
              </w:rPr>
              <w:t xml:space="preserve">(Principal Executive Officer and </w:t>
              <w:b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21" w:name="ea022074101ex31-1_agrify.htm"/>
      <w:bookmarkStart w:id="22" w:name="ksea022074101ex311_agrify"/>
      <w:bookmarkEnd w:id="21"/>
      <w:bookmarkEnd w:id="22"/>
      <w:r>
        <w:rPr>
          <w:b/>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UNDER THE SECURITIES EXCHANGE ACT OF 1934,</w:t>
        <w:b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155"/>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I,</w:t>
            </w:r>
          </w:p>
        </w:tc>
        <w:tc>
          <w:tcPr>
            <w:tcW w:w="2855" w:type="dxa"/>
            <w:tcBorders/>
            <w:vAlign w:val="center"/>
          </w:tcPr>
          <w:p>
            <w:pPr>
              <w:pStyle w:val="TableContents"/>
              <w:bidi w:val="0"/>
              <w:spacing w:before="0" w:after="283"/>
              <w:jc w:val="both"/>
              <w:rPr/>
            </w:pPr>
            <w:r>
              <w:rPr/>
              <w:t>Benjamin Kovler, certify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both"/>
              <w:rPr/>
            </w:pPr>
            <w:r>
              <w:rPr/>
              <w:t>1.</w:t>
            </w:r>
          </w:p>
        </w:tc>
        <w:tc>
          <w:tcPr>
            <w:tcW w:w="9985" w:type="dxa"/>
            <w:tcBorders/>
            <w:vAlign w:val="center"/>
          </w:tcPr>
          <w:p>
            <w:pPr>
              <w:pStyle w:val="TableContents"/>
              <w:bidi w:val="0"/>
              <w:spacing w:before="0" w:after="283"/>
              <w:jc w:val="both"/>
              <w:rPr/>
            </w:pPr>
            <w:r>
              <w:rPr/>
              <w:t>I have reviewed this Quarterly Report on Form 10-Q of Agrify Corporation (the “Company”) for the quarterly period ended September 30, 2024;</w:t>
            </w:r>
          </w:p>
        </w:tc>
      </w:tr>
    </w:tbl>
    <w:p>
      <w:pPr>
        <w:pStyle w:val="TextBody"/>
        <w:bidi w:val="0"/>
        <w:spacing w:before="0" w:after="0"/>
        <w:ind w:left="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both"/>
              <w:rPr/>
            </w:pPr>
            <w:r>
              <w:rPr/>
              <w:t>2.</w:t>
            </w:r>
          </w:p>
        </w:tc>
        <w:tc>
          <w:tcPr>
            <w:tcW w:w="10009" w:type="dxa"/>
            <w:tcBorders/>
            <w:vAlign w:val="center"/>
          </w:tcPr>
          <w:p>
            <w:pPr>
              <w:pStyle w:val="TableContents"/>
              <w:bidi w:val="0"/>
              <w:spacing w:before="0" w:after="283"/>
              <w:jc w:val="both"/>
              <w:rPr/>
            </w:pPr>
            <w:r>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both"/>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both"/>
              <w:rPr/>
            </w:pPr>
            <w:r>
              <w:rPr/>
              <w:t>4.</w:t>
            </w:r>
          </w:p>
        </w:tc>
        <w:tc>
          <w:tcPr>
            <w:tcW w:w="10006" w:type="dxa"/>
            <w:tcBorders/>
            <w:vAlign w:val="center"/>
          </w:tcPr>
          <w:p>
            <w:pPr>
              <w:pStyle w:val="TableContents"/>
              <w:bidi w:val="0"/>
              <w:spacing w:before="0" w:after="283"/>
              <w:jc w:val="both"/>
              <w:rPr/>
            </w:pPr>
            <w:r>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pPr>
            <w:r>
              <w:rPr/>
              <w:t>a.</w:t>
            </w:r>
          </w:p>
        </w:tc>
        <w:tc>
          <w:tcPr>
            <w:tcW w:w="998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b.</w:t>
            </w:r>
          </w:p>
        </w:tc>
        <w:tc>
          <w:tcPr>
            <w:tcW w:w="996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pPr>
            <w:r>
              <w:rPr/>
              <w:t>c.</w:t>
            </w:r>
          </w:p>
        </w:tc>
        <w:tc>
          <w:tcPr>
            <w:tcW w:w="9982"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d.</w:t>
            </w:r>
          </w:p>
        </w:tc>
        <w:tc>
          <w:tcPr>
            <w:tcW w:w="996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both"/>
              <w:rPr/>
            </w:pPr>
            <w:r>
              <w:rPr/>
              <w:t>5.</w:t>
            </w:r>
          </w:p>
        </w:tc>
        <w:tc>
          <w:tcPr>
            <w:tcW w:w="10002" w:type="dxa"/>
            <w:tcBorders/>
            <w:vAlign w:val="center"/>
          </w:tcPr>
          <w:p>
            <w:pPr>
              <w:pStyle w:val="TableContents"/>
              <w:bidi w:val="0"/>
              <w:spacing w:before="0" w:after="283"/>
              <w:jc w:val="both"/>
              <w:rPr/>
            </w:pPr>
            <w:r>
              <w:rPr/>
              <w:t>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pPr>
            <w:r>
              <w:rPr/>
              <w:t>a.</w:t>
            </w:r>
          </w:p>
        </w:tc>
        <w:tc>
          <w:tcPr>
            <w:tcW w:w="9982"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b.</w:t>
            </w:r>
          </w:p>
        </w:tc>
        <w:tc>
          <w:tcPr>
            <w:tcW w:w="9967"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270"/>
        <w:jc w:val="left"/>
        <w:rPr>
          <w:caps w:val="false"/>
          <w:smallCaps w:val="false"/>
        </w:rPr>
      </w:pPr>
      <w:r>
        <w:rPr>
          <w:caps w:val="false"/>
          <w:smallCaps w:val="false"/>
        </w:rPr>
        <w:t> </w:t>
      </w:r>
    </w:p>
    <w:tbl>
      <w:tblPr>
        <w:tblW w:w="7470" w:type="dxa"/>
        <w:jc w:val="left"/>
        <w:tblInd w:w="0" w:type="dxa"/>
        <w:tblLayout w:type="fixed"/>
        <w:tblCellMar>
          <w:top w:w="0" w:type="dxa"/>
          <w:left w:w="0" w:type="dxa"/>
          <w:bottom w:w="0" w:type="dxa"/>
          <w:right w:w="0" w:type="dxa"/>
        </w:tblCellMar>
      </w:tblPr>
      <w:tblGrid>
        <w:gridCol w:w="2510"/>
        <w:gridCol w:w="770"/>
        <w:gridCol w:w="4190"/>
      </w:tblGrid>
      <w:tr>
        <w:trPr/>
        <w:tc>
          <w:tcPr>
            <w:tcW w:w="2510" w:type="dxa"/>
            <w:tcBorders/>
            <w:vAlign w:val="center"/>
          </w:tcPr>
          <w:p>
            <w:pPr>
              <w:pStyle w:val="TableContents"/>
              <w:bidi w:val="0"/>
              <w:spacing w:before="0" w:after="283"/>
              <w:jc w:val="left"/>
              <w:rPr/>
            </w:pPr>
            <w:r>
              <w:rPr/>
              <w:t>Date: November 14, 2024</w:t>
            </w:r>
          </w:p>
        </w:tc>
        <w:tc>
          <w:tcPr>
            <w:tcW w:w="770" w:type="dxa"/>
            <w:tcBorders/>
            <w:vAlign w:val="center"/>
          </w:tcPr>
          <w:p>
            <w:pPr>
              <w:pStyle w:val="TableContents"/>
              <w:bidi w:val="0"/>
              <w:spacing w:before="0" w:after="283"/>
              <w:jc w:val="left"/>
              <w:rPr/>
            </w:pPr>
            <w:r>
              <w:rPr/>
              <w:t>By:</w:t>
            </w:r>
          </w:p>
        </w:tc>
        <w:tc>
          <w:tcPr>
            <w:tcW w:w="4190" w:type="dxa"/>
            <w:tcBorders>
              <w:bottom w:val="single" w:sz="12" w:space="0" w:color="000000"/>
            </w:tcBorders>
            <w:tcMar>
              <w:bottom w:w="28" w:type="dxa"/>
            </w:tcMar>
            <w:vAlign w:val="center"/>
          </w:tcPr>
          <w:p>
            <w:pPr>
              <w:pStyle w:val="TableContents"/>
              <w:bidi w:val="0"/>
              <w:spacing w:before="0" w:after="283"/>
              <w:jc w:val="left"/>
              <w:rPr/>
            </w:pPr>
            <w:r>
              <w:rPr/>
              <w:t>/s/ Benjamin Kovler</w:t>
            </w:r>
          </w:p>
        </w:tc>
      </w:tr>
      <w:tr>
        <w:trPr/>
        <w:tc>
          <w:tcPr>
            <w:tcW w:w="251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Name:  </w:t>
            </w:r>
          </w:p>
        </w:tc>
        <w:tc>
          <w:tcPr>
            <w:tcW w:w="4190" w:type="dxa"/>
            <w:tcBorders/>
            <w:vAlign w:val="center"/>
          </w:tcPr>
          <w:p>
            <w:pPr>
              <w:pStyle w:val="TableContents"/>
              <w:bidi w:val="0"/>
              <w:spacing w:before="0" w:after="283"/>
              <w:jc w:val="left"/>
              <w:rPr/>
            </w:pPr>
            <w:r>
              <w:rPr/>
              <w:t>Benjamin Kovler</w:t>
            </w:r>
          </w:p>
        </w:tc>
      </w:tr>
      <w:tr>
        <w:trPr/>
        <w:tc>
          <w:tcPr>
            <w:tcW w:w="251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4190" w:type="dxa"/>
            <w:tcBorders/>
            <w:vAlign w:val="center"/>
          </w:tcPr>
          <w:p>
            <w:pPr>
              <w:pStyle w:val="TableContents"/>
              <w:bidi w:val="0"/>
              <w:spacing w:before="0" w:after="283"/>
              <w:jc w:val="left"/>
              <w:rPr/>
            </w:pPr>
            <w:r>
              <w:rPr/>
              <w:t>Interim Chief Executive Officer</w:t>
              <w:br/>
              <w:t>(Principal Executive Officer and</w:t>
              <w:b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ea022074101ex32-1_agrify.htm"/>
      <w:bookmarkStart w:id="24" w:name="ksea022074101ex321_agrify"/>
      <w:bookmarkEnd w:id="23"/>
      <w:bookmarkEnd w:id="24"/>
      <w:r>
        <w:rPr>
          <w:b/>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Agrify Corporation (the “Company”) for the quarterly period ended September 30, 2024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both"/>
              <w:rPr/>
            </w:pPr>
            <w:r>
              <w:rPr/>
              <w:t>1.</w:t>
            </w:r>
          </w:p>
        </w:tc>
        <w:tc>
          <w:tcPr>
            <w:tcW w:w="9976"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both"/>
              <w:rPr/>
            </w:pPr>
            <w:r>
              <w:rPr/>
              <w:t>2.</w:t>
            </w:r>
          </w:p>
        </w:tc>
        <w:tc>
          <w:tcPr>
            <w:tcW w:w="9986" w:type="dxa"/>
            <w:tcBorders/>
            <w:vAlign w:val="center"/>
          </w:tcPr>
          <w:p>
            <w:pPr>
              <w:pStyle w:val="TableContents"/>
              <w:bidi w:val="0"/>
              <w:spacing w:before="0" w:after="283"/>
              <w:jc w:val="both"/>
              <w:rPr/>
            </w:pPr>
            <w:r>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470" w:type="dxa"/>
        <w:jc w:val="left"/>
        <w:tblInd w:w="0" w:type="dxa"/>
        <w:tblLayout w:type="fixed"/>
        <w:tblCellMar>
          <w:top w:w="0" w:type="dxa"/>
          <w:left w:w="0" w:type="dxa"/>
          <w:bottom w:w="0" w:type="dxa"/>
          <w:right w:w="0" w:type="dxa"/>
        </w:tblCellMar>
      </w:tblPr>
      <w:tblGrid>
        <w:gridCol w:w="2510"/>
        <w:gridCol w:w="770"/>
        <w:gridCol w:w="4190"/>
      </w:tblGrid>
      <w:tr>
        <w:trPr/>
        <w:tc>
          <w:tcPr>
            <w:tcW w:w="2510" w:type="dxa"/>
            <w:tcBorders/>
            <w:vAlign w:val="center"/>
          </w:tcPr>
          <w:p>
            <w:pPr>
              <w:pStyle w:val="TableContents"/>
              <w:bidi w:val="0"/>
              <w:spacing w:before="0" w:after="283"/>
              <w:jc w:val="left"/>
              <w:rPr/>
            </w:pPr>
            <w:r>
              <w:rPr/>
              <w:t>Date: November 14, 2024</w:t>
            </w:r>
          </w:p>
        </w:tc>
        <w:tc>
          <w:tcPr>
            <w:tcW w:w="770" w:type="dxa"/>
            <w:tcBorders/>
            <w:vAlign w:val="center"/>
          </w:tcPr>
          <w:p>
            <w:pPr>
              <w:pStyle w:val="TableContents"/>
              <w:bidi w:val="0"/>
              <w:spacing w:before="0" w:after="283"/>
              <w:jc w:val="left"/>
              <w:rPr/>
            </w:pPr>
            <w:r>
              <w:rPr/>
              <w:t>By:</w:t>
            </w:r>
          </w:p>
        </w:tc>
        <w:tc>
          <w:tcPr>
            <w:tcW w:w="4190" w:type="dxa"/>
            <w:tcBorders>
              <w:bottom w:val="single" w:sz="12" w:space="0" w:color="000000"/>
            </w:tcBorders>
            <w:tcMar>
              <w:bottom w:w="28" w:type="dxa"/>
            </w:tcMar>
            <w:vAlign w:val="center"/>
          </w:tcPr>
          <w:p>
            <w:pPr>
              <w:pStyle w:val="TableContents"/>
              <w:bidi w:val="0"/>
              <w:spacing w:before="0" w:after="283"/>
              <w:jc w:val="left"/>
              <w:rPr/>
            </w:pPr>
            <w:r>
              <w:rPr/>
              <w:t>/s/ Benjamin Kovler</w:t>
            </w:r>
          </w:p>
        </w:tc>
      </w:tr>
      <w:tr>
        <w:trPr/>
        <w:tc>
          <w:tcPr>
            <w:tcW w:w="251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Name:  </w:t>
            </w:r>
          </w:p>
        </w:tc>
        <w:tc>
          <w:tcPr>
            <w:tcW w:w="4190" w:type="dxa"/>
            <w:tcBorders/>
            <w:vAlign w:val="center"/>
          </w:tcPr>
          <w:p>
            <w:pPr>
              <w:pStyle w:val="TableContents"/>
              <w:bidi w:val="0"/>
              <w:spacing w:before="0" w:after="283"/>
              <w:jc w:val="left"/>
              <w:rPr/>
            </w:pPr>
            <w:r>
              <w:rPr/>
              <w:t>Benjamin Kovler</w:t>
            </w:r>
          </w:p>
        </w:tc>
      </w:tr>
      <w:tr>
        <w:trPr/>
        <w:tc>
          <w:tcPr>
            <w:tcW w:w="251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4190" w:type="dxa"/>
            <w:tcBorders/>
            <w:vAlign w:val="center"/>
          </w:tcPr>
          <w:p>
            <w:pPr>
              <w:pStyle w:val="TableContents"/>
              <w:bidi w:val="0"/>
              <w:spacing w:before="0" w:after="283"/>
              <w:jc w:val="left"/>
              <w:rPr/>
            </w:pPr>
            <w:r>
              <w:rPr/>
              <w:t>Interim Chief Executive Officer</w:t>
              <w:br/>
              <w:t>(Principal Executive Officer and</w:t>
              <w:b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00637/000121390024085199/ea021670501ex3-1_agrify.htm" TargetMode="External"/><Relationship Id="rId4" Type="http://schemas.openxmlformats.org/officeDocument/2006/relationships/hyperlink" Target="https://www.sec.gov/Archives/edgar/data/1800637/000121390024089657/ea021819201ex4-1_agrify.htm" TargetMode="External"/><Relationship Id="rId5" Type="http://schemas.openxmlformats.org/officeDocument/2006/relationships/hyperlink" Target="https://www.sec.gov/Archives/edgar/data/1800637/000121390024094613/ea022010001ex4-1_agrify.htm" TargetMode="External"/><Relationship Id="rId6" Type="http://schemas.openxmlformats.org/officeDocument/2006/relationships/hyperlink" Target="https://www.sec.gov/Archives/edgar/data/1800637/000121390024058789/ea020888301ex4-1_agrify.htm" TargetMode="External"/><Relationship Id="rId7" Type="http://schemas.openxmlformats.org/officeDocument/2006/relationships/hyperlink" Target="https://www.sec.gov/Archives/edgar/data/1800637/000121390024058789/ea020888301ex4-2_agrify.htm" TargetMode="External"/><Relationship Id="rId8" Type="http://schemas.openxmlformats.org/officeDocument/2006/relationships/hyperlink" Target="https://www.sec.gov/Archives/edgar/data/1800637/000121390024073911/ea021277101ex10-1_agrify.htm" TargetMode="External"/><Relationship Id="rId9" Type="http://schemas.openxmlformats.org/officeDocument/2006/relationships/hyperlink" Target="https://www.sec.gov/Archives/edgar/data/1800637/000121390024073911/ea021277101ex10-2_agrify.htm" TargetMode="External"/><Relationship Id="rId10" Type="http://schemas.openxmlformats.org/officeDocument/2006/relationships/hyperlink" Target="https://www.sec.gov/Archives/edgar/data/1800637/000121390024073911/ea021277101ex10-3_agrify.htm" TargetMode="External"/><Relationship Id="rId11" Type="http://schemas.openxmlformats.org/officeDocument/2006/relationships/hyperlink" Target="https://www.sec.gov/Archives/edgar/data/1800637/000121390024073911/ea021277101ex10-4_agrify.htm" TargetMode="External"/><Relationship Id="rId12" Type="http://schemas.openxmlformats.org/officeDocument/2006/relationships/hyperlink" Target="https://www.sec.gov/Archives/edgar/data/1800637/000121390024075628/ea021332601ex10-1_agrify.htm" TargetMode="External"/><Relationship Id="rId13" Type="http://schemas.openxmlformats.org/officeDocument/2006/relationships/hyperlink" Target="https://www.sec.gov/Archives/edgar/data/1800637/000121390024084050/ea021625401ex10-1_agrify.htm" TargetMode="External"/><Relationship Id="rId14" Type="http://schemas.openxmlformats.org/officeDocument/2006/relationships/hyperlink" Target="https://www.sec.gov/Archives/edgar/data/1800637/000121390024084050/ea021625401ex10-2_agrify.htm" TargetMode="External"/><Relationship Id="rId15" Type="http://schemas.openxmlformats.org/officeDocument/2006/relationships/hyperlink" Target="https://www.sec.gov/Archives/edgar/data/1800637/000121390024094613/ea022010001ex10-1_agrify.htm" TargetMode="External"/><Relationship Id="rId16" Type="http://schemas.openxmlformats.org/officeDocument/2006/relationships/hyperlink" Target="https://www.sec.gov/Archives/edgar/data/1800637/000121390024073911/ea021277101ex10-3_agrify.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34630</Words>
  <Characters>188141</Characters>
  <CharactersWithSpaces>225333</CharactersWithSpaces>
  <Paragraphs>9142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