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1180" w:hanging="255"/>
        <w:spacing w:after="0"/>
        <w:tabs>
          <w:tab w:leader="none" w:pos="11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jc w:val="center"/>
        <w:ind w:left="3500" w:right="920" w:hanging="2579"/>
        <w:spacing w:after="0" w:line="422" w:lineRule="auto"/>
        <w:tabs>
          <w:tab w:leader="none" w:pos="11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001-39946</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AGRIFY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30-0943453</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896-5243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phone number, including area code)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71"/>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3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3" w:lineRule="exact"/>
        <w:rPr>
          <w:sz w:val="24"/>
          <w:szCs w:val="24"/>
          <w:color w:val="auto"/>
        </w:rPr>
      </w:pPr>
    </w:p>
    <w:p>
      <w:pPr>
        <w:ind w:left="100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3" w:lineRule="exact"/>
        <w:rPr>
          <w:sz w:val="24"/>
          <w:szCs w:val="24"/>
          <w:color w:val="auto"/>
        </w:rPr>
      </w:pPr>
    </w:p>
    <w:p>
      <w:pPr>
        <w:ind w:left="100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Class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as of May 12, 2022</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50"/>
              <w:spacing w:after="0"/>
              <w:rPr>
                <w:sz w:val="20"/>
                <w:szCs w:val="20"/>
                <w:color w:val="auto"/>
              </w:rPr>
            </w:pPr>
            <w:r>
              <w:rPr>
                <w:rFonts w:ascii="Arial" w:cs="Arial" w:eastAsia="Arial" w:hAnsi="Arial"/>
                <w:sz w:val="18"/>
                <w:szCs w:val="18"/>
                <w:color w:val="auto"/>
              </w:rPr>
              <w:t>26,591,438</w:t>
            </w:r>
          </w:p>
        </w:tc>
      </w:tr>
      <w:tr>
        <w:trPr>
          <w:trHeight w:val="149"/>
        </w:trPr>
        <w:tc>
          <w:tcPr>
            <w:tcW w:w="5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500" w:type="dxa"/>
            <w:vAlign w:val="bottom"/>
            <w:tcBorders>
              <w:bottom w:val="single" w:sz="8" w:color="auto"/>
            </w:tcBorders>
          </w:tcPr>
          <w:p>
            <w:pPr>
              <w:spacing w:after="0"/>
              <w:rPr>
                <w:sz w:val="12"/>
                <w:szCs w:val="12"/>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20" w:type="dxa"/>
            <w:vAlign w:val="bottom"/>
            <w:gridSpan w:val="9"/>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1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96"/>
        </w:trPr>
        <w:tc>
          <w:tcPr>
            <w:tcW w:w="1140" w:type="dxa"/>
            <w:vAlign w:val="bottom"/>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PART I</w:t>
            </w:r>
          </w:p>
        </w:tc>
        <w:tc>
          <w:tcPr>
            <w:tcW w:w="9100" w:type="dxa"/>
            <w:vAlign w:val="bottom"/>
            <w:gridSpan w:val="22"/>
            <w:shd w:val="clear" w:color="auto" w:fill="CCEEFF"/>
          </w:tcPr>
          <w:p>
            <w:pPr>
              <w:spacing w:after="0" w:line="142" w:lineRule="exact"/>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2022 (unaudited) and December 31, 2021</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rPr>
                <w:sz w:val="15"/>
                <w:szCs w:val="15"/>
                <w:color w:val="auto"/>
              </w:rPr>
            </w:pPr>
          </w:p>
        </w:tc>
        <w:tc>
          <w:tcPr>
            <w:tcW w:w="9100" w:type="dxa"/>
            <w:vAlign w:val="bottom"/>
            <w:gridSpan w:val="22"/>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for the three months ended March 31, 2022 (unaudited) and 2021</w:t>
              </w:r>
            </w:hyperlink>
          </w:p>
        </w:tc>
        <w:tc>
          <w:tcPr>
            <w:tcW w:w="100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24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700" w:type="dxa"/>
            <w:vAlign w:val="bottom"/>
            <w:tcBorders>
              <w:top w:val="single" w:sz="8" w:color="CCEEFF"/>
            </w:tcBorders>
            <w:gridSpan w:val="4"/>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rPr>
                <w:sz w:val="15"/>
                <w:szCs w:val="15"/>
                <w:color w:val="auto"/>
              </w:rPr>
            </w:pPr>
          </w:p>
        </w:tc>
        <w:tc>
          <w:tcPr>
            <w:tcW w:w="87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for the three months ended March 31, 2022 (unaudited) and</w:t>
              </w:r>
            </w:hyperlink>
          </w:p>
        </w:tc>
        <w:tc>
          <w:tcPr>
            <w:tcW w:w="36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6"/>
        </w:trPr>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940" w:type="dxa"/>
            <w:vAlign w:val="bottom"/>
            <w:gridSpan w:val="20"/>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(unaudited)</w:t>
              </w:r>
            </w:hyperlink>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rPr>
                <w:sz w:val="15"/>
                <w:szCs w:val="15"/>
                <w:color w:val="auto"/>
              </w:rPr>
            </w:pPr>
          </w:p>
        </w:tc>
        <w:tc>
          <w:tcPr>
            <w:tcW w:w="9100" w:type="dxa"/>
            <w:vAlign w:val="bottom"/>
            <w:gridSpan w:val="22"/>
            <w:shd w:val="clear" w:color="auto" w:fill="CCEEFF"/>
          </w:tcPr>
          <w:p>
            <w:pPr>
              <w:spacing w:after="0" w:line="17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three months ended March 31, 2022 (unaudited) and 2021</w:t>
              </w:r>
            </w:hyperlink>
          </w:p>
        </w:tc>
        <w:tc>
          <w:tcPr>
            <w:tcW w:w="100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30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640" w:type="dxa"/>
            <w:vAlign w:val="bottom"/>
            <w:tcBorders>
              <w:top w:val="single" w:sz="8" w:color="CCEEFF"/>
            </w:tcBorders>
            <w:gridSpan w:val="3"/>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00" w:type="dxa"/>
            <w:vAlign w:val="bottom"/>
            <w:gridSpan w:val="22"/>
            <w:shd w:val="clear" w:color="auto" w:fill="CCEEFF"/>
          </w:tcPr>
          <w:p>
            <w:pPr>
              <w:spacing w:after="0" w:line="176"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MANAGEMENT’S DISCUSSION AND ANALYSIS OF FINANCIAL CONDITION AND RESULTS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1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RISK FACTORS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DEFAULTS UPON SENIOR SECURITIES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0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SIGNATURES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20"/>
        </w:trPr>
        <w:tc>
          <w:tcPr>
            <w:tcW w:w="1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000" w:type="dxa"/>
            <w:vAlign w:val="bottom"/>
          </w:tcPr>
          <w:p>
            <w:pPr>
              <w:jc w:val="center"/>
              <w:ind w:left="215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000" w:type="dxa"/>
            <w:vAlign w:val="bottom"/>
          </w:tcPr>
          <w:p>
            <w:pPr>
              <w:jc w:val="center"/>
              <w:ind w:left="2150"/>
              <w:spacing w:after="0"/>
              <w:rPr>
                <w:sz w:val="20"/>
                <w:szCs w:val="20"/>
                <w:color w:val="auto"/>
              </w:rPr>
            </w:pPr>
            <w:r>
              <w:rPr>
                <w:rFonts w:ascii="Arial" w:cs="Arial" w:eastAsia="Arial" w:hAnsi="Arial"/>
                <w:sz w:val="18"/>
                <w:szCs w:val="18"/>
                <w:b w:val="1"/>
                <w:bCs w:val="1"/>
                <w:color w:val="auto"/>
              </w:rPr>
              <w:t>AGRIFY CORPORATION</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0" w:type="dxa"/>
            <w:vAlign w:val="bottom"/>
          </w:tcPr>
          <w:p>
            <w:pPr>
              <w:jc w:val="center"/>
              <w:ind w:left="21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0" w:type="dxa"/>
            <w:vAlign w:val="bottom"/>
          </w:tcPr>
          <w:p>
            <w:pPr>
              <w:spacing w:after="0"/>
              <w:rPr>
                <w:sz w:val="24"/>
                <w:szCs w:val="2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March 31,</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41"/>
        </w:trPr>
        <w:tc>
          <w:tcPr>
            <w:tcW w:w="9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gridSpan w:val="2"/>
          </w:tcPr>
          <w:p>
            <w:pPr>
              <w:spacing w:after="0"/>
              <w:rPr>
                <w:sz w:val="20"/>
                <w:szCs w:val="20"/>
                <w:color w:val="auto"/>
              </w:rPr>
            </w:pPr>
            <w:r>
              <w:rPr>
                <w:rFonts w:ascii="Arial" w:cs="Arial" w:eastAsia="Arial" w:hAnsi="Arial"/>
                <w:sz w:val="18"/>
                <w:szCs w:val="18"/>
                <w:color w:val="auto"/>
                <w:w w:val="89"/>
              </w:rPr>
              <w:t>(Unaudited)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38,211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44,550</w:t>
            </w:r>
          </w:p>
        </w:tc>
        <w:tc>
          <w:tcPr>
            <w:tcW w:w="0" w:type="dxa"/>
            <w:vAlign w:val="bottom"/>
          </w:tcPr>
          <w:p>
            <w:pPr>
              <w:spacing w:after="0"/>
              <w:rPr>
                <w:sz w:val="1"/>
                <w:szCs w:val="1"/>
                <w:color w:val="auto"/>
              </w:rPr>
            </w:pPr>
          </w:p>
        </w:tc>
      </w:tr>
      <w:tr>
        <w:trPr>
          <w:trHeight w:val="202"/>
        </w:trPr>
        <w:tc>
          <w:tcPr>
            <w:tcW w:w="9000" w:type="dxa"/>
            <w:vAlign w:val="bottom"/>
          </w:tcPr>
          <w:p>
            <w:pPr>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$1,415 and $1,415 at March 31, 2022 and December 31,</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0" w:type="dxa"/>
            <w:vAlign w:val="bottom"/>
          </w:tcPr>
          <w:p>
            <w:pPr>
              <w:ind w:left="180"/>
              <w:spacing w:after="0"/>
              <w:rPr>
                <w:sz w:val="20"/>
                <w:szCs w:val="20"/>
                <w:color w:val="auto"/>
              </w:rPr>
            </w:pPr>
            <w:r>
              <w:rPr>
                <w:rFonts w:ascii="Arial" w:cs="Arial" w:eastAsia="Arial" w:hAnsi="Arial"/>
                <w:sz w:val="18"/>
                <w:szCs w:val="18"/>
                <w:color w:val="auto"/>
              </w:rPr>
              <w:t>2021, respectively</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8,571</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Inventory, net of reserves of $942 and $942 at March 31, 2022 and December 31, 2021, respectively</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38,989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20,498</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Prepaid and refundable taxes</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6,373</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03"/>
        </w:trPr>
        <w:tc>
          <w:tcPr>
            <w:tcW w:w="9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147,543</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86,736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Loan receivable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34,738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7,055</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Right-of-use,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54,544</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50,090</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3,180</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9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264,475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182,048</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30,112</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28,764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Long-term debt, current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2,970</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5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4,182</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03"/>
        </w:trPr>
        <w:tc>
          <w:tcPr>
            <w:tcW w:w="9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41,858</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43,590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51,154</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0" w:type="dxa"/>
            <w:vAlign w:val="bottom"/>
          </w:tcPr>
          <w:p>
            <w:pPr>
              <w:spacing w:after="0" w:line="201" w:lineRule="exact"/>
              <w:rPr>
                <w:sz w:val="20"/>
                <w:szCs w:val="20"/>
                <w:color w:val="auto"/>
              </w:rPr>
            </w:pPr>
            <w:r>
              <w:rPr>
                <w:rFonts w:ascii="Arial" w:cs="Arial" w:eastAsia="Arial" w:hAnsi="Arial"/>
                <w:sz w:val="18"/>
                <w:szCs w:val="18"/>
                <w:color w:val="auto"/>
                <w:w w:val="91"/>
              </w:rPr>
              <w:t>Common Stock, $0.001 par value per share, 50,000,000 shares authorized, 26,542,890 and 22,207,103 shares issued and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0" w:type="dxa"/>
            <w:vAlign w:val="bottom"/>
          </w:tcPr>
          <w:p>
            <w:pPr>
              <w:ind w:left="180"/>
              <w:spacing w:after="0"/>
              <w:rPr>
                <w:sz w:val="20"/>
                <w:szCs w:val="20"/>
                <w:color w:val="auto"/>
              </w:rPr>
            </w:pPr>
            <w:r>
              <w:rPr>
                <w:rFonts w:ascii="Arial" w:cs="Arial" w:eastAsia="Arial" w:hAnsi="Arial"/>
                <w:sz w:val="18"/>
                <w:szCs w:val="18"/>
                <w:color w:val="auto"/>
              </w:rPr>
              <w:t>outstanding at March 31, 2022 and December 31, 2021, respectively</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per share, 2,895,000 shares authorized, no shares issued or outstanding</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Preferred A Stock, $0.001 par value per share, 105,000 shares authorized, no shares issued or outstanding</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237,903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196,013</w:t>
            </w:r>
          </w:p>
        </w:tc>
        <w:tc>
          <w:tcPr>
            <w:tcW w:w="0" w:type="dxa"/>
            <w:vAlign w:val="bottom"/>
          </w:tcPr>
          <w:p>
            <w:pPr>
              <w:spacing w:after="0"/>
              <w:rPr>
                <w:sz w:val="1"/>
                <w:szCs w:val="1"/>
                <w:color w:val="auto"/>
              </w:rPr>
            </w:pPr>
          </w:p>
        </w:tc>
      </w:tr>
      <w:tr>
        <w:trPr>
          <w:trHeight w:val="236"/>
        </w:trPr>
        <w:tc>
          <w:tcPr>
            <w:tcW w:w="900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(67,857)</w:t>
            </w: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(58,975)</w:t>
            </w:r>
          </w:p>
        </w:tc>
        <w:tc>
          <w:tcPr>
            <w:tcW w:w="0" w:type="dxa"/>
            <w:vAlign w:val="bottom"/>
          </w:tcPr>
          <w:p>
            <w:pPr>
              <w:spacing w:after="0"/>
              <w:rPr>
                <w:sz w:val="1"/>
                <w:szCs w:val="1"/>
                <w:color w:val="auto"/>
              </w:rPr>
            </w:pPr>
          </w:p>
        </w:tc>
      </w:tr>
      <w:tr>
        <w:trPr>
          <w:trHeight w:val="236"/>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0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Non-Controlling Interests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264,475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182,048</w:t>
            </w:r>
          </w:p>
        </w:tc>
        <w:tc>
          <w:tcPr>
            <w:tcW w:w="0" w:type="dxa"/>
            <w:vAlign w:val="bottom"/>
          </w:tcPr>
          <w:p>
            <w:pPr>
              <w:spacing w:after="0"/>
              <w:rPr>
                <w:sz w:val="1"/>
                <w:szCs w:val="1"/>
                <w:color w:val="auto"/>
              </w:rPr>
            </w:pPr>
          </w:p>
        </w:tc>
      </w:tr>
      <w:tr>
        <w:trPr>
          <w:trHeight w:val="21"/>
        </w:trPr>
        <w:tc>
          <w:tcPr>
            <w:tcW w:w="9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862"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 (including $1,271 and $5,518 from related parties, respectively)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21,851</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9,759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2,084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2,090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13,933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682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notes payable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before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Income (loss) attributable to non-controlling interest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Agrify Corporation</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Weighted-average common shares outstanding – basic and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24,589,113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11,568,105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70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Preferred A Stock</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4"/>
                <w:szCs w:val="14"/>
                <w:color w:val="auto"/>
              </w:rPr>
            </w:pPr>
          </w:p>
        </w:tc>
        <w:tc>
          <w:tcPr>
            <w:tcW w:w="10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Controlling</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Agrify</w:t>
            </w: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12"/>
        </w:trPr>
        <w:tc>
          <w:tcPr>
            <w:tcW w:w="17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 at January 1,</w:t>
            </w: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4,211,677</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19,827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(26,510)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(6,454)</w:t>
            </w: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Arial" w:cs="Arial" w:eastAsia="Arial" w:hAnsi="Arial"/>
                <w:sz w:val="14"/>
                <w:szCs w:val="14"/>
                <w:color w:val="auto"/>
                <w:w w:val="99"/>
              </w:rPr>
              <w:t>Stock-based compensation</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2,135</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2,135</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Beneficial conversion</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feature associated with</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amended Convertible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Promissory Notes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3,869</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3,869</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3,869</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Conversion of Convertible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ind w:left="180"/>
              <w:spacing w:after="0"/>
              <w:rPr>
                <w:sz w:val="20"/>
                <w:szCs w:val="20"/>
                <w:color w:val="auto"/>
              </w:rPr>
            </w:pPr>
            <w:r>
              <w:rPr>
                <w:rFonts w:ascii="Arial" w:cs="Arial" w:eastAsia="Arial" w:hAnsi="Arial"/>
                <w:sz w:val="14"/>
                <w:szCs w:val="14"/>
                <w:color w:val="auto"/>
              </w:rPr>
              <w:t>Notes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1,697,075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rPr>
              <w:t>2</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13,098</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13,100</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13,100</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 Initial Public</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Offering (“IPO”), net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6,210,000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56,955</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56,961</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56,961</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Stock – Secondary</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public offering, net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ind w:left="180"/>
              <w:spacing w:after="0"/>
              <w:rPr>
                <w:sz w:val="20"/>
                <w:szCs w:val="20"/>
                <w:color w:val="auto"/>
              </w:rPr>
            </w:pPr>
            <w:r>
              <w:rPr>
                <w:rFonts w:ascii="Arial" w:cs="Arial" w:eastAsia="Arial" w:hAnsi="Arial"/>
                <w:sz w:val="14"/>
                <w:szCs w:val="14"/>
                <w:color w:val="auto"/>
              </w:rPr>
              <w:t>fees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6,388,888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rPr>
              <w:t>6</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79,833</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79,839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79,839</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Preferred A</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1,373,038</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174,223</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439</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439</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240,233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(3,810)</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(3,810)</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(3,843)</w:t>
            </w:r>
          </w:p>
        </w:tc>
        <w:tc>
          <w:tcPr>
            <w:tcW w:w="0" w:type="dxa"/>
            <w:vAlign w:val="bottom"/>
          </w:tcPr>
          <w:p>
            <w:pPr>
              <w:spacing w:after="0"/>
              <w:rPr>
                <w:sz w:val="1"/>
                <w:szCs w:val="1"/>
                <w:color w:val="auto"/>
              </w:rPr>
            </w:pPr>
          </w:p>
        </w:tc>
      </w:tr>
      <w:tr>
        <w:trPr>
          <w:trHeight w:val="112"/>
        </w:trPr>
        <w:tc>
          <w:tcPr>
            <w:tcW w:w="17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 at March 31,</w:t>
            </w: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20,295,134</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76"/>
              </w:rPr>
              <w:t>19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176,160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line="212" w:lineRule="exact"/>
              <w:rPr>
                <w:sz w:val="20"/>
                <w:szCs w:val="20"/>
                <w:color w:val="auto"/>
              </w:rPr>
            </w:pPr>
            <w:r>
              <w:rPr>
                <w:rFonts w:ascii="Arial" w:cs="Arial" w:eastAsia="Arial" w:hAnsi="Arial"/>
                <w:sz w:val="13"/>
                <w:szCs w:val="13"/>
                <w:color w:val="auto"/>
              </w:rPr>
              <w:t>(30,320</w:t>
            </w:r>
            <w:r>
              <w:rPr>
                <w:rFonts w:ascii="Arial" w:cs="Arial" w:eastAsia="Arial" w:hAnsi="Arial"/>
                <w:sz w:val="24"/>
                <w:szCs w:val="24"/>
                <w:color w:val="auto"/>
                <w:vertAlign w:val="superscript"/>
              </w:rPr>
              <w:t>)</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145,859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146,051</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17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6"/>
          </w:tcPr>
          <w:p>
            <w:pPr>
              <w:ind w:left="360"/>
              <w:spacing w:after="0"/>
              <w:rPr>
                <w:sz w:val="20"/>
                <w:szCs w:val="20"/>
                <w:color w:val="auto"/>
              </w:rPr>
            </w:pPr>
            <w:r>
              <w:rPr>
                <w:rFonts w:ascii="Arial" w:cs="Arial" w:eastAsia="Arial" w:hAnsi="Arial"/>
                <w:sz w:val="14"/>
                <w:szCs w:val="14"/>
                <w:b w:val="1"/>
                <w:bCs w:val="1"/>
                <w:color w:val="auto"/>
              </w:rPr>
              <w:t>Preferred A Stock</w:t>
            </w:r>
          </w:p>
        </w:tc>
        <w:tc>
          <w:tcPr>
            <w:tcW w:w="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Controlling</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Agrify</w:t>
            </w: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12"/>
        </w:trPr>
        <w:tc>
          <w:tcPr>
            <w:tcW w:w="17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 at January 1,</w:t>
            </w: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22,207,103</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76"/>
              </w:rPr>
              <w:t>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196,013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(58,975)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137,059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137,424</w:t>
            </w: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Arial" w:cs="Arial" w:eastAsia="Arial" w:hAnsi="Arial"/>
                <w:sz w:val="14"/>
                <w:szCs w:val="14"/>
                <w:color w:val="auto"/>
                <w:w w:val="99"/>
              </w:rPr>
              <w:t>Stock-based compensation</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953</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953</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and warrants in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private placement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2,450,350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25,795</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25,797</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25,797</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debt and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warrants in private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ind w:left="180"/>
              <w:spacing w:after="0"/>
              <w:rPr>
                <w:sz w:val="20"/>
                <w:szCs w:val="20"/>
                <w:color w:val="auto"/>
              </w:rPr>
            </w:pPr>
            <w:r>
              <w:rPr>
                <w:rFonts w:ascii="Arial" w:cs="Arial" w:eastAsia="Arial" w:hAnsi="Arial"/>
                <w:sz w:val="14"/>
                <w:szCs w:val="14"/>
                <w:color w:val="auto"/>
              </w:rPr>
              <w:t>placement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13,230</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13,230</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13,230</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Lab Society</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297,929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1,903</w:t>
            </w: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4,220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1,583,288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(8,882)</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(8,882)</w:t>
            </w: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(8,881)</w:t>
            </w:r>
          </w:p>
        </w:tc>
        <w:tc>
          <w:tcPr>
            <w:tcW w:w="0" w:type="dxa"/>
            <w:vAlign w:val="bottom"/>
          </w:tcPr>
          <w:p>
            <w:pPr>
              <w:spacing w:after="0"/>
              <w:rPr>
                <w:sz w:val="1"/>
                <w:szCs w:val="1"/>
                <w:color w:val="auto"/>
              </w:rPr>
            </w:pPr>
          </w:p>
        </w:tc>
      </w:tr>
      <w:tr>
        <w:trPr>
          <w:trHeight w:val="112"/>
        </w:trPr>
        <w:tc>
          <w:tcPr>
            <w:tcW w:w="17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 at March 31,</w:t>
            </w: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26,542,890</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76"/>
              </w:rPr>
              <w:t>25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237,903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line="212" w:lineRule="exact"/>
              <w:rPr>
                <w:sz w:val="20"/>
                <w:szCs w:val="20"/>
                <w:color w:val="auto"/>
              </w:rPr>
            </w:pPr>
            <w:r>
              <w:rPr>
                <w:rFonts w:ascii="Arial" w:cs="Arial" w:eastAsia="Arial" w:hAnsi="Arial"/>
                <w:sz w:val="13"/>
                <w:szCs w:val="13"/>
                <w:color w:val="auto"/>
              </w:rPr>
              <w:t>(67,857</w:t>
            </w:r>
            <w:r>
              <w:rPr>
                <w:rFonts w:ascii="Arial" w:cs="Arial" w:eastAsia="Arial" w:hAnsi="Arial"/>
                <w:sz w:val="24"/>
                <w:szCs w:val="24"/>
                <w:color w:val="auto"/>
                <w:vertAlign w:val="superscript"/>
              </w:rPr>
              <w:t>)</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170,071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170,437</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1,052</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premium on investment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on investment securities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(248)</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2,700</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interest (income) expense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extinguishment of notes payable,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Early termination of lease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attributable to 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(16,361)</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(3,033)</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(1,867)</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(2,765)</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(2,120)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(expense) revenue, net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(2,407)</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(3,728)</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(76,097)</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sale of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82,460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loan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(12,487)</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business combination, net of cash acquired</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(3,513)</w:t>
            </w:r>
          </w:p>
        </w:tc>
        <w:tc>
          <w:tcPr>
            <w:tcW w:w="3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and warrants in private placement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65,000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 and warrants in private placement, net of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25,797</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IPO, net of fees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Secondary public offering, net of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79,839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financing leases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43,191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129,776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12,014</w:t>
            </w: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Arial" w:cs="Arial" w:eastAsia="Arial" w:hAnsi="Arial"/>
                <w:sz w:val="18"/>
                <w:szCs w:val="18"/>
                <w:color w:val="auto"/>
              </w:rPr>
              <w:t>Cash, cash equivalents, and restricted cash at the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55,205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137,887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25,205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137,887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Arial" w:cs="Arial" w:eastAsia="Arial" w:hAnsi="Arial"/>
                <w:sz w:val="18"/>
                <w:szCs w:val="18"/>
                <w:color w:val="auto"/>
              </w:rPr>
              <w:t>Total cash, cash equivalents, and restricted cash at the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55,205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137,887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Agrify Corporation (“Agrify” or the “Company”) is a developer of proprietary precision hardware and software grow solutions for the commercial indoor agriculture industry and provides equipment and solutions for cultivation, extraction, post-processing, and testing for the cannabis and hemp industries. The Company was formed in the State of Nevada on June 6, 2016 as Agrinamics, Inc., and subsequently changed its name to Agrify Corporation. The Company is sometimes referred to herein by the words “we,” “us,” “our,” and similar terminology.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nine wholly-owned subsidiaries, which are collectively referred to as the “Subsidiaries”: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AGM Service Corp LLC (formerly AGM Service Corp Inc.);</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TriGrow Systems, LLC (“TriGrow”, which acted as the Company’s exclusive distributor and which was acquired in January 2020 as TriGrow Systems, Inc. and converted to TriGrow Systems, LLC in May 2020);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Ariafy Finance,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Agxiom,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Harbor Mountain Holdings, LLC (“HMH”) (acquired in July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Cascade Sciences, LLC (“Cascade”) (which was acquired by the Company on October 1, 2021);</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Precision Extraction NewCo, LLC (“Precision”) (which was a newly formed subsidiary in connection with October 1, 2021 acquisition of Mass2Media, LLC, d/b/a PX2 Holdings, LLC, d/b/a Precision Extraction Solutions and Cascade);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PurePressure, LLC (“PurePressure”) (which was acquired by the Company on December 31, 2021);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 Society NewCo, LLC (“Lab Society”) (which was a newly formed subsidiary in connection with February 1, 2022 acquisition of LS Holdings Corp).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has ownership interests in the following companies: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Teejan Podoponics International LLC (“TPI”) (the Company has owned 50% of TPI since December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Agrify-Valiant, LLC (“Agrify-Valiant”) (the Company owns 60% of Agrify-Valient, which was formed in December 2019);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Agrify Brands, LLC (“Agrify Brands”) (formerly TriGrow Brands, LLC) (the Company owns 75% of Agrify Brands, which ownership position was created as part of the January 2020 acquisition of TriGrow).</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On January 12, 2021, the Company effected a 1-for-1.581804 reverse stock split (“Reverse Stock Split”) of its Common Stock, $0.001 par value per share (“Common Stock”). All share and per share information has been retroactively adjusted to give effect to the Reverse Stock Split for all periods presented, unless otherwise indicated.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Secondary Public Offering</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On February 1, 2021, the Company closed its initial public offering, or (“IPO”), of 6,210,000 shares of its Common Stock (inclusive of 810,000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 on January 27, 2021. In the IPO, Maxim Group LLC and Roth Capital Partners acted as the underwriters. The IPO price for shares of Common Stock was $10.00 per share. The total gross proceeds from the IPO were $62.1 million.</w:t>
      </w:r>
    </w:p>
    <w:p>
      <w:pPr>
        <w:spacing w:after="0" w:line="16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After deducting underwriting discounts and commissions of $4 million and offering expenses paid or payable by us of approximately $1 million, the net proceeds from the IPO were approximately $57 million. The Company used the net proceeds from the IPO for its current working capital needs, to support revenue growth, to increase inventory to meet customer demand forecasts, and to support operational growth.</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February 19, 2021, the Company consummated a secondary public offering (the “February Offering”) of 5,555,555 shares of its Common Stock for a price of $13.50 per share, less certain underwriting discounts and commissions. On March 22, 2021, the Company closed on the sale of an additional 833,333 shares of Common Stock on the same terms and conditions pursuant to the exercise of the underwriters’ over-allotment option. The exercise of the over-allotment option brought the total number of shares of Common Stock sold by the Company in connection with the February Offering to 6,388,888 shares and the total net proceeds received in connection with the February Offering to approximately $80 million, after deducting underwriting discounts and estimated offering expenses. The Company used the net proceeds from the IPO for its current working capital needs, to support revenue growth, to increase inventory, to meet customer demand forecasts, and to support operational growth.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Coronavirus (“COVID-19”) Pandemic</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spread of COVID-19 beginning in the first quarter of 2020 has caused significant volatility in U.S. markets. There is significant uncertainty around the breadth and duration of business disruptions related to COVID-19, as well as its impact on the U.S. economy. To date, there has not been a material impact on the Company’s business operations and financial performance. The extent of the impact of COVID-19 on the Company’s operational and financial performance, if any, will depend, in part, on the length and severity of these restrictions and on the Company’s ability to conduct business in the ordinary course.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Paycheck Protection Program</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The Company’s application for the forgiveness of the outstanding balance of PPP Loan is currently under review by the SBA.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the Company’s Annual Report on Form 10-K for the year ended December 31, 2021 and filed with the SEC (“Form 10-K”), except for the recently adopted accounting pronouncements described below.</w:t>
      </w:r>
    </w:p>
    <w:p>
      <w:pPr>
        <w:spacing w:after="0" w:line="187"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The condensed consolidated financial statements included herein reflect all normal and recurring adjustments which, in the opinion of management, are necessary for a fair presentation of the Company’s condensed consolidated statements of operations for the three months ended March 31, 2022 and 2021, condensed consolidated statements of stockholders’ equity for the three months ended March 31, 2022 and 2021, and the condensed consolidated cash flows for the three months ended March 31, 2022 and 2021.</w:t>
      </w:r>
    </w:p>
    <w:p>
      <w:pPr>
        <w:spacing w:after="0" w:line="18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condensed consolidated balance sheet as of December 31, 2021 is derived from the audited consolidated financial statements presented in the Company’s Annual Report on Form 10-K for the year ended December 31, 2021.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the Company’s Annual Report on Form 10-K for the year ended December 31, 2021 filed with the SEC on March 31, 2022. The results for interim periods are not necessarily indicative of a full year’s results.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Wholly-Owned Subsidiaries</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GAAP and include the accounts of Agrify Corporation and its wholly-owned subsidiaries, as described above in Note 1 – Nature of Business and Basis of Presentation,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Less Than Wholly-Owned Subsidiaries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For the Company’s less than wholly-owned subsidiaries, which include TPI, Agrify-Valiant, and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the Company’s financial interest in the VIE is consolidated.</w:t>
      </w:r>
    </w:p>
    <w:p>
      <w:pPr>
        <w:spacing w:after="0" w:line="19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Based on the Company’s analysis for these entities, the Company has determined that Agrify-Valiant, LLC and Agrify Brands, LLC are each a VIE, and that the Company is the primary beneficiary. While the Company owns 60% of Agrify-Valiant, LLC’s equity interests and 75% of Agrify Brands, LLC’s equity interests, the remaining equity interests in Agrify-Valiant, LLC and Agrify Brands, LLC are owned by unrelated third parties, and the agreement with these third parties provides the Company with greater voting rights. Accordingly, the Company consolidates its interest in the financial statements of Agrify-Valiant,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and its Subsidiaries, fiscal year ends on December 31, each year.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which we refer to as the JOBS Act. As a result, the Company is permitted to, and intends to, rely on exemptions from certain disclosure requirements that are applicable to companies that are not emerging growth companies.</w:t>
      </w:r>
    </w:p>
    <w:p>
      <w:pPr>
        <w:spacing w:after="0" w:line="18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addition, the JOBS Act provides that an “emerging growth company” can use the extended transition period for complying with new or revised accounting standards.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will remain an “emerging growth company” until the earliest to occur of:</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reporting $1.0 billion or more in annual gross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in a three-year period, of more than $1.0 billion in non-convertible debt;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end of the fiscal year in which the market value of Common Stock held by non-affiliates exceeds $700 million on the last business day of our second fiscal quarter;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December 31, 2026.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Certain amounts in the Company’s prior period financial statements have been reclassified to conform to the presentation of the current period financial statements. In this Form 10-Q, the Company has reclassified selling, general and administrative expenses to two separate line items in the accompanying consolidated statement of operations as general and administrative expenses and selling and marketing expenses for the three months ended March 31, 2022 and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March 31, 2022 and December 31, 2021. All cash equivalents are carried at cost, which approximates fair value. Restricted cash represents cash required to be held as collateral for the Company’s senior secured promissory note (the “SPA Note”). Accordingly, these balances contain restrictions as to their availability and usage and are classified as restricted cash in the consolidated balance sheets. Refer to Note 15 – Debt, included elsewhere in the notes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were estimated using recently executed transactions and market price quotations. The Company considers current assets to be those investments which will mature within the next 12 months, including interest receivable on the long-term bonds.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primarily consist of cash and accounts receivable. The Company places its cash with financial institutions in the United States. The cash balances are insured by the FDIC up to $250 thousand per depositor with unlimited insurance for funds in noninterest-bearing transaction accounts through March 31, 2022. At times, the amounts in these accounts may exceed the federally insured limits.</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has certain customers from whom revenue individually represented 10% or more of the Company’s total revenue, or whose accounts receivable balances individually represent 10% or more of the Company’s total accounts receivable.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the following tables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March 31, 2022 and 2021, the Company’s customers that accounted for 10% or more of the total revenue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570"/>
              <w:spacing w:after="0"/>
              <w:rPr>
                <w:sz w:val="20"/>
                <w:szCs w:val="20"/>
                <w:color w:val="auto"/>
              </w:rPr>
            </w:pPr>
            <w:r>
              <w:rPr>
                <w:rFonts w:ascii="Arial" w:cs="Arial" w:eastAsia="Arial" w:hAnsi="Arial"/>
                <w:sz w:val="18"/>
                <w:szCs w:val="18"/>
                <w:b w:val="1"/>
                <w:bCs w:val="1"/>
                <w:color w:val="auto"/>
                <w:w w:val="90"/>
              </w:rPr>
              <w:t>Three Months ended</w:t>
            </w:r>
          </w:p>
        </w:tc>
        <w:tc>
          <w:tcPr>
            <w:tcW w:w="24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5"/>
          </w:tcPr>
          <w:p>
            <w:pPr>
              <w:jc w:val="center"/>
              <w:ind w:right="570"/>
              <w:spacing w:after="0"/>
              <w:rPr>
                <w:sz w:val="20"/>
                <w:szCs w:val="20"/>
                <w:color w:val="auto"/>
              </w:rPr>
            </w:pPr>
            <w:r>
              <w:rPr>
                <w:rFonts w:ascii="Arial" w:cs="Arial" w:eastAsia="Arial" w:hAnsi="Arial"/>
                <w:sz w:val="18"/>
                <w:szCs w:val="18"/>
                <w:b w:val="1"/>
                <w:bCs w:val="1"/>
                <w:color w:val="auto"/>
                <w:w w:val="93"/>
              </w:rPr>
              <w:t>March 31, 2022</w:t>
            </w:r>
          </w:p>
        </w:tc>
        <w:tc>
          <w:tcPr>
            <w:tcW w:w="24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March 31, 2021</w:t>
            </w:r>
          </w:p>
        </w:tc>
      </w:tr>
      <w:tr>
        <w:trPr>
          <w:trHeight w:val="198"/>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7"/>
                <w:szCs w:val="17"/>
                <w:color w:val="auto"/>
              </w:rPr>
            </w:pPr>
          </w:p>
        </w:tc>
      </w:tr>
      <w:tr>
        <w:trPr>
          <w:trHeight w:val="241"/>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tcPr>
          <w:p>
            <w:pPr>
              <w:spacing w:after="0"/>
              <w:rPr>
                <w:sz w:val="20"/>
                <w:szCs w:val="20"/>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New England Innovation Academy (“NEIA”) – Related Party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Customer C</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3,793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revenue, as a percentage of total revenue was less than 10%</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March 31, 2022 and December 31, 2021, the Company’s customers that accounted for 10% or more of the total accounts receivable, net,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b w:val="1"/>
                <w:bCs w:val="1"/>
                <w:color w:val="auto"/>
                <w:w w:val="88"/>
              </w:rPr>
              <w:t>As of</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b w:val="1"/>
                <w:bCs w:val="1"/>
                <w:color w:val="auto"/>
                <w:w w:val="88"/>
              </w:rPr>
              <w:t>As 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5"/>
              </w:rPr>
              <w:t>% of Total</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5"/>
              </w:rPr>
              <w:t>% of Total</w:t>
            </w:r>
          </w:p>
        </w:tc>
        <w:tc>
          <w:tcPr>
            <w:tcW w:w="160" w:type="dxa"/>
            <w:vAlign w:val="bottom"/>
          </w:tcPr>
          <w:p>
            <w:pPr>
              <w:spacing w:after="0"/>
              <w:rPr>
                <w:sz w:val="17"/>
                <w:szCs w:val="17"/>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Accounts</w:t>
            </w: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Receivable</w:t>
            </w:r>
          </w:p>
        </w:tc>
        <w:tc>
          <w:tcPr>
            <w:tcW w:w="1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Receivable</w:t>
            </w:r>
          </w:p>
        </w:tc>
      </w:tr>
      <w:tr>
        <w:trPr>
          <w:trHeight w:val="216"/>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NEIA – Related Party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540" w:right="2940" w:hanging="5532"/>
        <w:spacing w:after="0" w:line="778" w:lineRule="auto"/>
        <w:tabs>
          <w:tab w:leader="none" w:pos="338"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accounts receivable balance, as a percentage of total accounts receivable balance, was less than 10%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values all of its inventories, which consist primarily of significant raw material hardware components, at the lower of cost or net realizable value, with cost principally determined by the weighted-average cost method on a First-In, First-Out basis. Write-offs of potentially slow moving or damaged inventory are recorded through specific identification of obsolete or damaged material. The company takes physical inventory at least once annually at all inventory 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40" w:type="dxa"/>
            <w:vAlign w:val="bottom"/>
            <w:tcBorders>
              <w:bottom w:val="single" w:sz="8" w:color="CCEEFF"/>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Life (Years)</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to 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0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Vehicles</w:t>
            </w:r>
          </w:p>
        </w:tc>
        <w:tc>
          <w:tcPr>
            <w:tcW w:w="2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laboratory equipment</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3 to 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Leased equipment at customer</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 to 13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Trade show assets</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3 to 5</w:t>
            </w:r>
          </w:p>
        </w:tc>
      </w:tr>
      <w:tr>
        <w:trPr>
          <w:trHeight w:val="202"/>
        </w:trPr>
        <w:tc>
          <w:tcPr>
            <w:tcW w:w="8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2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Lower of estimated useful life</w:t>
            </w:r>
          </w:p>
        </w:tc>
      </w:tr>
      <w:tr>
        <w:trPr>
          <w:trHeight w:val="230"/>
        </w:trPr>
        <w:tc>
          <w:tcPr>
            <w:tcW w:w="8440" w:type="dxa"/>
            <w:vAlign w:val="bottom"/>
            <w:shd w:val="clear" w:color="auto" w:fill="CCEEFF"/>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or remaining lease term</w:t>
            </w: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assets, the carrying cost of these assets and related accumulated depreciation or amortization are eliminated from the consolidated balance sheet and any resulting gain or loss are included in the consolidated statement of operations in the period of retirement or disposal. Costs for capital assets not yet placed into service are capitalized as construction-in-progress and depreciated once placed into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 Based upon the Company’s 2021 annual impairment testing analyses, including the consideration of reasonably likely adverse changes in assumptions described above, the Company determined that there are no goodwill impairments to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Company initially records intangible assets at their estimated fair values and reviews these assets periodically for impairment. Identifiable intangible assets, which consist principally of acquired customer 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ind w:left="340"/>
              <w:spacing w:after="0"/>
              <w:rPr>
                <w:sz w:val="20"/>
                <w:szCs w:val="20"/>
                <w:color w:val="auto"/>
              </w:rPr>
            </w:pPr>
            <w:r>
              <w:rPr>
                <w:rFonts w:ascii="Arial" w:cs="Arial" w:eastAsia="Arial" w:hAnsi="Arial"/>
                <w:sz w:val="18"/>
                <w:szCs w:val="18"/>
                <w:color w:val="auto"/>
              </w:rPr>
              <w:t>The finite-lived useful lives are as follows:</w:t>
            </w:r>
          </w:p>
        </w:tc>
        <w:tc>
          <w:tcPr>
            <w:tcW w:w="4420" w:type="dxa"/>
            <w:vAlign w:val="bottom"/>
          </w:tcPr>
          <w:p>
            <w:pPr>
              <w:spacing w:after="0"/>
              <w:rPr>
                <w:sz w:val="20"/>
                <w:szCs w:val="20"/>
                <w:color w:val="auto"/>
              </w:rPr>
            </w:pP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4420" w:type="dxa"/>
            <w:vAlign w:val="bottom"/>
            <w:shd w:val="clear" w:color="auto" w:fill="CCEEFF"/>
          </w:tcPr>
          <w:p>
            <w:pPr>
              <w:jc w:val="center"/>
              <w:ind w:left="3090"/>
              <w:spacing w:after="0"/>
              <w:rPr>
                <w:sz w:val="20"/>
                <w:szCs w:val="20"/>
                <w:color w:val="auto"/>
              </w:rPr>
            </w:pPr>
            <w:r>
              <w:rPr>
                <w:rFonts w:ascii="Arial" w:cs="Arial" w:eastAsia="Arial" w:hAnsi="Arial"/>
                <w:sz w:val="18"/>
                <w:szCs w:val="18"/>
                <w:color w:val="auto"/>
                <w:w w:val="89"/>
              </w:rPr>
              <w:t>5 to 7 years</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Acquired developed technology</w:t>
            </w:r>
          </w:p>
        </w:tc>
        <w:tc>
          <w:tcPr>
            <w:tcW w:w="4420" w:type="dxa"/>
            <w:vAlign w:val="bottom"/>
          </w:tcPr>
          <w:p>
            <w:pPr>
              <w:jc w:val="center"/>
              <w:ind w:left="3090"/>
              <w:spacing w:after="0"/>
              <w:rPr>
                <w:sz w:val="20"/>
                <w:szCs w:val="20"/>
                <w:color w:val="auto"/>
              </w:rPr>
            </w:pPr>
            <w:r>
              <w:rPr>
                <w:rFonts w:ascii="Arial" w:cs="Arial" w:eastAsia="Arial" w:hAnsi="Arial"/>
                <w:sz w:val="18"/>
                <w:szCs w:val="18"/>
                <w:color w:val="auto"/>
                <w:w w:val="89"/>
              </w:rPr>
              <w:t>5 to 8 years</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420" w:type="dxa"/>
            <w:vAlign w:val="bottom"/>
            <w:shd w:val="clear" w:color="auto" w:fill="CCEEFF"/>
          </w:tcPr>
          <w:p>
            <w:pPr>
              <w:jc w:val="center"/>
              <w:ind w:left="3090"/>
              <w:spacing w:after="0"/>
              <w:rPr>
                <w:sz w:val="20"/>
                <w:szCs w:val="20"/>
                <w:color w:val="auto"/>
              </w:rPr>
            </w:pPr>
            <w:r>
              <w:rPr>
                <w:rFonts w:ascii="Arial" w:cs="Arial" w:eastAsia="Arial" w:hAnsi="Arial"/>
                <w:sz w:val="18"/>
                <w:szCs w:val="18"/>
                <w:color w:val="auto"/>
                <w:w w:val="88"/>
              </w:rPr>
              <w:t>5 years</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420" w:type="dxa"/>
            <w:vAlign w:val="bottom"/>
          </w:tcPr>
          <w:p>
            <w:pPr>
              <w:jc w:val="center"/>
              <w:ind w:left="3090"/>
              <w:spacing w:after="0"/>
              <w:rPr>
                <w:sz w:val="20"/>
                <w:szCs w:val="20"/>
                <w:color w:val="auto"/>
              </w:rPr>
            </w:pPr>
            <w:r>
              <w:rPr>
                <w:rFonts w:ascii="Arial" w:cs="Arial" w:eastAsia="Arial" w:hAnsi="Arial"/>
                <w:sz w:val="18"/>
                <w:szCs w:val="18"/>
                <w:color w:val="auto"/>
                <w:w w:val="89"/>
              </w:rPr>
              <w:t>5 to 8 years</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Capitalized website costs</w:t>
            </w:r>
          </w:p>
        </w:tc>
        <w:tc>
          <w:tcPr>
            <w:tcW w:w="4420" w:type="dxa"/>
            <w:vAlign w:val="bottom"/>
            <w:shd w:val="clear" w:color="auto" w:fill="CCEEFF"/>
          </w:tcPr>
          <w:p>
            <w:pPr>
              <w:jc w:val="center"/>
              <w:ind w:left="3090"/>
              <w:spacing w:after="0"/>
              <w:rPr>
                <w:sz w:val="20"/>
                <w:szCs w:val="20"/>
                <w:color w:val="auto"/>
              </w:rPr>
            </w:pPr>
            <w:r>
              <w:rPr>
                <w:rFonts w:ascii="Arial" w:cs="Arial" w:eastAsia="Arial" w:hAnsi="Arial"/>
                <w:sz w:val="18"/>
                <w:szCs w:val="18"/>
                <w:color w:val="auto"/>
                <w:w w:val="89"/>
              </w:rPr>
              <w:t>3 to 5 years</w:t>
            </w:r>
          </w:p>
        </w:tc>
      </w:tr>
    </w:tbl>
    <w:p>
      <w:pPr>
        <w:spacing w:after="0" w:line="20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intangible asset exceeds its estimated fair value, the Company recognizes an impairment charge and reduces the carrying value of the asset to its estimated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Payable</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the Company determines that an instrument is not a derivative liability, it then evaluates whether there is a beneficial conversion feature (“BCF”), by comparing the commitment date fair value to the effective current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Issue Costs and Debt Discount</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may record debt issuance costs and/or debt discounts in connection with issuing of debt. The Company may cover these costs by paying cash or issuing or equity (such as warrants). These costs are amortized to interest expense over the expected life of the debt. If a conversion of the underlying debt occurs, a proportionate share of the unamortized amounts is immediately expensed.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229"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For certain convertible debt issued by the Company, it may provide the debt holder with an original issue discount. The Company would record the original issue discount to debt discount, reducing the face amount of the note, and is then amortized to interest expense over the life of the debt.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determines at the inception of a right-of-use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expense on a straight-line basis over the lease term.</w:t>
      </w:r>
    </w:p>
    <w:p>
      <w:pPr>
        <w:spacing w:after="0" w:line="17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Company’s right-of-use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57"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Certain of the Company’s right-of-use asset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Deferred revenue includes amounts collected or billed in excess of revenue that it can recognize. The Company recognizes deferred revenue as revenue as the related performance obligation is satisfied. The Company records deferred revenue that will be recognized during the succeeding twelve-month period as a current liability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award’s recipient’s payroll costs are classified.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5" w:name="page16"/>
    <w:bookmarkEnd w:id="15"/>
    <w:p>
      <w:pPr>
        <w:ind w:firstLine="324"/>
        <w:spacing w:after="0" w:line="291" w:lineRule="auto"/>
        <w:rPr>
          <w:sz w:val="20"/>
          <w:szCs w:val="20"/>
          <w:color w:val="auto"/>
        </w:rPr>
      </w:pPr>
      <w:r>
        <w:rPr>
          <w:rFonts w:ascii="Arial" w:cs="Arial" w:eastAsia="Arial" w:hAnsi="Arial"/>
          <w:sz w:val="16"/>
          <w:szCs w:val="16"/>
          <w:color w:val="auto"/>
        </w:rPr>
        <w:t>The Company estimates the fair value of each stock option grant on the date of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excess of the purchase price over the estimated fair values of the assets acquired and liabilities assumed.</w:t>
      </w:r>
    </w:p>
    <w:p>
      <w:pPr>
        <w:spacing w:after="0" w:line="18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7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For contingent consideration arrangements, the Company recognizes a liability at fair value as of the acquisition date with subsequent fair value adjustments recorded in operations. Additional information regarding the Company’s contingent consideration arrangements may be found in Note 5 – Fair Value Measures, included elsewhere in the notes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 from the following sources: (1) equipment sales, (2) providing services and (3) construction contracts.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accordance with ASC 606 “Revenue Recognition”, the Company recognizes revenue from contracts with customers using a five-step model, which is described below:</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performance obligations that are distinct;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 the transaction price to the distinct performance obligations;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Identify the customer contract</w:t>
      </w:r>
    </w:p>
    <w:p>
      <w:pPr>
        <w:spacing w:after="0" w:line="225" w:lineRule="exact"/>
        <w:rPr>
          <w:sz w:val="20"/>
          <w:szCs w:val="20"/>
          <w:color w:val="auto"/>
        </w:rPr>
      </w:pPr>
    </w:p>
    <w:p>
      <w:pPr>
        <w:jc w:val="center"/>
        <w:ind w:right="40"/>
        <w:spacing w:after="0" w:line="311" w:lineRule="auto"/>
        <w:rPr>
          <w:sz w:val="20"/>
          <w:szCs w:val="20"/>
          <w:color w:val="auto"/>
        </w:rPr>
      </w:pPr>
      <w:r>
        <w:rPr>
          <w:rFonts w:ascii="Arial" w:cs="Arial" w:eastAsia="Arial" w:hAnsi="Arial"/>
          <w:sz w:val="16"/>
          <w:szCs w:val="16"/>
          <w:color w:val="auto"/>
        </w:rPr>
        <w:t>A customer contract is generally identified when there is approval and commitment from both the Company and its customer, the rights have been identified, payment terms are identified, the contract has commercial substance and collectability, and consideration is probable. Specifically, the Company obtains written/electronic signatures on contracts and a purchase order, if said purchase orders are issued in the normal course of business by the customer.</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b w:val="1"/>
          <w:bCs w:val="1"/>
          <w:i w:val="1"/>
          <w:iCs w:val="1"/>
          <w:color w:val="auto"/>
        </w:rPr>
        <w:t>Identify performance obligations that are distinct</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Determine the transaction price</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Allocate the transaction price to distinct performance obligations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is recognized when, or as, performance obligations are satisfied by transferring control of a promised product or service to a customer.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64" w:lineRule="exact"/>
        <w:rPr>
          <w:sz w:val="20"/>
          <w:szCs w:val="20"/>
          <w:color w:val="auto"/>
        </w:rPr>
      </w:pPr>
    </w:p>
    <w:p>
      <w:pPr>
        <w:ind w:right="280" w:firstLine="324"/>
        <w:spacing w:after="0" w:line="271" w:lineRule="auto"/>
        <w:rPr>
          <w:sz w:val="20"/>
          <w:szCs w:val="20"/>
          <w:color w:val="auto"/>
        </w:rPr>
      </w:pPr>
      <w:r>
        <w:rPr>
          <w:rFonts w:ascii="Arial" w:cs="Arial" w:eastAsia="Arial" w:hAnsi="Arial"/>
          <w:sz w:val="17"/>
          <w:szCs w:val="17"/>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78"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determines the SSP for services in time and materials contracts by observable prices in standalone services arrangements.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7" w:name="page18"/>
    <w:bookmarkEnd w:id="17"/>
    <w:p>
      <w:pPr>
        <w:ind w:right="480" w:firstLine="324"/>
        <w:spacing w:after="0" w:line="263" w:lineRule="auto"/>
        <w:rPr>
          <w:sz w:val="20"/>
          <w:szCs w:val="20"/>
          <w:color w:val="auto"/>
        </w:rPr>
      </w:pPr>
      <w:r>
        <w:rPr>
          <w:rFonts w:ascii="Arial" w:cs="Arial" w:eastAsia="Arial" w:hAnsi="Arial"/>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 upon interest rate and will present the financing components separately as financial income. For the three months ended March 31, 2022 and 2021, the Company did not have any such financial income.</w:t>
      </w:r>
    </w:p>
    <w:p>
      <w:pPr>
        <w:spacing w:after="0" w:line="166" w:lineRule="exact"/>
        <w:rPr>
          <w:sz w:val="20"/>
          <w:szCs w:val="20"/>
          <w:color w:val="auto"/>
        </w:rPr>
      </w:pPr>
    </w:p>
    <w:p>
      <w:pPr>
        <w:ind w:right="40" w:firstLine="369"/>
        <w:spacing w:after="0" w:line="259" w:lineRule="auto"/>
        <w:rPr>
          <w:sz w:val="20"/>
          <w:szCs w:val="20"/>
          <w:color w:val="auto"/>
        </w:rPr>
      </w:pPr>
      <w:r>
        <w:rPr>
          <w:rFonts w:ascii="Arial" w:cs="Arial" w:eastAsia="Arial" w:hAnsi="Arial"/>
          <w:sz w:val="18"/>
          <w:szCs w:val="18"/>
          <w:color w:val="auto"/>
        </w:rPr>
        <w:t>Payment terms with customers typically require payment 30 days from invoice date. The Company’s agreements with its customers do not provide for any refunds for services or products and therefore no specific reserve for such is maintained. In the infrequent instances where customers raise a concern over delivered products or services, the Company has endeavored to remedy the concern and all costs related to such matters have been insignificant in all periods presented.</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receivables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95"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7"/>
          <w:szCs w:val="17"/>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one-year period. In accordance with ASC 450-20-25, the Company accrues for product warranties when the loss is probable and can be reasonably estimated. The reserve for warranty returns is included in accrued expenses and other current liabilities in the Company’s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software.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Internal Software Development Costs</w:t>
      </w:r>
    </w:p>
    <w:p>
      <w:pPr>
        <w:spacing w:after="0" w:line="22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Company capitalizes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Charges</w:t>
      </w:r>
    </w:p>
    <w:p>
      <w:pPr>
        <w:spacing w:after="0" w:line="229"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The Company incurs costs related to shipping and handling of its manufactured products. These costs are expensed as incurred as a component of cost of goods sold. Shipping and handling charges related to the receipt of raw materials are also incurred, which are recorded as a cost of the related inventory.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jc w:val="both"/>
        <w:ind w:right="460" w:firstLine="324"/>
        <w:spacing w:after="0" w:line="311" w:lineRule="auto"/>
        <w:rPr>
          <w:sz w:val="20"/>
          <w:szCs w:val="20"/>
          <w:color w:val="auto"/>
        </w:rPr>
      </w:pPr>
      <w:r>
        <w:rPr>
          <w:rFonts w:ascii="Arial" w:cs="Arial" w:eastAsia="Arial" w:hAnsi="Arial"/>
          <w:sz w:val="16"/>
          <w:szCs w:val="16"/>
          <w:color w:val="auto"/>
        </w:rPr>
        <w:t>Investments in affiliates which are 50% or less owned by the Company for which the Company exercises significant influence but does not have control are accounted for on the equity method. The Company has investments in equity investments without readily determinable fair values, which represents investments in entities where the Company does not have the ability to significantly influence the operations of the entities.</w:t>
      </w:r>
    </w:p>
    <w:p>
      <w:pPr>
        <w:spacing w:after="0" w:line="1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March 31, 2022 and December 31, 2021 and will be performed as of each subsequent reporting date. After each of these assessments, the Company concluded that the activities that most significantly impact TPI’s economic performance are the growth, marketing, sale, and distribution of products using TPI’s technology and IP, each of which are solely directed by TPI. Based on our consideration of these assessments, the Company concluded that the Company’s investment in TPI should be accounted for under the equity method.</w:t>
      </w:r>
    </w:p>
    <w:p>
      <w:pPr>
        <w:spacing w:after="0" w:line="19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carrying value of the Company’s investment in TPI was $0 as of March 31, 2022 and December 31, 2021. The Company did not recognize revenue from TPI for the three months ended March 31, 2022 and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March 31, 2022, tax years 2016 through 2021 remain open for IRS audit. The Company has received no notice of audit from the IRS for any of the open tax years.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9" w:name="page20"/>
    <w:bookmarkEnd w:id="19"/>
    <w:p>
      <w:pPr>
        <w:ind w:right="400" w:firstLine="324"/>
        <w:spacing w:after="0" w:line="279" w:lineRule="auto"/>
        <w:rPr>
          <w:sz w:val="20"/>
          <w:szCs w:val="20"/>
          <w:color w:val="auto"/>
        </w:rPr>
      </w:pPr>
      <w:r>
        <w:rPr>
          <w:rFonts w:ascii="Arial" w:cs="Arial" w:eastAsia="Arial" w:hAnsi="Arial"/>
          <w:sz w:val="17"/>
          <w:szCs w:val="17"/>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Company presents basic and diluted net loss per share attributable to Common Stockholders in conformity with the two-class method required for participating securities. We compute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7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loss per share calculations for all periods have been adjusted to reflect the Reverse Stock Split effected on January 12, 2021. Net loss per share was calculated based on the weighted-average number of Common Stock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August 2020, the FASB issued Accounting Standards Update (“ASU”) No. 2020-06, Debt - Debt with Conversion and Other</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Options (Subtopic 470-20) and Derivatives and Hedging - Contracts in Entity’s Own Equity (Subtopic 815-40): Accounting for Convertible Instruments and Contracts in an Entity’s Own Equity. The amendments in ASU No. 2020-06 simplify the complexity associated with applying U.S.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adoption of this new accounting guidance had no impact on the Company’s consolidated financial position.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Accounting Pronouncements</w:t>
      </w:r>
    </w:p>
    <w:p>
      <w:pPr>
        <w:spacing w:after="0" w:line="229"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in the first quarter of fiscal 2024. The Company is currently evaluating the potential impact of this adoption on its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ind w:right="40" w:firstLine="324"/>
        <w:spacing w:after="0" w:line="271" w:lineRule="auto"/>
        <w:rPr>
          <w:sz w:val="20"/>
          <w:szCs w:val="20"/>
          <w:color w:val="auto"/>
        </w:rPr>
      </w:pPr>
      <w:r>
        <w:rPr>
          <w:rFonts w:ascii="Arial" w:cs="Arial" w:eastAsia="Arial" w:hAnsi="Arial"/>
          <w:sz w:val="17"/>
          <w:szCs w:val="17"/>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amendment in this update is effective for fiscal years beginning after December 15, 2022, including interim periods within those fiscal years. Early adoption is permitted, including adoption in an interim period. The guidance should be applied prospectively to business combinations occurring on or after the effective date of the amendment in this update. The Company is currently evaluating the potential impact of this adoption on its consolidated financial statements and related disclosures.</w:t>
      </w:r>
    </w:p>
    <w:p>
      <w:pPr>
        <w:spacing w:after="0" w:line="17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Company does not believe that any other ASU issued but not yet effective, if adopted, will have a material effect on the Company’s future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and Deferred Revenue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During the three months ended March 31, 2022 and 2021, the Company generated revenue from the following sources: (1) equipment sales, (2) services sales and (3) construction contracts.</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18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the Company’s revenue disaggregated by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12,774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Transferred over time</w:t>
            </w:r>
          </w:p>
        </w:tc>
        <w:tc>
          <w:tcPr>
            <w:tcW w:w="2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13,247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48"/>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26,021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ind w:firstLine="324"/>
        <w:spacing w:after="0" w:line="275" w:lineRule="auto"/>
        <w:rPr>
          <w:sz w:val="20"/>
          <w:szCs w:val="20"/>
          <w:color w:val="auto"/>
        </w:rPr>
      </w:pPr>
      <w:r>
        <w:rPr>
          <w:rFonts w:ascii="Arial" w:cs="Arial" w:eastAsia="Arial" w:hAnsi="Arial"/>
          <w:sz w:val="17"/>
          <w:szCs w:val="17"/>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$398 thousand for both March 31, 2022 and December 31, 2021. The Company’s reserve for warranty returns is included in accrued expenses and other current liabilities in its consolidated balance sheets.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Changes in the Company’s current deferred revenue balance for the three months ended March 31, 2022 and the year ended December 31, 2021 were as follows:</w:t>
      </w:r>
    </w:p>
    <w:p>
      <w:pPr>
        <w:sectPr>
          <w:pgSz w:w="11900" w:h="16838" w:orient="portrait"/>
          <w:cols w:equalWidth="0" w:num="1">
            <w:col w:w="11200"/>
          </w:cols>
          <w:pgMar w:left="320" w:top="8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 beginning of period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Interest income on deferred revenue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Recognized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6"/>
              </w:rPr>
              <w:t>Year ended</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3,772</w:t>
            </w:r>
          </w:p>
        </w:tc>
        <w:tc>
          <w:tcPr>
            <w:tcW w:w="22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152</w:t>
            </w:r>
          </w:p>
        </w:tc>
        <w:tc>
          <w:tcPr>
            <w:tcW w:w="60" w:type="dxa"/>
            <w:vAlign w:val="bottom"/>
            <w:gridSpan w:val="2"/>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3,758</w:t>
            </w:r>
          </w:p>
        </w:tc>
        <w:tc>
          <w:tcPr>
            <w:tcW w:w="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244"/>
        </w:trPr>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3,772</w:t>
            </w:r>
          </w:p>
        </w:tc>
        <w:tc>
          <w:tcPr>
            <w:tcW w:w="40" w:type="dxa"/>
            <w:vAlign w:val="bottom"/>
          </w:tcPr>
          <w:p>
            <w:pPr>
              <w:spacing w:after="0"/>
              <w:rPr>
                <w:sz w:val="21"/>
                <w:szCs w:val="21"/>
                <w:color w:val="auto"/>
              </w:rPr>
            </w:pP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20"/>
          </w:cols>
          <w:pgMar w:left="320" w:top="881" w:right="379" w:bottom="1440" w:gutter="0" w:footer="0" w:header="0"/>
          <w:type w:val="continuous"/>
        </w:sectPr>
      </w:pPr>
    </w:p>
    <w:p>
      <w:pPr>
        <w:spacing w:after="0" w:line="2"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Deferred revenue balances primarily consist of customer deposits on our cultivation and extraction solutions equipment. As of March 31, 2022 and December 31, 2021, all of the Company’s deferred revenue balances were reported as current liabilities in our accompanying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Assets and Liabilities</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980" w:right="220" w:hanging="647"/>
        <w:spacing w:after="0" w:line="277" w:lineRule="auto"/>
        <w:rPr>
          <w:sz w:val="20"/>
          <w:szCs w:val="20"/>
          <w:color w:val="auto"/>
        </w:rPr>
      </w:pPr>
      <w:r>
        <w:rPr>
          <w:rFonts w:ascii="Arial" w:cs="Arial" w:eastAsia="Arial" w:hAnsi="Arial"/>
          <w:sz w:val="18"/>
          <w:szCs w:val="18"/>
          <w:color w:val="auto"/>
        </w:rPr>
        <w:t>Level 2: Other inputs that are observable directly or indirectly, such as quoted prices for similar instruments in active markets or for similar markets that are not active.</w:t>
      </w:r>
    </w:p>
    <w:p>
      <w:pPr>
        <w:spacing w:after="0" w:line="170" w:lineRule="exact"/>
        <w:rPr>
          <w:sz w:val="20"/>
          <w:szCs w:val="20"/>
          <w:color w:val="auto"/>
        </w:rPr>
      </w:pPr>
    </w:p>
    <w:p>
      <w:pPr>
        <w:ind w:left="980" w:right="40" w:hanging="647"/>
        <w:spacing w:after="0" w:line="277" w:lineRule="auto"/>
        <w:rPr>
          <w:sz w:val="20"/>
          <w:szCs w:val="20"/>
          <w:color w:val="auto"/>
        </w:rPr>
      </w:pPr>
      <w:r>
        <w:rPr>
          <w:rFonts w:ascii="Arial" w:cs="Arial" w:eastAsia="Arial" w:hAnsi="Arial"/>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type w:val="continuous"/>
        </w:sectPr>
      </w:pPr>
    </w:p>
    <w:bookmarkStart w:id="22" w:name="page23"/>
    <w:bookmarkEnd w:id="22"/>
    <w:p>
      <w:pPr>
        <w:ind w:left="340"/>
        <w:spacing w:after="0"/>
        <w:rPr>
          <w:sz w:val="20"/>
          <w:szCs w:val="20"/>
          <w:color w:val="auto"/>
        </w:rPr>
      </w:pPr>
      <w:r>
        <w:rPr>
          <w:rFonts w:ascii="Arial" w:cs="Arial" w:eastAsia="Arial" w:hAnsi="Arial"/>
          <w:sz w:val="17"/>
          <w:szCs w:val="17"/>
          <w:color w:val="auto"/>
        </w:rPr>
        <w:t>At March 31, 2022 and December 31, 2021, the Company’s assets and liabilities measured at fair value on a recurring basis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90"/>
              </w:rPr>
              <w:t>December 31, 2021</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10"/>
          </w:tcPr>
          <w:p>
            <w:pPr>
              <w:ind w:left="300"/>
              <w:spacing w:after="0"/>
              <w:rPr>
                <w:sz w:val="20"/>
                <w:szCs w:val="20"/>
                <w:color w:val="auto"/>
              </w:rPr>
            </w:pPr>
            <w:r>
              <w:rPr>
                <w:rFonts w:ascii="Arial" w:cs="Arial" w:eastAsia="Arial" w:hAnsi="Arial"/>
                <w:sz w:val="18"/>
                <w:szCs w:val="18"/>
                <w:b w:val="1"/>
                <w:bCs w:val="1"/>
                <w:color w:val="auto"/>
              </w:rPr>
              <w:t>Fair Value Measurements Using Input Types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0"/>
          </w:tcPr>
          <w:p>
            <w:pPr>
              <w:jc w:val="center"/>
              <w:ind w:right="30"/>
              <w:spacing w:after="0"/>
              <w:rPr>
                <w:sz w:val="20"/>
                <w:szCs w:val="20"/>
                <w:color w:val="auto"/>
              </w:rPr>
            </w:pPr>
            <w:r>
              <w:rPr>
                <w:rFonts w:ascii="Arial" w:cs="Arial" w:eastAsia="Arial" w:hAnsi="Arial"/>
                <w:sz w:val="18"/>
                <w:szCs w:val="18"/>
                <w:b w:val="1"/>
                <w:bCs w:val="1"/>
                <w:color w:val="auto"/>
                <w:w w:val="90"/>
              </w:rPr>
              <w:t>Fair Value Measurements Using Input Types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Level 1</w:t>
            </w:r>
          </w:p>
        </w:tc>
        <w:tc>
          <w:tcPr>
            <w:tcW w:w="14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Mutual funds (included in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19,306</w:t>
            </w:r>
          </w:p>
        </w:tc>
        <w:tc>
          <w:tcPr>
            <w:tcW w:w="14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19,306</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9,961</w:t>
            </w:r>
          </w:p>
        </w:tc>
        <w:tc>
          <w:tcPr>
            <w:tcW w:w="14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18,905</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18,905</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34,589</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80" w:type="dxa"/>
            <w:vAlign w:val="bottom"/>
            <w:gridSpan w:val="2"/>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81,739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81,739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44,728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44,728</w:t>
            </w:r>
          </w:p>
        </w:tc>
        <w:tc>
          <w:tcPr>
            <w:tcW w:w="0" w:type="dxa"/>
            <w:vAlign w:val="bottom"/>
          </w:tcPr>
          <w:p>
            <w:pPr>
              <w:spacing w:after="0"/>
              <w:rPr>
                <w:sz w:val="1"/>
                <w:szCs w:val="1"/>
                <w:color w:val="auto"/>
              </w:rPr>
            </w:pPr>
          </w:p>
        </w:tc>
      </w:tr>
      <w:tr>
        <w:trPr>
          <w:trHeight w:val="216"/>
        </w:trPr>
        <w:tc>
          <w:tcPr>
            <w:tcW w:w="2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7,557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6,137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7"/>
        </w:trPr>
        <w:tc>
          <w:tcPr>
            <w:tcW w:w="23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has certain financial instruments which consist of cash and cash equivalents, marketable securities, and contingent consideration. Fair value information for each of these instruments is as follows:</w:t>
      </w:r>
    </w:p>
    <w:p>
      <w:pPr>
        <w:spacing w:after="0" w:line="170" w:lineRule="exact"/>
        <w:rPr>
          <w:sz w:val="20"/>
          <w:szCs w:val="20"/>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accounts receivable, accounts payable and deferred revenue liabilities fair values approximate their carrying values, due to the expected duration of these instruments.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Marketable securities classified as current held-to-maturity securities are recorded at amortized cost, which at March 31, 2022, approximated fair value.</w:t>
      </w:r>
    </w:p>
    <w:p>
      <w:pPr>
        <w:spacing w:after="0" w:line="170"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deferred consideration was recorded in connection with acquisitions during the three months ended March 31, 2022 and fiscal 2021 using an estimated fair value discount at the time of the transaction. As of March 31, 2022 and December 31, 2021, the carrying value of the deferred consideration approximated fair value,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As of March 31, 2022, the Company held investments in mutual funds, municipal bonds and corporate bonds. The Company records mutual funds at fair value in the accompanying consolidated balance sheet as part of cash and cash equivalents.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those investments which will mature within the next 12 months including, interest receivable on the long-term bonds.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The composition of the Company’s marketable securities are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Current marketable securities: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19,306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9,961</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18,905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34,589</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38,211</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44,550</w:t>
            </w: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2"/>
        </w:trPr>
        <w:tc>
          <w:tcPr>
            <w:tcW w:w="8700" w:type="dxa"/>
            <w:vAlign w:val="bottom"/>
            <w:gridSpan w:val="7"/>
          </w:tcPr>
          <w:p>
            <w:pPr>
              <w:ind w:left="340"/>
              <w:spacing w:after="0"/>
              <w:rPr>
                <w:sz w:val="20"/>
                <w:szCs w:val="20"/>
                <w:color w:val="auto"/>
              </w:rPr>
            </w:pPr>
            <w:r>
              <w:rPr>
                <w:rFonts w:ascii="Arial" w:cs="Arial" w:eastAsia="Arial" w:hAnsi="Arial"/>
                <w:sz w:val="18"/>
                <w:szCs w:val="18"/>
                <w:color w:val="auto"/>
                <w:w w:val="98"/>
              </w:rPr>
              <w:t>The amortized cost and estimated fair value of marketable securities as of March 31, 2022, are as follows: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24"/>
                <w:szCs w:val="24"/>
                <w:color w:val="auto"/>
              </w:rPr>
            </w:pPr>
          </w:p>
        </w:tc>
        <w:tc>
          <w:tcPr>
            <w:tcW w:w="108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2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80" w:type="dxa"/>
            <w:vAlign w:val="bottom"/>
            <w:gridSpan w:val="3"/>
          </w:tcPr>
          <w:p>
            <w:pPr>
              <w:jc w:val="right"/>
              <w:ind w:right="421"/>
              <w:spacing w:after="0"/>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 marketable securities: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19,280</w:t>
            </w: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18,765</w:t>
            </w:r>
          </w:p>
        </w:tc>
      </w:tr>
      <w:tr>
        <w:trPr>
          <w:trHeight w:val="250"/>
        </w:trPr>
        <w:tc>
          <w:tcPr>
            <w:tcW w:w="7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has classified its net liability for contingent earn-out considerations to the sellers relating to one acquisition completed during the three months ended March 31,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during the three months ended March 31, 2022 and fiscal 2021 are included within Note 14 – Business Combinations, included elsewhere in the notes to the consolidated financial statements.</w:t>
      </w:r>
    </w:p>
    <w:p>
      <w:pPr>
        <w:spacing w:after="0" w:line="192"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contingent earn-out payments to the sellers for each acquisition are based on the achievement of certain revenue thresholds. During the three months ended March 31, 2022, the Company accrued $1.4 million relating to the Lab Society acquisition for contingent consideration recorded from the initial purchase price accounting.</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 beginning of period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estimated fair value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Contingent consideration – end of period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3"/>
        <w:spacing w:after="0"/>
        <w:rPr>
          <w:sz w:val="20"/>
          <w:szCs w:val="20"/>
          <w:color w:val="auto"/>
        </w:rPr>
      </w:pPr>
      <w:r>
        <w:rPr>
          <w:rFonts w:ascii="Arial" w:cs="Arial" w:eastAsia="Arial" w:hAnsi="Arial"/>
          <w:sz w:val="16"/>
          <w:szCs w:val="16"/>
          <w:b w:val="1"/>
          <w:bCs w:val="1"/>
          <w:color w:val="auto"/>
        </w:rPr>
        <w:t>Three Months</w:t>
      </w:r>
    </w:p>
    <w:p>
      <w:pPr>
        <w:spacing w:after="0" w:line="50" w:lineRule="exact"/>
        <w:rPr>
          <w:sz w:val="20"/>
          <w:szCs w:val="20"/>
          <w:color w:val="auto"/>
        </w:rPr>
      </w:pPr>
    </w:p>
    <w:p>
      <w:pPr>
        <w:ind w:left="333"/>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ind w:left="153"/>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ind w:left="373"/>
        <w:spacing w:after="0"/>
        <w:rPr>
          <w:sz w:val="20"/>
          <w:szCs w:val="20"/>
          <w:color w:val="auto"/>
        </w:rPr>
      </w:pPr>
      <w:r>
        <w:rPr>
          <w:rFonts w:ascii="Arial" w:cs="Arial" w:eastAsia="Arial" w:hAnsi="Arial"/>
          <w:sz w:val="18"/>
          <w:szCs w:val="18"/>
          <w:b w:val="1"/>
          <w:bCs w:val="1"/>
          <w:color w:val="auto"/>
        </w:rPr>
        <w:t>2022</w:t>
      </w:r>
    </w:p>
    <w:p>
      <w:pPr>
        <w:spacing w:after="0" w:line="22" w:lineRule="exact"/>
        <w:rPr>
          <w:sz w:val="20"/>
          <w:szCs w:val="20"/>
          <w:color w:val="auto"/>
        </w:rPr>
      </w:pPr>
    </w:p>
    <w:p>
      <w:pPr>
        <w:ind w:left="713" w:hanging="713"/>
        <w:spacing w:after="0"/>
        <w:tabs>
          <w:tab w:leader="none" w:pos="713" w:val="left"/>
        </w:tabs>
        <w:numPr>
          <w:ilvl w:val="0"/>
          <w:numId w:val="10"/>
        </w:numPr>
        <w:rPr>
          <w:rFonts w:ascii="Arial" w:cs="Arial" w:eastAsia="Arial" w:hAnsi="Arial"/>
          <w:sz w:val="15"/>
          <w:szCs w:val="15"/>
          <w:color w:val="auto"/>
        </w:rPr>
      </w:pPr>
      <w:r>
        <w:rPr>
          <w:rFonts w:ascii="Arial" w:cs="Arial" w:eastAsia="Arial" w:hAnsi="Arial"/>
          <w:sz w:val="15"/>
          <w:szCs w:val="15"/>
          <w:color w:val="auto"/>
        </w:rPr>
        <w:t>6,137</w:t>
      </w:r>
    </w:p>
    <w:p>
      <w:pPr>
        <w:spacing w:after="0" w:line="57" w:lineRule="exact"/>
        <w:rPr>
          <w:rFonts w:ascii="Arial" w:cs="Arial" w:eastAsia="Arial" w:hAnsi="Arial"/>
          <w:sz w:val="15"/>
          <w:szCs w:val="15"/>
          <w:color w:val="auto"/>
        </w:rPr>
      </w:pPr>
    </w:p>
    <w:p>
      <w:pPr>
        <w:ind w:left="713"/>
        <w:spacing w:after="0"/>
        <w:rPr>
          <w:rFonts w:ascii="Arial" w:cs="Arial" w:eastAsia="Arial" w:hAnsi="Arial"/>
          <w:sz w:val="15"/>
          <w:szCs w:val="15"/>
          <w:color w:val="auto"/>
        </w:rPr>
      </w:pPr>
      <w:r>
        <w:rPr>
          <w:rFonts w:ascii="Arial" w:cs="Arial" w:eastAsia="Arial" w:hAnsi="Arial"/>
          <w:sz w:val="15"/>
          <w:szCs w:val="15"/>
          <w:color w:val="auto"/>
        </w:rPr>
        <w:t>1,420</w:t>
      </w:r>
    </w:p>
    <w:p>
      <w:pPr>
        <w:spacing w:after="0" w:line="43" w:lineRule="exact"/>
        <w:rPr>
          <w:rFonts w:ascii="Arial" w:cs="Arial" w:eastAsia="Arial" w:hAnsi="Arial"/>
          <w:sz w:val="15"/>
          <w:szCs w:val="15"/>
          <w:color w:val="auto"/>
        </w:rPr>
      </w:pPr>
    </w:p>
    <w:p>
      <w:pPr>
        <w:ind w:left="933"/>
        <w:spacing w:after="0"/>
        <w:rPr>
          <w:rFonts w:ascii="Arial" w:cs="Arial" w:eastAsia="Arial" w:hAnsi="Arial"/>
          <w:sz w:val="15"/>
          <w:szCs w:val="15"/>
          <w:color w:val="auto"/>
        </w:rPr>
      </w:pPr>
      <w:r>
        <w:rPr>
          <w:rFonts w:ascii="Arial" w:cs="Arial" w:eastAsia="Arial" w:hAnsi="Arial"/>
          <w:sz w:val="18"/>
          <w:szCs w:val="18"/>
          <w:color w:val="auto"/>
        </w:rPr>
        <w:t>—</w:t>
      </w:r>
    </w:p>
    <w:p>
      <w:pPr>
        <w:spacing w:after="0" w:line="62" w:lineRule="exact"/>
        <w:rPr>
          <w:sz w:val="20"/>
          <w:szCs w:val="20"/>
          <w:color w:val="auto"/>
        </w:rPr>
      </w:pPr>
    </w:p>
    <w:p>
      <w:pPr>
        <w:ind w:left="713" w:hanging="713"/>
        <w:spacing w:after="0"/>
        <w:tabs>
          <w:tab w:leader="none" w:pos="713" w:val="left"/>
        </w:tabs>
        <w:numPr>
          <w:ilvl w:val="0"/>
          <w:numId w:val="11"/>
        </w:numPr>
        <w:rPr>
          <w:rFonts w:ascii="Arial" w:cs="Arial" w:eastAsia="Arial" w:hAnsi="Arial"/>
          <w:sz w:val="15"/>
          <w:szCs w:val="15"/>
          <w:color w:val="auto"/>
        </w:rPr>
      </w:pPr>
      <w:r>
        <w:rPr>
          <w:rFonts w:ascii="Arial" w:cs="Arial" w:eastAsia="Arial" w:hAnsi="Arial"/>
          <w:sz w:val="15"/>
          <w:szCs w:val="15"/>
          <w:color w:val="auto"/>
        </w:rPr>
        <w:t>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112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7112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left="77" w:right="143"/>
        <w:spacing w:after="0" w:line="262" w:lineRule="auto"/>
        <w:rPr>
          <w:sz w:val="20"/>
          <w:szCs w:val="20"/>
          <w:color w:val="auto"/>
        </w:rPr>
      </w:pPr>
      <w:r>
        <w:rPr>
          <w:rFonts w:ascii="Arial" w:cs="Arial" w:eastAsia="Arial" w:hAnsi="Arial"/>
          <w:sz w:val="18"/>
          <w:szCs w:val="18"/>
          <w:b w:val="1"/>
          <w:bCs w:val="1"/>
          <w:color w:val="auto"/>
        </w:rPr>
        <w:t>Year ended December 31, 2021</w:t>
      </w:r>
    </w:p>
    <w:p>
      <w:pPr>
        <w:spacing w:after="0" w:line="1" w:lineRule="exact"/>
        <w:rPr>
          <w:sz w:val="20"/>
          <w:szCs w:val="20"/>
          <w:color w:val="auto"/>
        </w:rPr>
      </w:pPr>
    </w:p>
    <w:p>
      <w:pPr>
        <w:ind w:left="1057" w:hanging="1057"/>
        <w:spacing w:after="0"/>
        <w:tabs>
          <w:tab w:leader="none" w:pos="10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817"/>
        <w:spacing w:after="0"/>
        <w:rPr>
          <w:rFonts w:ascii="Arial" w:cs="Arial" w:eastAsia="Arial" w:hAnsi="Arial"/>
          <w:sz w:val="18"/>
          <w:szCs w:val="18"/>
          <w:color w:val="auto"/>
        </w:rPr>
      </w:pPr>
      <w:r>
        <w:rPr>
          <w:rFonts w:ascii="Arial" w:cs="Arial" w:eastAsia="Arial" w:hAnsi="Arial"/>
          <w:sz w:val="16"/>
          <w:szCs w:val="16"/>
          <w:color w:val="auto"/>
        </w:rPr>
        <w:t>4,725</w:t>
      </w:r>
    </w:p>
    <w:p>
      <w:pPr>
        <w:spacing w:after="0" w:line="32" w:lineRule="exact"/>
        <w:rPr>
          <w:rFonts w:ascii="Arial" w:cs="Arial" w:eastAsia="Arial" w:hAnsi="Arial"/>
          <w:sz w:val="18"/>
          <w:szCs w:val="18"/>
          <w:color w:val="auto"/>
        </w:rPr>
      </w:pPr>
    </w:p>
    <w:p>
      <w:pPr>
        <w:ind w:left="817"/>
        <w:spacing w:after="0"/>
        <w:rPr>
          <w:rFonts w:ascii="Arial" w:cs="Arial" w:eastAsia="Arial" w:hAnsi="Arial"/>
          <w:sz w:val="18"/>
          <w:szCs w:val="18"/>
          <w:color w:val="auto"/>
        </w:rPr>
      </w:pPr>
      <w:r>
        <w:rPr>
          <w:rFonts w:ascii="Arial" w:cs="Arial" w:eastAsia="Arial" w:hAnsi="Arial"/>
          <w:sz w:val="16"/>
          <w:szCs w:val="16"/>
          <w:color w:val="auto"/>
        </w:rPr>
        <w:t>1,412</w:t>
      </w:r>
    </w:p>
    <w:p>
      <w:pPr>
        <w:spacing w:after="0" w:line="85" w:lineRule="exact"/>
        <w:rPr>
          <w:sz w:val="20"/>
          <w:szCs w:val="20"/>
          <w:color w:val="auto"/>
        </w:rPr>
      </w:pPr>
    </w:p>
    <w:p>
      <w:pPr>
        <w:ind w:left="817" w:hanging="817"/>
        <w:spacing w:after="0"/>
        <w:tabs>
          <w:tab w:leader="none" w:pos="8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6,137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797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978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797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97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847" w:space="720"/>
            <w:col w:w="1113" w:space="223"/>
            <w:col w:w="1337"/>
          </w:cols>
          <w:pgMar w:left="320" w:top="881" w:right="339" w:bottom="1440" w:gutter="0" w:footer="0" w:header="0"/>
          <w:type w:val="continuous"/>
        </w:sectPr>
      </w:pP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included contingent consideration within accrued expense and other current liabilities in its consolidated balance sheets as of March 31, 2022 and December 31, 2021,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 Loan Receivable</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 portion of the capital raised from the Company’s IPO has been allocated to launch Agrify’s total turn-key solution (“TTK Solution”) program. The TTK Solution is industry’s first end-to-end solution that provides access to capital for construction costs, equipment lease(s) to VFUs and other related operating equipment, subscription to the Company’s Agrify Insights software, and business consultation services, which will enable the Company’s customers to go to market faster and better.</w:t>
      </w:r>
    </w:p>
    <w:p>
      <w:pPr>
        <w:spacing w:after="0" w:line="187"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The Company’s initial allowable investment in the TTK Solution engagements is currently capped at $50.0 million, as approved by the Company’s Board of Directors. As of March 31, 2022 and December 31, 2021, the Company has committed $32.9 million to the Agrify TTK Solution for five customers under contract and $20.3 million to the Agrify TTK Solution for five customers under contract, respectively. Of the five parties who have purchased the Agrify TTK Solution to date, Greenstone Holdings is a related party as of March 31, 2022 and December 31, 2021.</w:t>
      </w:r>
    </w:p>
    <w:p>
      <w:pPr>
        <w:spacing w:after="0" w:line="15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loan agreements entered into with customers receiving the Agrify TTK Solution generally provide for loans ranging from approximately $200 thousand up to $13.5 million with maturity dates of approximately two to three years after the completion of the construction projects. Typically, the TTK Solution construction loans have interest rates ranging from 12% to 18% per year.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96"/>
              </w:rPr>
              <w:t>The breakdown of loans receivable by Company as of March 31, 2022 and December 31, 2021 is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Company A – Agrify TTK Solution</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Greenstone Holdings – TTK Solution – Related Party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12,446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C – Agrify TTK Solution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Company D – Agrify TTK Solution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3,338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E – Agrify TTK Solution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Company F – Non-TTK Solution (1)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 Non-TTK Solutions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Total loan receivable</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34,738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22,255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portion of loan receivable are included within Note 9 – Prepaid Expenses and Other Current Receivables, included elsewhere in the notes to the consolidated financial statements.</w:t>
      </w:r>
    </w:p>
    <w:p>
      <w:pPr>
        <w:spacing w:after="0" w:line="1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 analyzed whether any of the above customers are a VIE in accordance with ASC 810 and if so, whether the Company is the primary beneficiary requiring consolidation. Based on the Company’s analysis, the Company has determined that Greenstone Holdings is a VIE. As of March 31, 2022, two of the Company’s employees own approximately 36.6% of the equity of Greenstone Holdings, however, since the Company is not the primary beneficiary and does not hold significant influence over Greenstone Holdings business decisions, the Company is not required to consolidate Greenstone Holdings.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7 — Accounts Receivable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Accounts receivable consisted of the following as of March 31, 2022 and December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Less allowance for doubtful accounts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(1,415)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NEIA, a related party, accounted for $1.3 million and $3.5 million of the Company’s accounts receivable, net as of March 31, 2022 and December 31, 2021,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The changes in the allowance for doubtful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 beginning of period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adjustments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 end of period</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Bad debt expense was nil for both the three months ended March 31, 2022 and March 31,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25"/>
        <w:spacing w:after="0"/>
        <w:rPr>
          <w:sz w:val="20"/>
          <w:szCs w:val="20"/>
          <w:color w:val="auto"/>
        </w:rPr>
      </w:pPr>
      <w:r>
        <w:rPr>
          <w:rFonts w:ascii="Arial" w:cs="Arial" w:eastAsia="Arial" w:hAnsi="Arial"/>
          <w:sz w:val="16"/>
          <w:szCs w:val="16"/>
          <w:b w:val="1"/>
          <w:bCs w:val="1"/>
          <w:color w:val="auto"/>
        </w:rPr>
        <w:t>Three Months</w:t>
      </w:r>
    </w:p>
    <w:p>
      <w:pPr>
        <w:spacing w:after="0" w:line="50" w:lineRule="exact"/>
        <w:rPr>
          <w:sz w:val="20"/>
          <w:szCs w:val="20"/>
          <w:color w:val="auto"/>
        </w:rPr>
      </w:pPr>
    </w:p>
    <w:p>
      <w:pPr>
        <w:ind w:left="345"/>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ind w:left="145"/>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ind w:left="385"/>
        <w:spacing w:after="0"/>
        <w:rPr>
          <w:sz w:val="20"/>
          <w:szCs w:val="20"/>
          <w:color w:val="auto"/>
        </w:rPr>
      </w:pPr>
      <w:r>
        <w:rPr>
          <w:rFonts w:ascii="Arial" w:cs="Arial" w:eastAsia="Arial" w:hAnsi="Arial"/>
          <w:sz w:val="18"/>
          <w:szCs w:val="18"/>
          <w:b w:val="1"/>
          <w:bCs w:val="1"/>
          <w:color w:val="auto"/>
        </w:rPr>
        <w:t>2022</w:t>
      </w:r>
    </w:p>
    <w:p>
      <w:pPr>
        <w:spacing w:after="0" w:line="22" w:lineRule="exact"/>
        <w:rPr>
          <w:sz w:val="20"/>
          <w:szCs w:val="20"/>
          <w:color w:val="auto"/>
        </w:rPr>
      </w:pPr>
    </w:p>
    <w:p>
      <w:pPr>
        <w:ind w:left="725" w:hanging="725"/>
        <w:spacing w:after="0"/>
        <w:tabs>
          <w:tab w:leader="none" w:pos="725" w:val="left"/>
        </w:tabs>
        <w:numPr>
          <w:ilvl w:val="0"/>
          <w:numId w:val="15"/>
        </w:numPr>
        <w:rPr>
          <w:rFonts w:ascii="Arial" w:cs="Arial" w:eastAsia="Arial" w:hAnsi="Arial"/>
          <w:sz w:val="15"/>
          <w:szCs w:val="15"/>
          <w:color w:val="auto"/>
        </w:rPr>
      </w:pPr>
      <w:r>
        <w:rPr>
          <w:rFonts w:ascii="Arial" w:cs="Arial" w:eastAsia="Arial" w:hAnsi="Arial"/>
          <w:sz w:val="15"/>
          <w:szCs w:val="15"/>
          <w:color w:val="auto"/>
        </w:rPr>
        <w:t>1,415</w:t>
      </w:r>
    </w:p>
    <w:p>
      <w:pPr>
        <w:spacing w:after="0" w:line="57" w:lineRule="exact"/>
        <w:rPr>
          <w:rFonts w:ascii="Arial" w:cs="Arial" w:eastAsia="Arial" w:hAnsi="Arial"/>
          <w:sz w:val="15"/>
          <w:szCs w:val="15"/>
          <w:color w:val="auto"/>
        </w:rPr>
      </w:pPr>
    </w:p>
    <w:p>
      <w:pPr>
        <w:ind w:left="945"/>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945"/>
        <w:spacing w:after="0"/>
        <w:rPr>
          <w:rFonts w:ascii="Arial" w:cs="Arial" w:eastAsia="Arial" w:hAnsi="Arial"/>
          <w:sz w:val="15"/>
          <w:szCs w:val="15"/>
          <w:color w:val="auto"/>
        </w:rPr>
      </w:pPr>
      <w:r>
        <w:rPr>
          <w:rFonts w:ascii="Arial" w:cs="Arial" w:eastAsia="Arial" w:hAnsi="Arial"/>
          <w:sz w:val="18"/>
          <w:szCs w:val="18"/>
          <w:color w:val="auto"/>
        </w:rPr>
        <w:t>—</w:t>
      </w:r>
    </w:p>
    <w:p>
      <w:pPr>
        <w:spacing w:after="0" w:line="62" w:lineRule="exact"/>
        <w:rPr>
          <w:sz w:val="20"/>
          <w:szCs w:val="20"/>
          <w:color w:val="auto"/>
        </w:rPr>
      </w:pPr>
    </w:p>
    <w:p>
      <w:pPr>
        <w:ind w:left="725" w:hanging="725"/>
        <w:spacing w:after="0"/>
        <w:tabs>
          <w:tab w:leader="none" w:pos="725" w:val="left"/>
        </w:tabs>
        <w:numPr>
          <w:ilvl w:val="0"/>
          <w:numId w:val="16"/>
        </w:numPr>
        <w:rPr>
          <w:rFonts w:ascii="Arial" w:cs="Arial" w:eastAsia="Arial" w:hAnsi="Arial"/>
          <w:sz w:val="15"/>
          <w:szCs w:val="15"/>
          <w:color w:val="auto"/>
        </w:rPr>
      </w:pPr>
      <w:r>
        <w:rPr>
          <w:rFonts w:ascii="Arial" w:cs="Arial" w:eastAsia="Arial" w:hAnsi="Arial"/>
          <w:sz w:val="15"/>
          <w:szCs w:val="15"/>
          <w:color w:val="auto"/>
        </w:rPr>
        <w:t>1,415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00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7200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15" w:right="145"/>
        <w:spacing w:after="0" w:line="262" w:lineRule="auto"/>
        <w:rPr>
          <w:sz w:val="20"/>
          <w:szCs w:val="20"/>
          <w:color w:val="auto"/>
        </w:rPr>
      </w:pPr>
      <w:r>
        <w:rPr>
          <w:rFonts w:ascii="Arial" w:cs="Arial" w:eastAsia="Arial" w:hAnsi="Arial"/>
          <w:sz w:val="18"/>
          <w:szCs w:val="18"/>
          <w:b w:val="1"/>
          <w:bCs w:val="1"/>
          <w:color w:val="auto"/>
        </w:rPr>
        <w:t>Year ended December 31, 2021</w:t>
      </w:r>
    </w:p>
    <w:p>
      <w:pPr>
        <w:spacing w:after="0" w:line="1" w:lineRule="exact"/>
        <w:rPr>
          <w:sz w:val="20"/>
          <w:szCs w:val="20"/>
          <w:color w:val="auto"/>
        </w:rPr>
      </w:pPr>
    </w:p>
    <w:p>
      <w:pPr>
        <w:ind w:left="935" w:hanging="935"/>
        <w:spacing w:after="0"/>
        <w:tabs>
          <w:tab w:leader="none" w:pos="9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54</w:t>
      </w:r>
    </w:p>
    <w:p>
      <w:pPr>
        <w:spacing w:after="0" w:line="46" w:lineRule="exact"/>
        <w:rPr>
          <w:rFonts w:ascii="Arial" w:cs="Arial" w:eastAsia="Arial" w:hAnsi="Arial"/>
          <w:sz w:val="16"/>
          <w:szCs w:val="16"/>
          <w:color w:val="auto"/>
        </w:rPr>
      </w:pPr>
    </w:p>
    <w:p>
      <w:pPr>
        <w:ind w:left="695"/>
        <w:spacing w:after="0"/>
        <w:rPr>
          <w:rFonts w:ascii="Arial" w:cs="Arial" w:eastAsia="Arial" w:hAnsi="Arial"/>
          <w:sz w:val="16"/>
          <w:szCs w:val="16"/>
          <w:color w:val="auto"/>
        </w:rPr>
      </w:pPr>
      <w:r>
        <w:rPr>
          <w:rFonts w:ascii="Arial" w:cs="Arial" w:eastAsia="Arial" w:hAnsi="Arial"/>
          <w:sz w:val="16"/>
          <w:szCs w:val="16"/>
          <w:color w:val="auto"/>
        </w:rPr>
        <w:t>1,187</w:t>
      </w:r>
    </w:p>
    <w:p>
      <w:pPr>
        <w:spacing w:after="0" w:line="32" w:lineRule="exact"/>
        <w:rPr>
          <w:rFonts w:ascii="Arial" w:cs="Arial" w:eastAsia="Arial" w:hAnsi="Arial"/>
          <w:sz w:val="16"/>
          <w:szCs w:val="16"/>
          <w:color w:val="auto"/>
        </w:rPr>
      </w:pPr>
    </w:p>
    <w:p>
      <w:pPr>
        <w:ind w:left="835"/>
        <w:spacing w:after="0"/>
        <w:rPr>
          <w:rFonts w:ascii="Arial" w:cs="Arial" w:eastAsia="Arial" w:hAnsi="Arial"/>
          <w:sz w:val="16"/>
          <w:szCs w:val="16"/>
          <w:color w:val="auto"/>
        </w:rPr>
      </w:pPr>
      <w:r>
        <w:rPr>
          <w:rFonts w:ascii="Arial" w:cs="Arial" w:eastAsia="Arial" w:hAnsi="Arial"/>
          <w:sz w:val="16"/>
          <w:szCs w:val="16"/>
          <w:color w:val="auto"/>
        </w:rPr>
        <w:t>174</w:t>
      </w:r>
    </w:p>
    <w:p>
      <w:pPr>
        <w:spacing w:after="0" w:line="85" w:lineRule="exact"/>
        <w:rPr>
          <w:sz w:val="20"/>
          <w:szCs w:val="20"/>
          <w:color w:val="auto"/>
        </w:rPr>
      </w:pPr>
    </w:p>
    <w:p>
      <w:pPr>
        <w:ind w:left="695" w:hanging="695"/>
        <w:spacing w:after="0"/>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1,415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029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029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150" w:lineRule="exact"/>
        <w:rPr>
          <w:sz w:val="20"/>
          <w:szCs w:val="20"/>
          <w:color w:val="auto"/>
        </w:rPr>
      </w:pPr>
    </w:p>
    <w:p>
      <w:pPr>
        <w:sectPr>
          <w:pgSz w:w="11900" w:h="16838" w:orient="portrait"/>
          <w:cols w:equalWidth="0" w:num="3">
            <w:col w:w="7955" w:space="720"/>
            <w:col w:w="1125" w:space="225"/>
            <w:col w:w="1215"/>
          </w:cols>
          <w:pgMar w:left="320" w:top="881" w:right="339" w:bottom="1440" w:gutter="0" w:footer="0" w:header="0"/>
        </w:sectPr>
      </w:pPr>
    </w:p>
    <w:p>
      <w:pPr>
        <w:spacing w:after="0" w:line="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Inventory consisted of the following as of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0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Prepaid inventory</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21,975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Inventory, gross</w:t>
            </w:r>
          </w:p>
        </w:tc>
        <w:tc>
          <w:tcPr>
            <w:tcW w:w="50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39,931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21,440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5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inventory, net</w:t>
            </w:r>
          </w:p>
        </w:tc>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5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38,989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20,498</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5000" w:type="dxa"/>
            <w:vAlign w:val="bottom"/>
            <w:vMerge w:val="restart"/>
          </w:tcPr>
          <w:p>
            <w:pPr>
              <w:jc w:val="right"/>
              <w:ind w:right="27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type w:val="continuous"/>
        </w:sectPr>
      </w:pPr>
    </w:p>
    <w:bookmarkStart w:id="26" w:name="page27"/>
    <w:bookmarkEnd w:id="26"/>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25"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Company’s inventory reserve are as follows: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Inventory reserves – beginning of period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 in inventory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Inventory write-offs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reserves – end of period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942</w:t>
            </w:r>
          </w:p>
        </w:tc>
        <w:tc>
          <w:tcPr>
            <w:tcW w:w="22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r>
      <w:tr>
        <w:trPr>
          <w:trHeight w:val="230"/>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9 — Prepaid Expenses and Other Current Receivables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5"/>
          </w:tcPr>
          <w:p>
            <w:pPr>
              <w:ind w:left="340"/>
              <w:spacing w:after="0"/>
              <w:rPr>
                <w:sz w:val="20"/>
                <w:szCs w:val="20"/>
                <w:color w:val="auto"/>
              </w:rPr>
            </w:pPr>
            <w:r>
              <w:rPr>
                <w:rFonts w:ascii="Arial" w:cs="Arial" w:eastAsia="Arial" w:hAnsi="Arial"/>
                <w:sz w:val="18"/>
                <w:szCs w:val="18"/>
                <w:color w:val="auto"/>
              </w:rPr>
              <w:t>Prepaid expenses and other current receivables consisted of the following as of March 31,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Prepaid software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costs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issuance costs,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note receivables (1)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 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w w:val="99"/>
              </w:rPr>
              <w:t>(1)  Other note receivables relate to the current portion of one of our TTK Solutions loan receivable balances.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10 — Property and Equipment, Net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net consisted of the following as of March 31, 2022 and December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laboratory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Leased equipment at customer</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show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Total property and equipment, gross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4,288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3,923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for the three months ended March 31, 2022 and 2021 was $379 thousand and $90 thousand,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11 — Intangible Assets, Net and Goodwill</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records intangible assets initially at fair value and tests these values periodically for impairment. Goodwill represents the excess of the purchase price over the fair value of identifiable tangible and intangible assets acquired and liabilities assumed in a business combination and is tested at least annually for impairment. The Company performs an impairment test of goodwill during the fourth quarter of each year or sooner if indicators of potential impairment arise. There were no such indicators in the three months ended March 31, 2022.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as of March 31, 2022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6"/>
          </w:tcPr>
          <w:p>
            <w:pPr>
              <w:jc w:val="center"/>
              <w:ind w:left="390"/>
              <w:spacing w:after="0"/>
              <w:rPr>
                <w:sz w:val="20"/>
                <w:szCs w:val="20"/>
                <w:color w:val="auto"/>
              </w:rPr>
            </w:pPr>
            <w:r>
              <w:rPr>
                <w:rFonts w:ascii="Arial" w:cs="Arial" w:eastAsia="Arial" w:hAnsi="Arial"/>
                <w:sz w:val="18"/>
                <w:szCs w:val="18"/>
                <w:b w:val="1"/>
                <w:bCs w:val="1"/>
                <w:color w:val="auto"/>
                <w:w w:val="87"/>
              </w:rPr>
              <w:t>Intangible Assets, Gross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8"/>
          </w:tcPr>
          <w:p>
            <w:pPr>
              <w:jc w:val="center"/>
              <w:ind w:right="301"/>
              <w:spacing w:after="0"/>
              <w:rPr>
                <w:sz w:val="20"/>
                <w:szCs w:val="20"/>
                <w:color w:val="auto"/>
              </w:rPr>
            </w:pPr>
            <w:r>
              <w:rPr>
                <w:rFonts w:ascii="Arial" w:cs="Arial" w:eastAsia="Arial" w:hAnsi="Arial"/>
                <w:sz w:val="18"/>
                <w:szCs w:val="18"/>
                <w:b w:val="1"/>
                <w:bCs w:val="1"/>
                <w:color w:val="auto"/>
                <w:w w:val="92"/>
              </w:rPr>
              <w:t>Accumulated Amortization</w:t>
            </w:r>
          </w:p>
        </w:tc>
        <w:tc>
          <w:tcPr>
            <w:tcW w:w="120" w:type="dxa"/>
            <w:vAlign w:val="bottom"/>
          </w:tcPr>
          <w:p>
            <w:pPr>
              <w:spacing w:after="0"/>
              <w:rPr>
                <w:sz w:val="20"/>
                <w:szCs w:val="20"/>
                <w:color w:val="auto"/>
              </w:rPr>
            </w:pPr>
          </w:p>
        </w:tc>
        <w:tc>
          <w:tcPr>
            <w:tcW w:w="1980" w:type="dxa"/>
            <w:vAlign w:val="bottom"/>
            <w:gridSpan w:val="5"/>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Additions</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61"/>
              <w:spacing w:after="0" w:line="198" w:lineRule="exact"/>
              <w:rPr>
                <w:sz w:val="20"/>
                <w:szCs w:val="20"/>
                <w:color w:val="auto"/>
              </w:rPr>
            </w:pPr>
            <w:r>
              <w:rPr>
                <w:rFonts w:ascii="Arial" w:cs="Arial" w:eastAsia="Arial" w:hAnsi="Arial"/>
                <w:sz w:val="18"/>
                <w:szCs w:val="18"/>
                <w:b w:val="1"/>
                <w:bCs w:val="1"/>
                <w:color w:val="auto"/>
                <w:w w:val="86"/>
              </w:rPr>
              <w:t>Expense</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and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and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January 1,</w:t>
            </w: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Retirements,</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8"/>
                <w:szCs w:val="18"/>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2"/>
              </w:rPr>
              <w:t>January 1,</w:t>
            </w:r>
          </w:p>
        </w:tc>
        <w:tc>
          <w:tcPr>
            <w:tcW w:w="118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9"/>
              </w:rPr>
              <w:t>Retirements,</w:t>
            </w:r>
          </w:p>
        </w:tc>
        <w:tc>
          <w:tcPr>
            <w:tcW w:w="1120" w:type="dxa"/>
            <w:vAlign w:val="bottom"/>
            <w:gridSpan w:val="3"/>
          </w:tcPr>
          <w:p>
            <w:pPr>
              <w:jc w:val="right"/>
              <w:ind w:right="221"/>
              <w:spacing w:after="0"/>
              <w:rPr>
                <w:sz w:val="20"/>
                <w:szCs w:val="20"/>
                <w:color w:val="auto"/>
              </w:rPr>
            </w:pPr>
            <w:r>
              <w:rPr>
                <w:rFonts w:ascii="Arial" w:cs="Arial" w:eastAsia="Arial" w:hAnsi="Arial"/>
                <w:sz w:val="18"/>
                <w:szCs w:val="18"/>
                <w:b w:val="1"/>
                <w:bCs w:val="1"/>
                <w:color w:val="auto"/>
                <w:w w:val="96"/>
              </w:rPr>
              <w:t>March 31,</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January 1,</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w:t>
            </w:r>
          </w:p>
        </w:tc>
        <w:tc>
          <w:tcPr>
            <w:tcW w:w="24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8"/>
              </w:rPr>
              <w:t>net</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5,874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Acquired developed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Non-compete</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1,142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website costs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20" w:type="dxa"/>
            <w:vAlign w:val="bottom"/>
            <w:gridSpan w:val="2"/>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14,952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17,414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(673</w:t>
            </w:r>
          </w:p>
        </w:tc>
        <w:tc>
          <w:tcPr>
            <w:tcW w:w="2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(1,553</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14,072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15,861</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26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Intangible assets, net as of December 31, 2021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10"/>
          </w:tcPr>
          <w:p>
            <w:pPr>
              <w:ind w:left="520"/>
              <w:spacing w:after="0"/>
              <w:rPr>
                <w:sz w:val="20"/>
                <w:szCs w:val="20"/>
                <w:color w:val="auto"/>
              </w:rPr>
            </w:pPr>
            <w:r>
              <w:rPr>
                <w:rFonts w:ascii="Arial" w:cs="Arial" w:eastAsia="Arial" w:hAnsi="Arial"/>
                <w:sz w:val="18"/>
                <w:szCs w:val="18"/>
                <w:b w:val="1"/>
                <w:bCs w:val="1"/>
                <w:color w:val="auto"/>
              </w:rPr>
              <w:t>Intangible Assets, Gross</w:t>
            </w:r>
          </w:p>
        </w:tc>
        <w:tc>
          <w:tcPr>
            <w:tcW w:w="180" w:type="dxa"/>
            <w:vAlign w:val="bottom"/>
          </w:tcPr>
          <w:p>
            <w:pPr>
              <w:spacing w:after="0"/>
              <w:rPr>
                <w:sz w:val="20"/>
                <w:szCs w:val="20"/>
                <w:color w:val="auto"/>
              </w:rPr>
            </w:pPr>
          </w:p>
        </w:tc>
        <w:tc>
          <w:tcPr>
            <w:tcW w:w="2800" w:type="dxa"/>
            <w:vAlign w:val="bottom"/>
            <w:gridSpan w:val="8"/>
          </w:tcPr>
          <w:p>
            <w:pPr>
              <w:jc w:val="right"/>
              <w:ind w:right="190"/>
              <w:spacing w:after="0"/>
              <w:rPr>
                <w:sz w:val="20"/>
                <w:szCs w:val="20"/>
                <w:color w:val="auto"/>
              </w:rPr>
            </w:pPr>
            <w:r>
              <w:rPr>
                <w:rFonts w:ascii="Arial" w:cs="Arial" w:eastAsia="Arial" w:hAnsi="Arial"/>
                <w:sz w:val="18"/>
                <w:szCs w:val="18"/>
                <w:b w:val="1"/>
                <w:bCs w:val="1"/>
                <w:color w:val="auto"/>
              </w:rPr>
              <w:t>Accumulated Amortization</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7"/>
          </w:tcPr>
          <w:p>
            <w:pPr>
              <w:ind w:left="60"/>
              <w:spacing w:after="0"/>
              <w:rPr>
                <w:sz w:val="20"/>
                <w:szCs w:val="20"/>
                <w:color w:val="auto"/>
              </w:rPr>
            </w:pPr>
            <w:r>
              <w:rPr>
                <w:rFonts w:ascii="Arial" w:cs="Arial" w:eastAsia="Arial" w:hAnsi="Arial"/>
                <w:sz w:val="18"/>
                <w:szCs w:val="18"/>
                <w:b w:val="1"/>
                <w:bCs w:val="1"/>
                <w:color w:val="auto"/>
              </w:rPr>
              <w:t>Intangible Assets, Net</w:t>
            </w: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1"/>
              </w:rPr>
              <w:t>Additions</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181"/>
              <w:spacing w:after="0" w:line="198" w:lineRule="exact"/>
              <w:rPr>
                <w:sz w:val="20"/>
                <w:szCs w:val="20"/>
                <w:color w:val="auto"/>
              </w:rPr>
            </w:pPr>
            <w:r>
              <w:rPr>
                <w:rFonts w:ascii="Arial" w:cs="Arial" w:eastAsia="Arial" w:hAnsi="Arial"/>
                <w:sz w:val="18"/>
                <w:szCs w:val="18"/>
                <w:b w:val="1"/>
                <w:bCs w:val="1"/>
                <w:color w:val="auto"/>
                <w:w w:val="86"/>
              </w:rPr>
              <w:t>Expense</w:t>
            </w: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7"/>
              </w:rPr>
              <w:t>and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January 1,</w:t>
            </w: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Retirements,</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gridSpan w:val="3"/>
          </w:tcPr>
          <w:p>
            <w:pPr>
              <w:jc w:val="right"/>
              <w:ind w:right="81"/>
              <w:spacing w:after="0"/>
              <w:rPr>
                <w:sz w:val="20"/>
                <w:szCs w:val="20"/>
                <w:color w:val="auto"/>
              </w:rPr>
            </w:pPr>
            <w:r>
              <w:rPr>
                <w:rFonts w:ascii="Arial" w:cs="Arial" w:eastAsia="Arial" w:hAnsi="Arial"/>
                <w:sz w:val="18"/>
                <w:szCs w:val="18"/>
                <w:b w:val="1"/>
                <w:bCs w:val="1"/>
                <w:color w:val="auto"/>
                <w:w w:val="94"/>
              </w:rPr>
              <w:t>January 1,</w:t>
            </w:r>
          </w:p>
        </w:tc>
        <w:tc>
          <w:tcPr>
            <w:tcW w:w="1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Retirements,</w:t>
            </w:r>
          </w:p>
        </w:tc>
        <w:tc>
          <w:tcPr>
            <w:tcW w:w="1340" w:type="dxa"/>
            <w:vAlign w:val="bottom"/>
            <w:gridSpan w:val="4"/>
          </w:tcPr>
          <w:p>
            <w:pPr>
              <w:ind w:left="8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January 1,</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41"/>
        </w:trPr>
        <w:tc>
          <w:tcPr>
            <w:tcW w:w="19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8"/>
              </w:rPr>
              <w:t>net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(227)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6,176</w:t>
            </w:r>
          </w:p>
        </w:tc>
        <w:tc>
          <w:tcPr>
            <w:tcW w:w="18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(302)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Acquired developed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4,911</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0"/>
              </w:rPr>
              <w:t>(191)</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Non-compete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1,202</w:t>
            </w:r>
          </w:p>
        </w:tc>
        <w:tc>
          <w:tcPr>
            <w:tcW w:w="1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ind w:right="81"/>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5"/>
              </w:rPr>
              <w:t>Capitalized website costs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0"/>
              </w:rPr>
              <w:t>(100)</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vMerge w:val="restart"/>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13,033</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14,952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(655</w:t>
            </w:r>
          </w:p>
        </w:tc>
        <w:tc>
          <w:tcPr>
            <w:tcW w:w="140" w:type="dxa"/>
            <w:vAlign w:val="bottom"/>
            <w:vMerge w:val="continue"/>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(880</w:t>
            </w:r>
          </w:p>
        </w:tc>
        <w:tc>
          <w:tcPr>
            <w:tcW w:w="220" w:type="dxa"/>
            <w:vAlign w:val="bottom"/>
            <w:vMerge w:val="continue"/>
          </w:tcPr>
          <w:p>
            <w:pPr>
              <w:spacing w:after="0"/>
              <w:rPr>
                <w:sz w:val="20"/>
                <w:szCs w:val="20"/>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1,694</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14,072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Amortization expense recorded in general and administrative in the consolidated statements of operations were $673 thousand and $58 thousand for the three months ended March 31, 2022 and 2021,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Estimated amortization expense for the remainder of 2022 and subsequent years for acquired intangible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 (In thousands),</w:t>
            </w: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2,737</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w:t>
            </w: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2027 and thereafter</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consisted of the following:</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Goodwill - beginning of period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acquired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Goodwill purchase accounting adjustment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Goodwill - end of period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50,090</w:t>
            </w:r>
          </w:p>
        </w:tc>
        <w:tc>
          <w:tcPr>
            <w:tcW w:w="22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632</w:t>
            </w:r>
          </w:p>
        </w:tc>
        <w:tc>
          <w:tcPr>
            <w:tcW w:w="20" w:type="dxa"/>
            <w:vAlign w:val="bottom"/>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4,368</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49,458</w:t>
            </w:r>
          </w:p>
        </w:tc>
      </w:tr>
      <w:tr>
        <w:trPr>
          <w:trHeight w:val="230"/>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54,544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50,090</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81"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Other Non-Current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non-current assets consisted of the following as of March 31, 2022 and December 31, 2021: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Deferred debt issuance costs, non-current,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Long-term deferred commissions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Security deposits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other non-current assets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1,817</w:t>
            </w:r>
          </w:p>
        </w:tc>
        <w:tc>
          <w:tcPr>
            <w:tcW w:w="220" w:type="dxa"/>
            <w:vAlign w:val="bottom"/>
          </w:tcPr>
          <w:p>
            <w:pPr>
              <w:spacing w:after="0"/>
              <w:rPr>
                <w:sz w:val="17"/>
                <w:szCs w:val="17"/>
                <w:color w:val="auto"/>
              </w:rPr>
            </w:pPr>
          </w:p>
        </w:tc>
        <w:tc>
          <w:tcPr>
            <w:tcW w:w="2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1,266</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1,101</w:t>
            </w:r>
          </w:p>
        </w:tc>
      </w:tr>
      <w:tr>
        <w:trPr>
          <w:trHeight w:val="230"/>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1,184</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960" w:space="720"/>
            <w:col w:w="2560"/>
          </w:cols>
          <w:pgMar w:left="320" w:top="877" w:right="339" w:bottom="1440" w:gutter="0" w:footer="0" w:header="0"/>
        </w:sectPr>
      </w:pPr>
    </w:p>
    <w:p>
      <w:pPr>
        <w:spacing w:after="0" w:line="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as of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acquisition liability (1)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Sales tax payable (2)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construction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Compensation related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warranty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consulting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inventory purchases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Accrued non-income taxes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7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Accrued acquisition liabilities includes both the contingent consideration and the value of held back Common Stock associated with the 2022 acquisition of Lab Society and the 2021 acquisitions of Precision, Cascade and PurePressure.</w:t>
      </w:r>
    </w:p>
    <w:p>
      <w:pPr>
        <w:spacing w:after="0" w:line="170"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Lab Society</w:t>
      </w:r>
    </w:p>
    <w:p>
      <w:pPr>
        <w:spacing w:after="0" w:line="22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On February 1, 2022, the Company entered into an Agreement and Plan of Merger (the “Merger Agreement”) with Lab Society, Lab Society NewCo, LLC,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17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aggregate consideration for the Lab Society Acquisition consisted of: (a) $4.0 million in cash, subject to certain adjustments for working capital, cash and indebtedness of Lab Society at closing; (b) 425,611 shares of Common Stock (the “Buyer Shares”); and (c) the Earn-out Consideration (as defined below), to the extent earned.</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withheld 127,682 of the Buyer Shares issuable to the Owners (the “Holdback Lab Buyer Shares”) for the purpose of securing any post-closing adjustment owed to the Company and any claim for indemnification or payment of damages to which the Company may be entitled under the Merger Agreement. The Holdback Lab Buyer Shares will be released following the twelve-month anniversary of the Closing Date in accordance with and subject to the conditions of the Merger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0" w:name="page31"/>
    <w:bookmarkEnd w:id="30"/>
    <w:p>
      <w:pPr>
        <w:ind w:firstLine="324"/>
        <w:spacing w:after="0" w:line="259" w:lineRule="auto"/>
        <w:rPr>
          <w:sz w:val="20"/>
          <w:szCs w:val="20"/>
          <w:color w:val="auto"/>
        </w:rPr>
      </w:pPr>
      <w:r>
        <w:rPr>
          <w:rFonts w:ascii="Arial" w:cs="Arial" w:eastAsia="Arial" w:hAnsi="Arial"/>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87" w:lineRule="exact"/>
        <w:rPr>
          <w:sz w:val="20"/>
          <w:szCs w:val="20"/>
          <w:color w:val="auto"/>
        </w:rPr>
      </w:pPr>
    </w:p>
    <w:p>
      <w:pPr>
        <w:jc w:val="both"/>
        <w:ind w:right="180" w:firstLine="324"/>
        <w:spacing w:after="0" w:line="342" w:lineRule="auto"/>
        <w:rPr>
          <w:sz w:val="20"/>
          <w:szCs w:val="20"/>
          <w:color w:val="auto"/>
        </w:rPr>
      </w:pPr>
      <w:r>
        <w:rPr>
          <w:rFonts w:ascii="Arial" w:cs="Arial" w:eastAsia="Arial" w:hAnsi="Arial"/>
          <w:sz w:val="16"/>
          <w:szCs w:val="16"/>
          <w:color w:val="auto"/>
        </w:rPr>
        <w:t>Transaction and related costs, consisting primarily of professional fees, directly related to the acquisition, totaled approximately $28 thousand for the three months ended March 31, 2022. All transaction and related costs were expensed as incurred and are included in general and administrative expenses.</w:t>
      </w:r>
    </w:p>
    <w:p>
      <w:pPr>
        <w:spacing w:after="0" w:line="124"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The Company has prepared purchase price allocations for the business combination with Lab Society on a preliminary basis. Changes to those allocations may occur as additional information becomes available during the respective measurement period (up to one year from the acquisition date). Fair values still under review as of March 31, 2022 include values assigned to identifiable intangible assets and goodwill.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Purchase price consideration: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closing proceeds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Transaction expenses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Closing buyer shares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Holdback buyer shares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Earn-out consideration</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w:t>
            </w:r>
          </w:p>
        </w:tc>
      </w:tr>
      <w:tr>
        <w:trPr>
          <w:trHeight w:val="236"/>
        </w:trPr>
        <w:tc>
          <w:tcPr>
            <w:tcW w:w="10020" w:type="dxa"/>
            <w:vAlign w:val="bottom"/>
            <w:gridSpan w:val="2"/>
          </w:tcPr>
          <w:p>
            <w:pPr>
              <w:spacing w:after="0"/>
              <w:rPr>
                <w:sz w:val="20"/>
                <w:szCs w:val="20"/>
                <w:color w:val="auto"/>
              </w:rPr>
            </w:pPr>
            <w:r>
              <w:rPr>
                <w:rFonts w:ascii="Arial" w:cs="Arial" w:eastAsia="Arial" w:hAnsi="Arial"/>
                <w:sz w:val="18"/>
                <w:szCs w:val="18"/>
                <w:color w:val="auto"/>
              </w:rPr>
              <w:t>Estimated working capital adjustment</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r>
      <w:tr>
        <w:trPr>
          <w:trHeight w:val="236"/>
        </w:trPr>
        <w:tc>
          <w:tcPr>
            <w:tcW w:w="100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Fair value of total consideration transferred</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Total purchase price, net of cash acquired</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7,401</w:t>
            </w:r>
          </w:p>
        </w:tc>
        <w:tc>
          <w:tcPr>
            <w:tcW w:w="100" w:type="dxa"/>
            <w:vAlign w:val="bottom"/>
            <w:tcBorders>
              <w:bottom w:val="single" w:sz="8" w:color="CCEEFF"/>
            </w:tcBorders>
          </w:tcPr>
          <w:p>
            <w:pPr>
              <w:spacing w:after="0"/>
              <w:rPr>
                <w:sz w:val="18"/>
                <w:szCs w:val="18"/>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Fair value allocation of purchase price:</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Prepaid expenses and other current receivables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refundable taxes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(1,224)</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Finance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Operating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purchase price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Asset</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Identified intangible assets: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Acquired developed technology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8 years</w:t>
            </w:r>
          </w:p>
        </w:tc>
      </w:tr>
      <w:tr>
        <w:trPr>
          <w:trHeight w:val="249"/>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Total identified intangible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amortizes its intangible assets assuming no residual value over periods in which the economic benefit of these assets is consumed.</w:t>
      </w:r>
    </w:p>
    <w:p>
      <w:pPr>
        <w:spacing w:after="0" w:line="2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amount of revenue of Lab Society included in the consolidated statement of operations from the acquisition date of February 1, 2022 to March 31, 2022 was $1.5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497"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Acquisition of Precision and Cascade</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On September 29, 2021 (the “Execution Date”), the Company entered into a Plan of Merger and Equity Purchase Agreement, as amended by an amendment dated as of October 1, 2021 (as amended, the “Purchase Agreement”), with Sinclair Scientific, LLC, a Delaware limited liability company (“Sinclair”), Mass2Media, LLC, d/b/a PX2 Holdings, LLC, d/b/a Precision Extraction Solutions, a Michigan limited liability company (“Precision”); and each of the equity holders of Sinclair named therein (collectively, the “Sinclair Members”). On October 1, 2021, the Company consummated the transactions contemplated by the Purchase Agreement.</w:t>
      </w:r>
    </w:p>
    <w:p>
      <w:pPr>
        <w:spacing w:after="0" w:line="18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Subject to the terms and conditions set forth in the Purchase Agreement, (1) Sinclair transferred, to the Company, and the Company purchased (the “Interest Purchase”) from Sinclair, 100% of the equity interests of Cascade Sciences, LLC, a Delaware limited liability company (“Cascade”), such that immediately after the consummation of such Interest Purchase, Cascade became a wholly-owned subsidiary of the Company, and (2) Precision merged (the “Merger”) with and into a newly-formed wholly-owned subsidiary of the Company, Precision Extraction NewCo, LLC.</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aggregate consideration for the Interest Purchase and the Merger consisted of: (a) the sum of $30 million in cash, plus consideration payable to holders of outstanding Sinclair equity awards, subject to certain adjustments for working capital, cash and indebtedness, payable in connection with the Interest Purchase; (b) the number of shares of Common Stock, subject to adjustment, equal to the quotient of (i) $20.0 million divided by (ii) the volume weighted-average price per share of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9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Sinclair Members may become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Sinclair Members, exceed $65.0 million. During the fourth quarter of 2021, the fair value of the contingent earn-out consideration totaled $5.4 million based on Sinclair Members achieving certain revenue targets.</w:t>
      </w:r>
    </w:p>
    <w:p>
      <w:pPr>
        <w:spacing w:after="0" w:line="16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totaled approximately $38 thousand for the three months ended March 31, 2022. All transaction and related costs were expensed as incurred and are included in selling, general and administrative expenses. The purchase price allocation for the business combination has been prepared on a preliminary basis and changes to those allocations may occur as additional information becomes available during the measurement period (up to one year from the acquisition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Purchase price consideration: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to Sinclair Members at close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Cash contributed to escrow accounts at close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excess net working capital</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Stock issued at close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14,535</w:t>
            </w:r>
          </w:p>
        </w:tc>
        <w:tc>
          <w:tcPr>
            <w:tcW w:w="80" w:type="dxa"/>
            <w:vAlign w:val="bottom"/>
          </w:tcPr>
          <w:p>
            <w:pPr>
              <w:spacing w:after="0"/>
              <w:rPr>
                <w:sz w:val="18"/>
                <w:szCs w:val="18"/>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contingent consideration to be achieved</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Fair value of total consideration transferred</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49,918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purchase price, net of cash acquired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allocation of purchase price: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6,761</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receivables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Capitalized web costs, net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(9,223)</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(5,419)</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(1,961)</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Operating lease liabilities, current</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(392)</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Acquired intangible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9,889</w:t>
            </w:r>
          </w:p>
        </w:tc>
        <w:tc>
          <w:tcPr>
            <w:tcW w:w="80" w:type="dxa"/>
            <w:vAlign w:val="bottom"/>
          </w:tcPr>
          <w:p>
            <w:pPr>
              <w:spacing w:after="0"/>
              <w:rPr>
                <w:sz w:val="18"/>
                <w:szCs w:val="18"/>
                <w:color w:val="auto"/>
              </w:rPr>
            </w:pPr>
          </w:p>
        </w:tc>
      </w:tr>
      <w:tr>
        <w:trPr>
          <w:trHeight w:val="250"/>
        </w:trPr>
        <w:tc>
          <w:tcPr>
            <w:tcW w:w="10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49,918</w:t>
            </w:r>
          </w:p>
        </w:tc>
        <w:tc>
          <w:tcPr>
            <w:tcW w:w="80" w:type="dxa"/>
            <w:vAlign w:val="bottom"/>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Identified intangible assets consist of trade names, technology, non-compete agreements, and customer relationships. The fair value of intangible assets and the determination of their respective useful lives were made in accordance with ASC 805 and are outlined in the table below:</w:t>
      </w:r>
    </w:p>
    <w:p>
      <w:pPr>
        <w:sectPr>
          <w:pgSz w:w="11900" w:h="16838" w:orient="portrait"/>
          <w:cols w:equalWidth="0" w:num="1">
            <w:col w:w="11240"/>
          </w:cols>
          <w:pgMar w:left="320" w:top="881" w:right="339"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4260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Identified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Trade names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Acquired developed technology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Non-compete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identified intangible assets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365"/>
        <w:spacing w:after="0"/>
        <w:rPr>
          <w:sz w:val="20"/>
          <w:szCs w:val="20"/>
          <w:color w:val="auto"/>
        </w:rPr>
      </w:pPr>
      <w:r>
        <w:rPr>
          <w:rFonts w:ascii="Arial" w:cs="Arial" w:eastAsia="Arial" w:hAnsi="Arial"/>
          <w:sz w:val="18"/>
          <w:szCs w:val="18"/>
          <w:b w:val="1"/>
          <w:bCs w:val="1"/>
          <w:color w:val="auto"/>
        </w:rPr>
        <w:t>Asset</w:t>
      </w:r>
    </w:p>
    <w:p>
      <w:pPr>
        <w:spacing w:after="0" w:line="27" w:lineRule="exact"/>
        <w:rPr>
          <w:sz w:val="20"/>
          <w:szCs w:val="20"/>
          <w:color w:val="auto"/>
        </w:rPr>
      </w:pPr>
    </w:p>
    <w:p>
      <w:pPr>
        <w:jc w:val="both"/>
        <w:ind w:left="345"/>
        <w:spacing w:after="0"/>
        <w:tabs>
          <w:tab w:leader="none" w:pos="1505"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6287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18" w:lineRule="exact"/>
        <w:rPr>
          <w:sz w:val="20"/>
          <w:szCs w:val="20"/>
          <w:color w:val="auto"/>
        </w:rPr>
      </w:pPr>
    </w:p>
    <w:p>
      <w:pPr>
        <w:ind w:left="725" w:hanging="725"/>
        <w:spacing w:after="0"/>
        <w:tabs>
          <w:tab w:leader="none" w:pos="7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1,260</w:t>
      </w:r>
      <w:r>
        <w:rPr>
          <w:rFonts w:ascii="Arial" w:cs="Arial" w:eastAsia="Arial" w:hAnsi="Arial"/>
          <w:sz w:val="16"/>
          <w:szCs w:val="16"/>
          <w:color w:val="auto"/>
        </w:rPr>
        <w:t>6 to 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-121920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5"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3,818</w:t>
            </w:r>
          </w:p>
        </w:tc>
        <w:tc>
          <w:tcPr>
            <w:tcW w:w="1240" w:type="dxa"/>
            <w:vAlign w:val="bottom"/>
          </w:tcPr>
          <w:p>
            <w:pPr>
              <w:jc w:val="center"/>
              <w:ind w:left="310"/>
              <w:spacing w:after="0"/>
              <w:rPr>
                <w:sz w:val="20"/>
                <w:szCs w:val="20"/>
                <w:color w:val="auto"/>
              </w:rPr>
            </w:pPr>
            <w:r>
              <w:rPr>
                <w:rFonts w:ascii="Arial" w:cs="Arial" w:eastAsia="Arial" w:hAnsi="Arial"/>
                <w:sz w:val="18"/>
                <w:szCs w:val="18"/>
                <w:color w:val="auto"/>
                <w:w w:val="88"/>
              </w:rPr>
              <w:t>5 years</w:t>
            </w:r>
          </w:p>
        </w:tc>
      </w:tr>
      <w:tr>
        <w:trPr>
          <w:trHeight w:val="216"/>
        </w:trPr>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1,202</w:t>
            </w:r>
          </w:p>
        </w:tc>
        <w:tc>
          <w:tcPr>
            <w:tcW w:w="1240" w:type="dxa"/>
            <w:vAlign w:val="bottom"/>
          </w:tcPr>
          <w:p>
            <w:pPr>
              <w:jc w:val="center"/>
              <w:ind w:left="310"/>
              <w:spacing w:after="0"/>
              <w:rPr>
                <w:sz w:val="20"/>
                <w:szCs w:val="20"/>
                <w:color w:val="auto"/>
              </w:rPr>
            </w:pPr>
            <w:r>
              <w:rPr>
                <w:rFonts w:ascii="Arial" w:cs="Arial" w:eastAsia="Arial" w:hAnsi="Arial"/>
                <w:sz w:val="18"/>
                <w:szCs w:val="18"/>
                <w:color w:val="auto"/>
                <w:w w:val="88"/>
              </w:rPr>
              <w:t>5 years</w:t>
            </w:r>
          </w:p>
        </w:tc>
      </w:tr>
      <w:tr>
        <w:trPr>
          <w:trHeight w:val="251"/>
        </w:trPr>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240" w:type="dxa"/>
            <w:vAlign w:val="bottom"/>
          </w:tcPr>
          <w:p>
            <w:pPr>
              <w:jc w:val="center"/>
              <w:ind w:left="310"/>
              <w:spacing w:after="0"/>
              <w:rPr>
                <w:sz w:val="20"/>
                <w:szCs w:val="20"/>
                <w:color w:val="auto"/>
              </w:rPr>
            </w:pPr>
            <w:r>
              <w:rPr>
                <w:rFonts w:ascii="Arial" w:cs="Arial" w:eastAsia="Arial" w:hAnsi="Arial"/>
                <w:sz w:val="18"/>
                <w:szCs w:val="18"/>
                <w:color w:val="auto"/>
                <w:w w:val="89"/>
              </w:rPr>
              <w:t>7 to 8 years</w:t>
            </w:r>
          </w:p>
        </w:tc>
      </w:tr>
      <w:tr>
        <w:trPr>
          <w:trHeight w:val="250"/>
        </w:trPr>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1240" w:type="dxa"/>
            <w:vAlign w:val="bottom"/>
          </w:tcPr>
          <w:p>
            <w:pPr>
              <w:spacing w:after="0"/>
              <w:rPr>
                <w:sz w:val="21"/>
                <w:szCs w:val="21"/>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-496570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-205105</wp:posOffset>
            </wp:positionV>
            <wp:extent cx="713232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881"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33" w:name="page34"/>
    <w:bookmarkEnd w:id="33"/>
    <w:p>
      <w:pPr>
        <w:ind w:right="80" w:firstLine="324"/>
        <w:spacing w:after="0" w:line="259" w:lineRule="auto"/>
        <w:rPr>
          <w:sz w:val="20"/>
          <w:szCs w:val="20"/>
          <w:color w:val="auto"/>
        </w:rPr>
      </w:pPr>
      <w:r>
        <w:rPr>
          <w:rFonts w:ascii="Arial" w:cs="Arial" w:eastAsia="Arial" w:hAnsi="Arial"/>
          <w:sz w:val="18"/>
          <w:szCs w:val="18"/>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amortizes its intangible assets assuming no residual value over periods in which the economic benefit of these assets is consumed.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PurePressure</w:t>
      </w:r>
    </w:p>
    <w:p>
      <w:pPr>
        <w:spacing w:after="0" w:line="229"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17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aggregate consideration for the Acquisition consisted of: (a) $4.0 million in cash, subject to certain adjustments for working capital, cash and indebtedness of PurePressure at closing; (b) 329,179 shares of Common Stock (the “Buyer Shares”); and (c) the Earn-out Consideration (as defined below), to the extent earned.</w:t>
      </w:r>
    </w:p>
    <w:p>
      <w:pPr>
        <w:spacing w:after="0" w:line="18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withheld 88,878 of the Buyer Shares issuable to certain Members (the “Holdback Buyer Shares”) for the purpose of securing any post-closing adjustment owed to the Company and any claim for indemnification or payment of damages to which the Company may be entitled under the Pure Purchase Agreement. The Holdback Buyer Shares will be released following the twelve-month anniversary of the Closing Date in accordance with and subject to the conditions of the Pure Purchase Agreement.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Common Stock (collectively, the “Earn-out Consideration”).</w:t>
      </w:r>
    </w:p>
    <w:p>
      <w:pPr>
        <w:spacing w:after="0" w:line="187"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Transaction and related costs, consisting primarily of professional fees, directly related to the acquisition, totaled approximately $562 thousand for the three months ended March 31, 2022. All transaction and related costs were expensed as incurred and are included in general and administrative expenses.</w:t>
      </w:r>
    </w:p>
    <w:p>
      <w:pPr>
        <w:spacing w:after="0" w:line="124"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values still under review as of March 31, 2022 include values assigned to identifiable intangible assets and goodwill.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Purchase price consideration:</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closing proceeds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Indebtedness paid</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expenses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Closing buyer shares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Holdback buyer shares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Earn-out consideration</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r>
      <w:tr>
        <w:trPr>
          <w:trHeight w:val="24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working capital adjustments</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r>
      <w:tr>
        <w:trPr>
          <w:trHeight w:val="210"/>
        </w:trPr>
        <w:tc>
          <w:tcPr>
            <w:tcW w:w="1002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Fair value of total consideration transferred</w:t>
            </w: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7,950</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purchase price, net of cash acquired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7,647</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allocation of purchase price: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Right of use assets, net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receivables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Operating lease liabilities,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Finance lease liabilities,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Notes payable,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purchase price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Asset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16"/>
        </w:trPr>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Identified intangible assets:</w:t>
            </w:r>
          </w:p>
        </w:tc>
        <w:tc>
          <w:tcPr>
            <w:tcW w:w="4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5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Acquired developed technology</w:t>
            </w: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1,093</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identified intangible assets</w:t>
            </w:r>
          </w:p>
        </w:tc>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5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3,037</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740" w:type="dxa"/>
            <w:vAlign w:val="bottom"/>
            <w:vMerge w:val="restart"/>
          </w:tcPr>
          <w:p>
            <w:pPr>
              <w:jc w:val="right"/>
              <w:ind w:right="295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35" w:name="page36"/>
    <w:bookmarkEnd w:id="35"/>
    <w:p>
      <w:pPr>
        <w:ind w:right="200" w:firstLine="324"/>
        <w:spacing w:after="0" w:line="296" w:lineRule="auto"/>
        <w:rPr>
          <w:sz w:val="20"/>
          <w:szCs w:val="20"/>
          <w:color w:val="auto"/>
        </w:rPr>
      </w:pPr>
      <w:r>
        <w:rPr>
          <w:rFonts w:ascii="Arial" w:cs="Arial" w:eastAsia="Arial" w:hAnsi="Arial"/>
          <w:sz w:val="16"/>
          <w:szCs w:val="16"/>
          <w:color w:val="auto"/>
        </w:rPr>
        <w:t>Subject to certain customary limitations, (i)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(ii)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15 – Debt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Company’s debt consisted of:</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 payable – SPA Note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PPP Loan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notes payable (1)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debt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67,281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discount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debt, net of debt discount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54,124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current unamortized debt discount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51,154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Other notes payable relates to one-year insurance premium that was financed over nine-months.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On March 14, 2022, the Company entered into a Securities Purchase Agreement (the “Securities Purchase Agreement”) with an accredited investor (the “Investor”), pursuant to which the Company agreed to issue and sell to the Investor, in a private placement transaction, in exchange for the payment by the Investor of $65 million, less applicable expenses, as set forth in the Securities Purchase Agreement, (i) a SPA Note in an aggregate principal amount of $65 million, and (ii) a warrant (the “SPA Warrant”) to purchase up to an aggregate of 6,881,108 shares of Common Stock.</w:t>
      </w:r>
    </w:p>
    <w:p>
      <w:pPr>
        <w:spacing w:after="0" w:line="15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SPA Note is a senior secured obligation of the Company and ranks senior to all indebtedness of the Company. The Company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 stated interest rate of 6.75% per year, and the Company is required to pay interest on March 1, June 1, September 1, and December 1 of each calendar year through the Maturity Date. Following the one-year anniversary of the SPA Note’s issuance, the Company may, in lieu of paying interest in cash, pay such interest in kind, in which case interest on the SPA Note will be calculated at the rate of 8.75% per year and will be added to the principal amount of the SPA Note.</w:t>
      </w:r>
    </w:p>
    <w:p>
      <w:pPr>
        <w:spacing w:after="0" w:line="17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At any time following the one-year anniversary of the SPA Note’s issuance, the Company may prepay all (but not less than all) of the SPA Note by redemption at a price equal to 106.75% of the then-outstanding principal amount under the SPA Note, plus accrued but unpaid interest. The Investor will also have the option of requiring the Company to redeem the SPA Note if the Company undergoes a fundamental change at a price equal to 107% of the then-outstanding principal amount under the SPA Note, plus any accrued interest.</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for up to 65% of such principal amount divided by the closing price of Common Stock on the trading day immediately prior to such subsequent closing.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ind w:firstLine="324"/>
        <w:spacing w:after="0" w:line="291" w:lineRule="auto"/>
        <w:rPr>
          <w:sz w:val="20"/>
          <w:szCs w:val="20"/>
          <w:color w:val="auto"/>
        </w:rPr>
      </w:pPr>
      <w:r>
        <w:rPr>
          <w:rFonts w:ascii="Arial" w:cs="Arial" w:eastAsia="Arial" w:hAnsi="Arial"/>
          <w:sz w:val="16"/>
          <w:szCs w:val="16"/>
          <w:color w:val="auto"/>
        </w:rPr>
        <w:t>The SPA Note imposes certain customary affirmative and negative covenants upon the Company, as well as covenants that (i) restrict the Company and its subsidiaries from incurring any additional indebtedness or suffering any liens, subject to specified exceptions, (ii) restrict the ability of the Company and its subsidiaries from making certain investments, subject to specified exceptions, (iii) restrict the declaration of any dividends or other distributions, subject to specified exceptions, (iv) require the Company to maintain specified earnings and adjusted EBITDA targets, and (v) require the Company to maintain minimum amounts of cash on hand. If an event of default under the SPA Note occurs, the Investor can elect to redeem the SPA Note for cash equal to 115% of the then-outstanding principal amount of the SPA Note (or such lesser principal amount accelerated by the Investor), plus accrued and unpaid interest, including default interest, which accrues at a rate per year equal to 15% from the date of a default or event of default.</w:t>
      </w:r>
    </w:p>
    <w:p>
      <w:pPr>
        <w:spacing w:after="0" w:line="16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Until the date the SPA Note is fully repaid, the Investor has, subject to certain exceptions, the right to participate for up to 30% of any debt, Preferred Stock or equity-linked financing of the Company or its subsidiaries.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Each SPA Warrant issued in the initial closing has an exercise price of $6.75 per share, subject to adjustment for stock splits, reverse stock splits, stock dividends and similar transactions, is immediately exercisable, has a term of five and one-half years from the date of issuance and is exercisable on a cash basis, unless there is not an effective registration statement covering the resale of the shares issuable upon exercise of the SPA Warrant (the “SPA Warrant Shares”), in which case the SPA Warrant is also exercisable on a cashless exercise basis at the Investor’s election. The Securities Purchase Agreement requires the Company to file resale registration statements with respect to the SPA Warrant Shares as soon as practicable and in any event within 45 days following the initial closing and any subsequent closings.</w:t>
      </w:r>
    </w:p>
    <w:p>
      <w:pPr>
        <w:spacing w:after="0" w:line="178" w:lineRule="exact"/>
        <w:rPr>
          <w:sz w:val="20"/>
          <w:szCs w:val="20"/>
          <w:color w:val="auto"/>
        </w:rPr>
      </w:pPr>
    </w:p>
    <w:p>
      <w:pPr>
        <w:ind w:right="460" w:firstLine="324"/>
        <w:spacing w:after="0" w:line="279" w:lineRule="auto"/>
        <w:rPr>
          <w:sz w:val="20"/>
          <w:szCs w:val="20"/>
          <w:color w:val="auto"/>
        </w:rPr>
      </w:pPr>
      <w:r>
        <w:rPr>
          <w:rFonts w:ascii="Arial" w:cs="Arial" w:eastAsia="Arial" w:hAnsi="Arial"/>
          <w:sz w:val="17"/>
          <w:szCs w:val="17"/>
          <w:color w:val="auto"/>
        </w:rPr>
        <w:t>The SPA Warrant provides that in no event will the number of shares of Common Stock issued upon exercise of the SPA Warrant result in the Investor’s beneficial ownership exceeding 4.99% of the Company’s shares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Securities Purchase Agreement also contains customary representations and warranties of the Company and the Investor. There is no material relationship between the Company or its affiliates and the Investor other than in respect of the Securities Purchase Agreement, the SPA Note and the SPA Warrant.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breakdown of the note payable balances as of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Balance at</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January 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0"/>
              </w:rPr>
              <w:t>of Debt</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3"/>
              </w:rPr>
              <w:t>Additions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Payments</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Discount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Direct issuance costs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22"/>
                <w:szCs w:val="22"/>
                <w:color w:val="auto"/>
              </w:rPr>
            </w:pPr>
          </w:p>
        </w:tc>
        <w:tc>
          <w:tcPr>
            <w:tcW w:w="200" w:type="dxa"/>
            <w:vAlign w:val="bottom"/>
            <w:tcBorders>
              <w:left w:val="single" w:sz="8" w:color="CCEEFF"/>
            </w:tcBorders>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jc w:val="right"/>
              <w:spacing w:after="0" w:line="256" w:lineRule="exact"/>
              <w:rPr>
                <w:sz w:val="20"/>
                <w:szCs w:val="20"/>
                <w:color w:val="auto"/>
              </w:rPr>
            </w:pPr>
            <w:r>
              <w:rPr>
                <w:rFonts w:ascii="Arial" w:cs="Arial" w:eastAsia="Arial" w:hAnsi="Arial"/>
                <w:sz w:val="16"/>
                <w:szCs w:val="16"/>
                <w:color w:val="auto"/>
              </w:rPr>
              <w:t>(98</w:t>
            </w:r>
            <w:r>
              <w:rPr>
                <w:rFonts w:ascii="Arial" w:cs="Arial" w:eastAsia="Arial" w:hAnsi="Arial"/>
                <w:sz w:val="29"/>
                <w:szCs w:val="29"/>
                <w:color w:val="auto"/>
                <w:vertAlign w:val="superscript"/>
              </w:rPr>
              <w:t>)</w:t>
            </w:r>
          </w:p>
        </w:tc>
        <w:tc>
          <w:tcPr>
            <w:tcW w:w="120" w:type="dxa"/>
            <w:vAlign w:val="bottom"/>
            <w:shd w:val="clear" w:color="auto" w:fill="CCEEFF"/>
          </w:tcPr>
          <w:p>
            <w:pPr>
              <w:spacing w:after="0"/>
              <w:rPr>
                <w:sz w:val="22"/>
                <w:szCs w:val="22"/>
                <w:color w:val="auto"/>
              </w:rPr>
            </w:pPr>
          </w:p>
        </w:tc>
        <w:tc>
          <w:tcPr>
            <w:tcW w:w="200" w:type="dxa"/>
            <w:vAlign w:val="bottom"/>
            <w:tcBorders>
              <w:left w:val="single" w:sz="8" w:color="CCEEFF"/>
            </w:tcBorders>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(98</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Notes payable, discount</w:t>
            </w:r>
          </w:p>
        </w:tc>
        <w:tc>
          <w:tcPr>
            <w:tcW w:w="120" w:type="dxa"/>
            <w:vAlign w:val="bottom"/>
          </w:tcPr>
          <w:p>
            <w:pPr>
              <w:spacing w:after="0"/>
              <w:rPr>
                <w:sz w:val="19"/>
                <w:szCs w:val="19"/>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(13,157)</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Net carrying amount</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51,742</w:t>
            </w:r>
          </w:p>
        </w:tc>
        <w:tc>
          <w:tcPr>
            <w:tcW w:w="12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11"/>
          </w:tcPr>
          <w:p>
            <w:pPr>
              <w:ind w:left="340"/>
              <w:spacing w:after="0"/>
              <w:rPr>
                <w:sz w:val="20"/>
                <w:szCs w:val="20"/>
                <w:color w:val="auto"/>
              </w:rPr>
            </w:pPr>
            <w:r>
              <w:rPr>
                <w:rFonts w:ascii="Arial" w:cs="Arial" w:eastAsia="Arial" w:hAnsi="Arial"/>
                <w:sz w:val="18"/>
                <w:szCs w:val="18"/>
                <w:color w:val="auto"/>
              </w:rPr>
              <w:t>The following table summarizes short-term and long-term portion of the SPA Note as of March 31, 2022: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Notes</w:t>
            </w: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Short-Term</w:t>
            </w:r>
          </w:p>
        </w:tc>
        <w:tc>
          <w:tcPr>
            <w:tcW w:w="100" w:type="dxa"/>
            <w:vAlign w:val="bottom"/>
          </w:tcPr>
          <w:p>
            <w:pPr>
              <w:spacing w:after="0"/>
              <w:rPr>
                <w:sz w:val="20"/>
                <w:szCs w:val="20"/>
                <w:color w:val="auto"/>
              </w:rPr>
            </w:pPr>
          </w:p>
        </w:tc>
        <w:tc>
          <w:tcPr>
            <w:tcW w:w="12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3"/>
              </w:rPr>
              <w:t>Long-Term</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payable, net</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issuance costs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Unamortized discount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(13,157)</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Net carrying amount</w:t>
            </w: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51,843</w:t>
            </w:r>
          </w:p>
        </w:tc>
        <w:tc>
          <w:tcPr>
            <w:tcW w:w="0" w:type="dxa"/>
            <w:vAlign w:val="bottom"/>
          </w:tcPr>
          <w:p>
            <w:pPr>
              <w:spacing w:after="0"/>
              <w:rPr>
                <w:sz w:val="1"/>
                <w:szCs w:val="1"/>
                <w:color w:val="auto"/>
              </w:rPr>
            </w:pPr>
          </w:p>
        </w:tc>
      </w:tr>
      <w:tr>
        <w:trPr>
          <w:trHeight w:val="21"/>
        </w:trPr>
        <w:tc>
          <w:tcPr>
            <w:tcW w:w="6000" w:type="dxa"/>
            <w:vAlign w:val="bottom"/>
            <w:tcBorders>
              <w:top w:val="single" w:sz="8" w:color="CCEEFF"/>
              <w:bottom w:val="single" w:sz="8" w:color="CCEEFF"/>
            </w:tcBorders>
            <w:gridSpan w:val="5"/>
            <w:vMerge w:val="restart"/>
          </w:tcPr>
          <w:p>
            <w:pPr>
              <w:ind w:left="340"/>
              <w:spacing w:after="0"/>
              <w:rPr>
                <w:sz w:val="20"/>
                <w:szCs w:val="20"/>
                <w:color w:val="auto"/>
              </w:rPr>
            </w:pPr>
            <w:r>
              <w:rPr>
                <w:rFonts w:ascii="Arial" w:cs="Arial" w:eastAsia="Arial" w:hAnsi="Arial"/>
                <w:sz w:val="18"/>
                <w:szCs w:val="18"/>
                <w:color w:val="auto"/>
              </w:rPr>
              <w:t>As of March 31, 2022, future minimum payments were as follows:</w:t>
            </w: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0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Years ending December 31 (In thousands),</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31,200</w:t>
            </w: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future payments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35</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987"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Paycheck Protection Program Loan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Loans under the Coronavirus Aid, Relief, and Economic Security Act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May 2020, the Company entered into a PPP Loan with Bank of America pursuant to the PPP under the CARES Act administered by the SBA.</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received total proceeds of approximately $779 thousand from the unsecured PPP Loan, which is scheduled to mature on May 7, 2022. Subject to certain conditions, the PPP Loan may be forgiven in whole or in part by applying for forgiveness pursuant to the CARES Act and the PPP. The Company’s submission to have the remaining $779 thousand PPP Loan forgiven is currently being reviewed by the SBA. If the remaining principal amount from the $779 thousand PPP Loan is not forgiven in full, the Company would be obligated to repay any principal amount not forgiven and interest accrued thereon. As of March 31, 2022 and December 31, 2021, all of our PPP Loan balances were reported as current portion of long-term debt in the accompanying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PurePressure SBA Debt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part of the acquisition of PurePressure, $159 thousand of debt remained outstanding from a standard SBA loan as of December 31, 2021. This debt has subsequently been paid as a part of the PurePressure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Convertible Promissory Notes</w:t>
      </w:r>
    </w:p>
    <w:p>
      <w:pPr>
        <w:spacing w:after="0" w:line="229"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On January 11, 2021, the Company’s Board of Directors and shareholders approved the amendment to the conversion formula of the Convertible Promissory Notes (the “Convertible Notes”) issued by the Company on dates between August 2020 and November 2020. Pursuant to the amendment, immediately prior to the consummation of a public transaction, the outstanding principal amount of the Convertible Notes, together with all accrued and unpaid interest, shall convert into a number of fully paid and non-assessable shares of Common Stock, at a conversion price of $7.72.</w:t>
      </w:r>
    </w:p>
    <w:p>
      <w:pPr>
        <w:spacing w:after="0" w:line="15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Accordingly, the Company recognized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w:t>
      </w:r>
    </w:p>
    <w:p>
      <w:pPr>
        <w:spacing w:after="0" w:line="187"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On February 1, 2021, in conjunction with the closing of the Company’s IPO, the Convertible Notes in the aggregate principal amount of $13.1 million were converted into 1,697,075 shares of Common Stock at the election of the Company at a conversion price of $7.72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Capital Structure</w:t>
      </w:r>
    </w:p>
    <w:p>
      <w:pPr>
        <w:spacing w:after="0" w:line="22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On January 9, 2020, the Company increased its authorized number of shares of Common Stock to 53,000,000, consisting of: 50,000,000 shares of Common Stock, and 3,000,000 shares of Preferred Stock. At that time, it also designated 100,000 shares of the 3,000,000 authorized shares of Preferred Stock, as Series A Convertible Preferred Stock (“Series A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Beginning in the first quarter of 2020, the Company issued an aggregate of 60,000 shares of Series A Preferred Stock, for an aggregate purchase price of $6.0 million. In May 2020, the Company completed an offering of Series A Preferred Stock with the issuance of an additional 40,000 shares of Series A Preferred Stock for an aggregate purchase price of $4.0 million.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Amendment of Conversion Formulas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After the amendment:</w:t>
      </w:r>
    </w:p>
    <w:p>
      <w:pPr>
        <w:spacing w:after="0" w:line="211" w:lineRule="exact"/>
        <w:rPr>
          <w:sz w:val="20"/>
          <w:szCs w:val="20"/>
          <w:color w:val="auto"/>
        </w:rPr>
      </w:pPr>
    </w:p>
    <w:p>
      <w:pPr>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 and</w:t>
      </w:r>
    </w:p>
    <w:p>
      <w:pPr>
        <w:spacing w:after="0" w:line="186" w:lineRule="exact"/>
        <w:rPr>
          <w:rFonts w:ascii="Arial" w:cs="Arial" w:eastAsia="Arial" w:hAnsi="Arial"/>
          <w:sz w:val="18"/>
          <w:szCs w:val="18"/>
          <w:color w:val="auto"/>
        </w:rPr>
      </w:pPr>
    </w:p>
    <w:p>
      <w:pPr>
        <w:ind w:left="660" w:right="18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immediately prior to the consummation of a public transaction, the outstanding principal amount of the Convertible Notes together with all accrued and unpaid interest shall convert into a number of fully paid and non-assessable shares of Common Stock equal to the quotient of (i) the outstanding principal amount of the Convertible Notes together with all accrued and unpaid interest thereunder immediately prior to such public transaction divided by (ii) a conversion price of $7.72 (after the reverse split taking effect).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On February 1, 2021, the Company completed an IPO for the sale of 5,400,000 shares of Common Stock at a price of $10.00 per share. The Company also granted the underwriters: (a) a 45-day option to purchase up to 810,000 additional shares of Common Stock on the same terms and conditions for the purpose of covering any over-allotments in connection with the IPO, and (b) warrants to purchase 162,000 shares of Common Stock (equal to 3% of the aggregate number of shares of Common Stock issued in the IPO) at an exercise price of $12.50 per share (which is equal to 125% of the IPO price). Subsequently, the underwriters exercised the over-allotment option, and on February 4, 2021, the Company closed on the sale of an additional 810,000 shares of Common Stock for a price of $10.00 per share and granted to the underwriters warrants to purchase 24,300 additional shares of Common Stock (equal to 3% of the amount of shares issued as part of the exercised of the over-allotment option) at an exercise price of $12.50 per share. The exercise of the over-allotment option brought the total number of shares of Common Stock sold by the Company in connection with the IPO to 6,210,000 shares and the total net proceeds received in connection with the IPO to approximately $57.0 million, after deducting underwriting discounts and estimated offering expenses.</w:t>
      </w:r>
    </w:p>
    <w:p>
      <w:pPr>
        <w:spacing w:after="0" w:line="18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Immediately prior to the closing of the Company’s IPO, all outstanding shares of Series A Preferred Stock and Convertible Notes were converted into 1,373,038 shares of Common Stock and 1,697,075 shares of Common Stock, respectively, at a conversion price of $7.72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Public Offering</w:t>
      </w:r>
    </w:p>
    <w:p>
      <w:pPr>
        <w:spacing w:after="0" w:line="22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On February 19, 2021, the Company consummated a secondary public offering (the “February Offering”) for the sale of 5,555,555 shares of Common Stock for a price of $13.50 per share. The Company also granted the underwriters: (a) a 45-day option to purchase up to 833,333 additional shares of Common Stock on the same terms and conditions for the purpose of covering any over-allotments in connection with the February Offering, and (b) warrants to purchase 166,667 shares of Common Stock (equal to 3% of the aggregate number of shares of Common Stock issued in the February Offering) at an exercise price of $16.875 per share (which is equal to 125% of the February Offering). Subsequently, the underwriters exercised the over-allotment option, and on March 22, 2021, the Company closed on the sale of an additional 833,333 shares of Common Stock for a price of $13.50 per share and granted to the underwriters warrants to purchase 25,000 additional shares of Common Stock (equal to 3% of the amount of shares issued as part of the exercised of the over-allotment option) at an exercise price of $16.875 per share. The exercise of the over-allotment option brought the total number of shares of Common Stock sold by the Company in connection with the February Offering to 6,388,888 shares and the total net proceeds received in connection with the February Offering to approximately $80.0 million, after deducting underwriting discounts and estimated offering expenses.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On January 25, 2022, the Company entered into a Securities Purchase Agreement (the “Securities Agreement”) with an institutional investor and other accredited investors for the sale by the Company of (i) 2,450,350 shares (the “SA Shares”) of Common Stock, (ii) pre-funded warrants (the “Pre-Funded Warrants”) to purchase up to an aggregate of 1,570,644 shares of Common Stock and (iii) warrants to purchase up to an aggregate of 3,015,745 shares of Common Stock (the “Common Warrants” and, collectively with the Pre-Funded Warrants, the “SA Warrants”), in a private placement offering. The combined purchase price for one share of Common Stock (or one Pre-Funded Warrant) and accompanying fraction of a Common Warrant was $6.80.</w:t>
      </w:r>
    </w:p>
    <w:p>
      <w:pPr>
        <w:spacing w:after="0" w:line="16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Subject to certain ownership limitations, the SA Warrants are exercisable six months from issuance. Each Pre-Funded Warrant was exercisable into one share of Common Stock at a price per share of $0.001 (as adjusted from time to time in accordance with the terms thereof). Each Common Warrant is exercisable into one share of Common Stock at a price per share of $7.48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8"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Raymond Chang, Chairman and Chief Executive Officer of the Company, and Stuart Wilcox, a member of the Company’s Board of Directors, participated in the private placement on essentially the same terms as other investors, except for having a combined purchase price of $6.90 per share.</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 in Connection with Acquisitions</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October 1, 2021, the Company issued an aggregate of 666,403 shares of its Common Stock to the Precision and Cascade shareholders in connection with the Company’s acquisition of Precision and Cascade. Refer to Note 14 – Business Combinations, included elsewhere in the notes to the consolidated financial statements.</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December 31, 2021, the Company issued an aggregate of 240,301 shares of its Common Stock to the PurePressure shareholders in connection with the Company’s acquisition of PurePressure. Refer to Note 14 – Business Combinations, included elsewhere in the notes to the consolidated financial statements.</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February 1, 2022, the Company issued an aggregate of 297,929 shares of its Common Stock to the Lab Society shareholders in connection with the Company’s acquisition of Lab Society. Refer to Note 14 – Business Combinations, included elsewhere in the notes to the consolidated financial statements.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2020 Omnibus Equity Incentive Plan</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December 18, 2020, the Company’s Board of Directors, and on January 11, 2021, the Company’s stockholders, adopted and approved the 2020 Omnibus Equity Incentive Plan (the “2020 Plan”), which replaced the 2019 Stock Option Plan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Plan is 4,533,732 shares. Shares will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anniversary of the date on which it is adopted by the Board of Directors.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Company’s stock option compensation expense was $953 thousand and $2.1 million for the three months ended March 31, 2022 and 2021, respectively, and there was $3.4 million of total unrecognized compensation cost related to unvested options granted under the Company’s options plans as of March 31, 2022. This stock option expense will be recognized through 2025.</w:t>
      </w:r>
    </w:p>
    <w:p>
      <w:pPr>
        <w:spacing w:after="0" w:line="184"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three months ended March 31, 2022.</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assumptions used in the valuation of options granted during the year ended December 31, 2021: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180" w:type="dxa"/>
            <w:vAlign w:val="bottom"/>
            <w:shd w:val="clear" w:color="auto" w:fill="CCEEFF"/>
          </w:tcPr>
          <w:p>
            <w:pPr>
              <w:jc w:val="center"/>
              <w:ind w:left="3870"/>
              <w:spacing w:after="0"/>
              <w:rPr>
                <w:sz w:val="20"/>
                <w:szCs w:val="20"/>
                <w:color w:val="auto"/>
              </w:rPr>
            </w:pPr>
            <w:r>
              <w:rPr>
                <w:rFonts w:ascii="Arial" w:cs="Arial" w:eastAsia="Arial" w:hAnsi="Arial"/>
                <w:sz w:val="18"/>
                <w:szCs w:val="18"/>
                <w:color w:val="auto"/>
                <w:w w:val="94"/>
              </w:rPr>
              <w:t>40%</w:t>
            </w:r>
          </w:p>
        </w:tc>
      </w:tr>
      <w:tr>
        <w:trPr>
          <w:trHeight w:val="202"/>
        </w:trPr>
        <w:tc>
          <w:tcPr>
            <w:tcW w:w="6060" w:type="dxa"/>
            <w:vAlign w:val="bottom"/>
          </w:tcPr>
          <w:p>
            <w:pPr>
              <w:spacing w:after="0"/>
              <w:rPr>
                <w:sz w:val="17"/>
                <w:szCs w:val="17"/>
                <w:color w:val="auto"/>
              </w:rPr>
            </w:pPr>
          </w:p>
        </w:tc>
        <w:tc>
          <w:tcPr>
            <w:tcW w:w="5180" w:type="dxa"/>
            <w:vAlign w:val="bottom"/>
          </w:tcPr>
          <w:p>
            <w:pPr>
              <w:jc w:val="center"/>
              <w:ind w:left="3890"/>
              <w:spacing w:after="0" w:line="201" w:lineRule="exact"/>
              <w:rPr>
                <w:sz w:val="20"/>
                <w:szCs w:val="20"/>
                <w:color w:val="auto"/>
              </w:rPr>
            </w:pPr>
            <w:r>
              <w:rPr>
                <w:rFonts w:ascii="Arial" w:cs="Arial" w:eastAsia="Arial" w:hAnsi="Arial"/>
                <w:sz w:val="18"/>
                <w:szCs w:val="18"/>
                <w:color w:val="auto"/>
                <w:w w:val="90"/>
              </w:rPr>
              <w:t>1.10% –</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tcPr>
          <w:p>
            <w:pPr>
              <w:jc w:val="right"/>
              <w:ind w:right="270"/>
              <w:spacing w:after="0"/>
              <w:rPr>
                <w:sz w:val="20"/>
                <w:szCs w:val="20"/>
                <w:color w:val="auto"/>
              </w:rPr>
            </w:pPr>
            <w:r>
              <w:rPr>
                <w:rFonts w:ascii="Arial" w:cs="Arial" w:eastAsia="Arial" w:hAnsi="Arial"/>
                <w:sz w:val="18"/>
                <w:szCs w:val="18"/>
                <w:color w:val="auto"/>
              </w:rPr>
              <w:t>1.63%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180" w:type="dxa"/>
            <w:vAlign w:val="bottom"/>
            <w:shd w:val="clear" w:color="auto" w:fill="CCEEFF"/>
          </w:tcPr>
          <w:p>
            <w:pPr>
              <w:jc w:val="center"/>
              <w:ind w:left="3870"/>
              <w:spacing w:after="0"/>
              <w:rPr>
                <w:sz w:val="20"/>
                <w:szCs w:val="20"/>
                <w:color w:val="auto"/>
              </w:rPr>
            </w:pPr>
            <w:r>
              <w:rPr>
                <w:rFonts w:ascii="Arial" w:cs="Arial" w:eastAsia="Arial" w:hAnsi="Arial"/>
                <w:sz w:val="18"/>
                <w:szCs w:val="18"/>
                <w:color w:val="auto"/>
                <w:w w:val="90"/>
              </w:rPr>
              <w:t>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0% Expected life (years)</w:t>
            </w:r>
          </w:p>
        </w:tc>
        <w:tc>
          <w:tcPr>
            <w:tcW w:w="5180" w:type="dxa"/>
            <w:vAlign w:val="bottom"/>
          </w:tcPr>
          <w:p>
            <w:pPr>
              <w:jc w:val="center"/>
              <w:ind w:left="3870"/>
              <w:spacing w:after="0"/>
              <w:rPr>
                <w:sz w:val="20"/>
                <w:szCs w:val="20"/>
                <w:color w:val="auto"/>
              </w:rPr>
            </w:pPr>
            <w:r>
              <w:rPr>
                <w:rFonts w:ascii="Arial" w:cs="Arial" w:eastAsia="Arial" w:hAnsi="Arial"/>
                <w:sz w:val="18"/>
                <w:szCs w:val="18"/>
                <w:color w:val="auto"/>
                <w:w w:val="89"/>
              </w:rPr>
              <w:t>10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5180" w:type="dxa"/>
            <w:vAlign w:val="bottom"/>
            <w:shd w:val="clear" w:color="auto" w:fill="CCEEFF"/>
          </w:tcPr>
          <w:p>
            <w:pPr>
              <w:jc w:val="center"/>
              <w:ind w:left="3870"/>
              <w:spacing w:after="0"/>
              <w:rPr>
                <w:sz w:val="20"/>
                <w:szCs w:val="20"/>
                <w:color w:val="auto"/>
              </w:rPr>
            </w:pPr>
            <w:r>
              <w:rPr>
                <w:rFonts w:ascii="Arial" w:cs="Arial" w:eastAsia="Arial" w:hAnsi="Arial"/>
                <w:sz w:val="18"/>
                <w:szCs w:val="18"/>
                <w:color w:val="auto"/>
                <w:w w:val="90"/>
              </w:rPr>
              <w:t>0.00%</w:t>
            </w:r>
          </w:p>
        </w:tc>
      </w:tr>
    </w:tbl>
    <w:p>
      <w:pPr>
        <w:spacing w:after="0" w:line="20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ind w:right="20" w:firstLine="324"/>
        <w:spacing w:after="0" w:line="254" w:lineRule="auto"/>
        <w:rPr>
          <w:sz w:val="20"/>
          <w:szCs w:val="20"/>
          <w:color w:val="auto"/>
        </w:rPr>
      </w:pPr>
      <w:r>
        <w:rPr>
          <w:rFonts w:ascii="Arial" w:cs="Arial" w:eastAsia="Arial" w:hAnsi="Arial"/>
          <w:sz w:val="18"/>
          <w:szCs w:val="18"/>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2022, there were 516,033 shares of Common Stock available to be granted under the Company’s 2020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option activity under the Company’s stock option plans for the three months ended March 31,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2021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3,133,109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1,200,934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(174,223)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(276,723)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(4,076)</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32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Options outstanding at March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3,879,021</w:t>
            </w:r>
          </w:p>
        </w:tc>
        <w:tc>
          <w:tcPr>
            <w:tcW w:w="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6.42</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Options outstanding at January 1, 2022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3,564,289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12,527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(151,641)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Expired</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(53,425)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outstanding at March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3,355,003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vested and exercisable as of March 31,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2,112,370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as of March 31, 2022</w:t>
            </w: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3,193,314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vested and exercisable at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Options Vested and Exercisable</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88"/>
              </w:rPr>
              <w:t>Weighted-Average</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Number of</w:t>
            </w:r>
          </w:p>
        </w:tc>
        <w:tc>
          <w:tcPr>
            <w:tcW w:w="26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 Contractual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Weighted-Average</w:t>
            </w:r>
          </w:p>
        </w:tc>
      </w:tr>
      <w:tr>
        <w:trPr>
          <w:trHeight w:val="241"/>
        </w:trPr>
        <w:tc>
          <w:tcPr>
            <w:tcW w:w="600" w:type="dxa"/>
            <w:vAlign w:val="bottom"/>
          </w:tcPr>
          <w:p>
            <w:pPr>
              <w:spacing w:after="0"/>
              <w:rPr>
                <w:sz w:val="20"/>
                <w:szCs w:val="20"/>
                <w:color w:val="auto"/>
              </w:rPr>
            </w:pPr>
          </w:p>
        </w:tc>
        <w:tc>
          <w:tcPr>
            <w:tcW w:w="2360" w:type="dxa"/>
            <w:vAlign w:val="bottom"/>
            <w:gridSpan w:val="2"/>
          </w:tcPr>
          <w:p>
            <w:pPr>
              <w:jc w:val="right"/>
              <w:ind w:right="1200"/>
              <w:spacing w:after="0"/>
              <w:rPr>
                <w:sz w:val="20"/>
                <w:szCs w:val="20"/>
                <w:color w:val="auto"/>
              </w:rPr>
            </w:pPr>
            <w:r>
              <w:rPr>
                <w:rFonts w:ascii="Arial" w:cs="Arial" w:eastAsia="Arial" w:hAnsi="Arial"/>
                <w:sz w:val="18"/>
                <w:szCs w:val="18"/>
                <w:b w:val="1"/>
                <w:bCs w:val="1"/>
                <w:color w:val="auto"/>
              </w:rPr>
              <w:t>Price ($)</w:t>
            </w:r>
          </w:p>
        </w:tc>
        <w:tc>
          <w:tcPr>
            <w:tcW w:w="280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Options</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Exercise Price</w:t>
            </w:r>
          </w:p>
        </w:tc>
      </w:tr>
      <w:tr>
        <w:trPr>
          <w:trHeight w:val="216"/>
        </w:trPr>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842,021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236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834,717</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7.68-$14.49</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435,632</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4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expected to vest after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Options Vested and Expected to Vest</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9"/>
              </w:rPr>
              <w:t>Weighted-Average</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Number of</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Remaining Contractual</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Weighted-Average</w:t>
            </w:r>
          </w:p>
        </w:tc>
      </w:tr>
      <w:tr>
        <w:trPr>
          <w:trHeight w:val="241"/>
        </w:trPr>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Price ($)</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Options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Life (Years)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Exercise Price</w:t>
            </w:r>
          </w:p>
        </w:tc>
      </w:tr>
      <w:tr>
        <w:trPr>
          <w:trHeight w:val="216"/>
        </w:trPr>
        <w:tc>
          <w:tcPr>
            <w:tcW w:w="1780" w:type="dxa"/>
            <w:vAlign w:val="bottom"/>
            <w:tcBorders>
              <w:top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1,014,500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80" w:type="dxa"/>
            <w:vAlign w:val="bottom"/>
          </w:tcPr>
          <w:p>
            <w:pPr>
              <w:jc w:val="right"/>
              <w:ind w:right="15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178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1,075,058</w:t>
            </w:r>
          </w:p>
        </w:tc>
        <w:tc>
          <w:tcPr>
            <w:tcW w:w="274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3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1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7.68-$14.49</w:t>
            </w:r>
          </w:p>
        </w:tc>
        <w:tc>
          <w:tcPr>
            <w:tcW w:w="1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1,103,755</w:t>
            </w: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w:t>
            </w:r>
          </w:p>
        </w:tc>
        <w:tc>
          <w:tcPr>
            <w:tcW w:w="3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r>
      <w:tr>
        <w:trPr>
          <w:trHeight w:val="655"/>
        </w:trPr>
        <w:tc>
          <w:tcPr>
            <w:tcW w:w="1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March 31, 2022, warrants to purchase 10,156,052 shares of Common Stock were outstanding. The following table presents the Company’s warrant activity for the three months ended March 31,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of Warrants</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828,171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377,968</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(934,295)</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Warrants outstanding at March 31,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271,844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271,844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11,467,496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(1,583,288)</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Warrants outstanding at March 31, 2022</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10,156,052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 received proceeds from the exercise of warrants of less than $1 thousand and $5 thousand during the three months ended March 31, 2022 and March 31,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Employee Benefit Plan</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months ended March 31, 2022 and 2021, the Company did not contribute to the 401k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Company’s effective income tax rate was 2.0% and 0.0% for the three months ended March 31, 2022 and 2021, respectively. The provision for (benefit from) income taxes was approximately $(200) thousand and $0 for the three months ended March 31, 2022 and 2021, respectively. The difference between the Company’s effective tax rates for the 2022 and 2021 periods and the U.S. statutory tax rate of 21% was primarily due a valuation allowance recorded against certain deferred tax assets. The change in the provision for (benefit from) income taxes for the three months ended March 31, 2022 compared to the three months ended March 31, 2021 was primarily due to a discrete income tax benefit of approximately $(200) thousand recorded during the first quarter of 2022, which is attributable to a non-recurring partial release of the Company's U.S. valuation allowance as a result of the Lab Society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Net Loss Per Share</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Net loss per share calculations for all periods have been adjusted to reflect the Company’s Reverse Stock Split. Net loss per share was calculated based on the weighted-average number of its Common Stock then outstanding.</w:t>
      </w:r>
    </w:p>
    <w:p>
      <w:pPr>
        <w:spacing w:after="0" w:line="17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Basic net loss per share is calculated using the weighted-average number of Common Stock outstanding during the periods. Net loss per share, assuming dilution, is calculated using the weighted-average number of common shares outstanding and the dilutive effect of all potentially dilutive securities, including Common Stock equivalents and convertible securities. Net loss per share, assuming dilution, is equal to basic net loss per share because the effect of dilutive securities outstanding during the periods, including options and warrants computed using the treasury stock method, is anti-dilutive.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basic and diluted net loss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5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3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340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(8,882)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Accrued dividend attributable to Preferred A Stockholders</w:t>
            </w: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4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loss available for common shareholders</w:t>
            </w:r>
          </w:p>
        </w:tc>
        <w:tc>
          <w:tcPr>
            <w:tcW w:w="3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480" w:type="dxa"/>
            <w:vAlign w:val="bottom"/>
            <w:vMerge w:val="continue"/>
            <w:shd w:val="clear" w:color="auto" w:fill="CCEEFF"/>
          </w:tcPr>
          <w:p>
            <w:pPr>
              <w:spacing w:after="0"/>
              <w:rPr>
                <w:sz w:val="21"/>
                <w:szCs w:val="21"/>
                <w:color w:val="auto"/>
              </w:rPr>
            </w:pPr>
          </w:p>
        </w:tc>
        <w:tc>
          <w:tcPr>
            <w:tcW w:w="340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22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48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3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24,589,113</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11,568,105</w:t>
            </w:r>
          </w:p>
        </w:tc>
        <w:tc>
          <w:tcPr>
            <w:tcW w:w="0" w:type="dxa"/>
            <w:vAlign w:val="bottom"/>
          </w:tcPr>
          <w:p>
            <w:pPr>
              <w:spacing w:after="0"/>
              <w:rPr>
                <w:sz w:val="1"/>
                <w:szCs w:val="1"/>
                <w:color w:val="auto"/>
              </w:rPr>
            </w:pPr>
          </w:p>
        </w:tc>
      </w:tr>
      <w:tr>
        <w:trPr>
          <w:trHeight w:val="21"/>
        </w:trPr>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0"/>
              </w:rPr>
              <w:t>Net loss per share attributable to Common Stockholders – basic and diluted</w:t>
            </w: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080" w:type="dxa"/>
            <w:vAlign w:val="bottom"/>
            <w:vMerge w:val="restart"/>
          </w:tcPr>
          <w:p>
            <w:pPr>
              <w:jc w:val="right"/>
              <w:ind w:right="275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43" w:name="page44"/>
    <w:bookmarkEnd w:id="43"/>
    <w:p>
      <w:pPr>
        <w:jc w:val="both"/>
        <w:ind w:right="340" w:firstLine="324"/>
        <w:spacing w:after="0" w:line="263" w:lineRule="auto"/>
        <w:rPr>
          <w:sz w:val="20"/>
          <w:szCs w:val="20"/>
          <w:color w:val="auto"/>
        </w:rPr>
      </w:pPr>
      <w:r>
        <w:rPr>
          <w:rFonts w:ascii="Arial" w:cs="Arial" w:eastAsia="Arial" w:hAnsi="Arial"/>
          <w:sz w:val="18"/>
          <w:szCs w:val="18"/>
          <w:color w:val="auto"/>
        </w:rPr>
        <w:t>As of March 31, 2022 and 2021, the Company excluded the following securities from net loss per share as the effect of including them would have been anti-dilutive. The shares shown represent the number of shares of Common Stock which would be issued upon conversion in the respective years shown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Three months ended</w:t>
            </w:r>
          </w:p>
        </w:tc>
      </w:tr>
      <w:tr>
        <w:trPr>
          <w:trHeight w:val="241"/>
        </w:trPr>
        <w:tc>
          <w:tcPr>
            <w:tcW w:w="86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3,355,003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3,879,021</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Warrants outstanding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10,156,052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965,907</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13,511,055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4,844,928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188"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As the implicit interest rate in its leases was generally not known, the Company’s used its incremental borrowing rate as the discount rate for purposes of determining the present value of its lease liabilities. At March 31, 2022, the Company’s weighted-average discount rate utilized for its leases was 7.32%.</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When a contract contained lease and non-lease elements, both were accounted as a single lease component.</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had several non-cancellable finance leases for machinery and equipment. The Company’s finance leases have remaining lease terms of one year to five years.</w:t>
      </w:r>
    </w:p>
    <w:p>
      <w:pPr>
        <w:spacing w:after="0" w:line="170"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 had several non-cancellable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on the Company’s lease activity, for the three months ended March 31, 2022 and 2021, is as follows: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Amortization of right-of-use assets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Short-term lease cost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40" w:lineRule="exact"/>
        <w:rPr>
          <w:sz w:val="20"/>
          <w:szCs w:val="20"/>
          <w:color w:val="auto"/>
        </w:rPr>
      </w:pPr>
    </w:p>
    <w:p>
      <w:pPr>
        <w:spacing w:after="0"/>
        <w:tabs>
          <w:tab w:leader="none" w:pos="840" w:val="left"/>
          <w:tab w:leader="none" w:pos="1320" w:val="left"/>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254</w:t>
        <w:tab/>
        <w:t>$</w:t>
      </w:r>
      <w:r>
        <w:rPr>
          <w:sz w:val="20"/>
          <w:szCs w:val="20"/>
          <w:color w:val="auto"/>
        </w:rPr>
        <w:tab/>
      </w:r>
      <w:r>
        <w:rPr>
          <w:rFonts w:ascii="Arial" w:cs="Arial" w:eastAsia="Arial" w:hAnsi="Arial"/>
          <w:sz w:val="16"/>
          <w:szCs w:val="16"/>
          <w:color w:val="auto"/>
        </w:rPr>
        <w:t>14</w:t>
      </w:r>
    </w:p>
    <w:p>
      <w:pPr>
        <w:spacing w:after="0" w:line="225" w:lineRule="exact"/>
        <w:rPr>
          <w:sz w:val="20"/>
          <w:szCs w:val="20"/>
          <w:color w:val="auto"/>
        </w:rPr>
      </w:pPr>
    </w:p>
    <w:p>
      <w:pPr>
        <w:jc w:val="both"/>
        <w:ind w:left="940"/>
        <w:spacing w:after="0"/>
        <w:tabs>
          <w:tab w:leader="none" w:pos="22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45</w:t>
      </w:r>
    </w:p>
    <w:p>
      <w:pPr>
        <w:spacing w:after="0" w:line="23" w:lineRule="exact"/>
        <w:rPr>
          <w:sz w:val="20"/>
          <w:szCs w:val="20"/>
          <w:color w:val="auto"/>
        </w:rPr>
      </w:pPr>
    </w:p>
    <w:p>
      <w:pPr>
        <w:ind w:left="2280" w:hanging="1241"/>
        <w:spacing w:after="0"/>
        <w:tabs>
          <w:tab w:leader="none" w:pos="2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12</w:t>
      </w:r>
    </w:p>
    <w:p>
      <w:pPr>
        <w:spacing w:after="0" w:line="32"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2" w:lineRule="exact"/>
        <w:rPr>
          <w:sz w:val="20"/>
          <w:szCs w:val="20"/>
          <w:color w:val="auto"/>
        </w:rPr>
      </w:pPr>
    </w:p>
    <w:p>
      <w:pPr>
        <w:spacing w:after="0"/>
        <w:tabs>
          <w:tab w:leader="none" w:pos="840" w:val="left"/>
          <w:tab w:leader="none" w:pos="1320" w:val="left"/>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311</w:t>
        <w:tab/>
        <w: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81" w:right="339" w:bottom="1440" w:gutter="0" w:footer="0" w:header="0"/>
          <w:type w:val="continuous"/>
        </w:sectPr>
      </w:pPr>
    </w:p>
    <w:p>
      <w:pPr>
        <w:spacing w:after="0" w:line="89" w:lineRule="exact"/>
        <w:rPr>
          <w:sz w:val="20"/>
          <w:szCs w:val="20"/>
          <w:color w:val="auto"/>
        </w:rPr>
      </w:pPr>
    </w:p>
    <w:p>
      <w:pPr>
        <w:jc w:val="center"/>
        <w:ind w:left="8760"/>
        <w:spacing w:after="0"/>
        <w:rPr>
          <w:sz w:val="20"/>
          <w:szCs w:val="20"/>
          <w:color w:val="auto"/>
        </w:rPr>
      </w:pPr>
      <w:r>
        <w:rPr>
          <w:rFonts w:ascii="Arial" w:cs="Arial" w:eastAsia="Arial" w:hAnsi="Arial"/>
          <w:sz w:val="16"/>
          <w:szCs w:val="16"/>
          <w:b w:val="1"/>
          <w:bCs w:val="1"/>
          <w:color w:val="auto"/>
        </w:rPr>
        <w:t>March 31,</w:t>
      </w:r>
    </w:p>
    <w:p>
      <w:pPr>
        <w:spacing w:after="0" w:line="50"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March 31,</w:t>
      </w:r>
    </w:p>
    <w:p>
      <w:pPr>
        <w:spacing w:after="0" w:line="5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2021</w:t>
      </w:r>
    </w:p>
    <w:p>
      <w:pPr>
        <w:spacing w:after="0" w:line="29" w:lineRule="exact"/>
        <w:rPr>
          <w:sz w:val="20"/>
          <w:szCs w:val="20"/>
          <w:color w:val="auto"/>
        </w:rPr>
      </w:pPr>
    </w:p>
    <w:p>
      <w:pPr>
        <w:sectPr>
          <w:pgSz w:w="11900" w:h="16838" w:orient="portrait"/>
          <w:cols w:equalWidth="0" w:num="2">
            <w:col w:w="9540" w:space="600"/>
            <w:col w:w="110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6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48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Weighted-average remaining lease term – operating leases</w:t>
            </w:r>
          </w:p>
        </w:tc>
        <w:tc>
          <w:tcPr>
            <w:tcW w:w="37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2.27 years</w:t>
            </w:r>
          </w:p>
        </w:tc>
        <w:tc>
          <w:tcPr>
            <w:tcW w:w="12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1.81 years</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37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2.78 years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3.73 years</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5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Weighted-average discount rate – finance leases</w:t>
            </w:r>
          </w:p>
        </w:tc>
        <w:tc>
          <w:tcPr>
            <w:tcW w:w="5120" w:type="dxa"/>
            <w:vAlign w:val="bottom"/>
            <w:gridSpan w:val="3"/>
          </w:tcPr>
          <w:p>
            <w:pPr>
              <w:jc w:val="right"/>
              <w:ind w:right="120"/>
              <w:spacing w:after="0"/>
              <w:rPr>
                <w:sz w:val="20"/>
                <w:szCs w:val="20"/>
                <w:color w:val="auto"/>
              </w:rPr>
            </w:pPr>
            <w:r>
              <w:rPr>
                <w:rFonts w:ascii="Arial" w:cs="Arial" w:eastAsia="Arial" w:hAnsi="Arial"/>
                <w:sz w:val="18"/>
                <w:szCs w:val="18"/>
                <w:color w:val="auto"/>
              </w:rPr>
              <w:t>8.01%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641"/>
        </w:trPr>
        <w:tc>
          <w:tcPr>
            <w:tcW w:w="48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2790"/>
              <w:spacing w:after="0"/>
              <w:rPr>
                <w:sz w:val="20"/>
                <w:szCs w:val="20"/>
                <w:color w:val="auto"/>
              </w:rPr>
            </w:pPr>
            <w:r>
              <w:rPr>
                <w:rFonts w:ascii="Arial" w:cs="Arial" w:eastAsia="Arial" w:hAnsi="Arial"/>
                <w:sz w:val="18"/>
                <w:szCs w:val="18"/>
                <w:color w:val="auto"/>
              </w:rPr>
              <w:t>43</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type w:val="continuous"/>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301"/>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8"/>
                <w:szCs w:val="18"/>
                <w:color w:val="auto"/>
              </w:rPr>
            </w:pPr>
          </w:p>
        </w:tc>
        <w:tc>
          <w:tcPr>
            <w:tcW w:w="1240" w:type="dxa"/>
            <w:vAlign w:val="bottom"/>
            <w:gridSpan w:val="4"/>
          </w:tcPr>
          <w:p>
            <w:pPr>
              <w:jc w:val="right"/>
              <w:ind w:right="161"/>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41"/>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gridSpan w:val="2"/>
          </w:tcPr>
          <w:p>
            <w:pPr>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gridSpan w:val="2"/>
          </w:tcPr>
          <w:p>
            <w:pPr>
              <w:spacing w:after="0"/>
              <w:rPr>
                <w:sz w:val="20"/>
                <w:szCs w:val="20"/>
                <w:color w:val="auto"/>
              </w:rPr>
            </w:pPr>
            <w:r>
              <w:rPr>
                <w:rFonts w:ascii="Arial" w:cs="Arial" w:eastAsia="Arial" w:hAnsi="Arial"/>
                <w:sz w:val="18"/>
                <w:szCs w:val="18"/>
                <w:color w:val="auto"/>
              </w:rPr>
              <w:t>Finance lease liabilities, non-current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finance lease liabilities</w:t>
            </w: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Maturities of operating and finance lease liabilities as of March 31, 2022 are as follows: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5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6"/>
              </w:rPr>
              <w:t>Operating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8"/>
              </w:rPr>
              <w:t>Finance</w:t>
            </w:r>
          </w:p>
        </w:tc>
        <w:tc>
          <w:tcPr>
            <w:tcW w:w="0" w:type="dxa"/>
            <w:vAlign w:val="bottom"/>
          </w:tcPr>
          <w:p>
            <w:pPr>
              <w:spacing w:after="0"/>
              <w:rPr>
                <w:sz w:val="1"/>
                <w:szCs w:val="1"/>
                <w:color w:val="auto"/>
              </w:rPr>
            </w:pPr>
          </w:p>
        </w:tc>
      </w:tr>
      <w:tr>
        <w:trPr>
          <w:trHeight w:val="241"/>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 (In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01"/>
              <w:spacing w:after="0"/>
              <w:rPr>
                <w:sz w:val="20"/>
                <w:szCs w:val="20"/>
                <w:color w:val="auto"/>
              </w:rPr>
            </w:pPr>
            <w:r>
              <w:rPr>
                <w:rFonts w:ascii="Arial" w:cs="Arial" w:eastAsia="Arial" w:hAnsi="Arial"/>
                <w:sz w:val="18"/>
                <w:szCs w:val="18"/>
                <w:b w:val="1"/>
                <w:bCs w:val="1"/>
                <w:color w:val="auto"/>
              </w:rPr>
              <w:t>lease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79"/>
              </w:rPr>
              <w:t>lease</w:t>
            </w:r>
          </w:p>
        </w:tc>
        <w:tc>
          <w:tcPr>
            <w:tcW w:w="0" w:type="dxa"/>
            <w:vAlign w:val="bottom"/>
          </w:tcPr>
          <w:p>
            <w:pPr>
              <w:spacing w:after="0"/>
              <w:rPr>
                <w:sz w:val="1"/>
                <w:szCs w:val="1"/>
                <w:color w:val="auto"/>
              </w:rPr>
            </w:pPr>
          </w:p>
        </w:tc>
      </w:tr>
      <w:tr>
        <w:trPr>
          <w:trHeight w:val="216"/>
        </w:trPr>
        <w:tc>
          <w:tcPr>
            <w:tcW w:w="8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Total minimum lease payments</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1,731</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37"/>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Total lease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1"/>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right="100" w:firstLine="324"/>
        <w:spacing w:after="0" w:line="287" w:lineRule="auto"/>
        <w:rPr>
          <w:sz w:val="20"/>
          <w:szCs w:val="20"/>
          <w:color w:val="auto"/>
        </w:rPr>
      </w:pPr>
      <w:r>
        <w:rPr>
          <w:rFonts w:ascii="Arial" w:cs="Arial" w:eastAsia="Arial" w:hAnsi="Arial"/>
          <w:sz w:val="16"/>
          <w:szCs w:val="16"/>
          <w:color w:val="auto"/>
        </w:rPr>
        <w:t>On January 5, 2021, the Company received a demand letter from Nicholas Cooper and Richard Weinstein, (two of the Company’s former employees), and one of Mr. Cooper’s affiliated entities, asserting that Messrs. Cooper and Weinstein were entitled to compensation arising out of their employment by the Company, and their partial ownership of TriGrow Systems, LLC which had been acquired by the Company. The demand letter asserts that Messrs.</w:t>
      </w:r>
    </w:p>
    <w:p>
      <w:pPr>
        <w:spacing w:after="0" w:line="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Cooper and Weinstein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9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On January 19, 2021, Messrs. Cooper and Weinstein filed a lawsuit against the Company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previously executed Release of Claims Agreement. On March 10, 2021, the Company moved to dismiss all Messrs. Cooper and Weinstein’s claims, asserting that the claims failed to allege legal grounds for relief. On May 12, 2021, a Magistrate issued a preliminary Report and Recommendation, which recommended dismissal of certain of Messrs.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ind w:right="20" w:firstLine="324"/>
        <w:spacing w:after="0" w:line="255" w:lineRule="auto"/>
        <w:rPr>
          <w:sz w:val="20"/>
          <w:szCs w:val="20"/>
          <w:color w:val="auto"/>
        </w:rPr>
      </w:pPr>
      <w:r>
        <w:rPr>
          <w:rFonts w:ascii="Arial" w:cs="Arial" w:eastAsia="Arial" w:hAnsi="Arial"/>
          <w:sz w:val="18"/>
          <w:szCs w:val="18"/>
          <w:color w:val="auto"/>
        </w:rPr>
        <w:t>Additionally, on July 29, 2021, the Company filed a separate arbitration in Boston, Massachusetts against Messrs. Cooper and Weinstein, in which the Company alleges that Messrs.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LLC. shareholders. The claim for indemnification relates to conduct by Messrs. Cooper and Weinstein during the time they were TriGrow employees. The Company does not believe these claims have any merit, and intends to vigorously defend its position.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 with Mack Molding Co.</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initial production of VFUs during 2021. In September 2021, the Company increased the purchase order with Mack to approximately $11.5 million towards production of VFUs during 2021 and 2022. The Company believes the supply agreement with Mack will provide the Company with increased scaling capabilities and the ability to more efficiently meet the potential future demand of its customers.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believes this approach will result in both parties making a more informed decision with respect to the pricing and other terms of the supply agreement with Mack.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Agreements with Related Party</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 renews for successive one-year periods unless earlier terminated. In March 2021, the Company notified Bluezone of non-renewal of the agreement which means it ended on May 31, 2021. The Company exceeded the minimum purchase amount for the first year and purchased approximately $309 thousand of the committed $660 thousand second year purchases through December 31, 2021. Bluezone is a related party to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Committed Purchase Agreement with Greenstone Holdings</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On December 29, 2021, Greenstone Holdings purchased 239 VFUs from the Company of which 60 VFUs were already in Greenstone Holdings possession under a lease agreement. Under the lease agreement, Greenstone Holdings owed Agrify a production service fee of $300 per pound of flower produced and contained an option to purchase the equipment within the lease agreement. The term of this agreement was for ten years, but it was terminated upon signing the purchase agreement for the 239 VFUs. There is no remaining obligation under the lease agreement. The remaining 179 VFUs were shipped to Greenstone Holdings storage facility on December 30, 2021 and December 31, 2021.</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22 — Related Parties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4D Bios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Cannae Policy Group</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Topline Performance Group</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Greenstone Holdings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Valiant Americas, LLC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Living Greens Farm</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bl>
    <w:p>
      <w:pPr>
        <w:spacing w:after="0" w:line="187" w:lineRule="exact"/>
        <w:rPr>
          <w:sz w:val="20"/>
          <w:szCs w:val="20"/>
          <w:color w:val="auto"/>
        </w:rPr>
      </w:pPr>
    </w:p>
    <w:p>
      <w:pPr>
        <w:ind w:left="340" w:right="1700" w:hanging="332"/>
        <w:spacing w:after="0" w:line="5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Purchases from 4D for the three months ended March 31, 2021 include $384 thousand for a down payment on inventory orders. The following table summarizes net related party (payable) receivable as of March 31, 2022 and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Cannae Policy Group</w:t>
            </w: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Cannaquip</w:t>
            </w: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Greenstone Holdings</w:t>
            </w: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Living Greens Farm</w:t>
            </w: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NEIA</w:t>
            </w: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Valiant Americas, LLC</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(922)</w:t>
            </w:r>
          </w:p>
        </w:tc>
      </w:tr>
      <w:tr>
        <w:trPr>
          <w:trHeight w:val="641"/>
        </w:trPr>
        <w:tc>
          <w:tcPr>
            <w:tcW w:w="36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right"/>
              <w:ind w:right="275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The information contained in this Quarterly Report on Form 10-Q is intended to update the information contained in our Annual Report on Form 10-K for the year ended December 31, 2021 filed with the Securities and Exchange Commission on March 31, 2022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8"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Annual Report on Form 10-K in the section entitled “Risk Factors” in the Annual Report on Form 10-K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are a developer of proprietary precision hardware and software grow solutions for the indoor commercial agriculture industry and provides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9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4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corporate headquarters are located in Billerica, Massachusetts. We also lease properties located within various geographic regions in which we conduct business, including Colorado, Georgia, Massachusetts, Michigan, and Oregon.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ind w:right="860" w:firstLine="324"/>
        <w:spacing w:after="0" w:line="308" w:lineRule="auto"/>
        <w:rPr>
          <w:sz w:val="20"/>
          <w:szCs w:val="20"/>
          <w:color w:val="auto"/>
        </w:rPr>
      </w:pPr>
      <w:r>
        <w:rPr>
          <w:rFonts w:ascii="Arial" w:cs="Arial" w:eastAsia="Arial" w:hAnsi="Arial"/>
          <w:sz w:val="17"/>
          <w:szCs w:val="17"/>
          <w:color w:val="auto"/>
        </w:rPr>
        <w:t>On January 12, 2021, we effected a 1-for-1.581804 reverse stock split on our Common Stock. All share and per share information has been retroactively adjusted to give effect to the reverse stock split for all periods presented, unless otherwise indicated.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January 25, 2022, we entered into a Securities Purchase Agreement (the “Securities Agreement”) with an institutional investor and other accredited investors for the sale by us of (i) 2,450,350 shares (the “SA Shares”) of the our Common Stock, (ii) pre-funded warrants (the “Pre-Funded Warrants”) to purchase up to an aggregate of 1,570,644 shares of Common Stock and (iii) warrants to purchase up to an aggregate of 3,015,745 shares of Common Stock (the “Common Warrants” and, collectively with the Pre-Funded Warrants, the “SA Warrants”), in a private placement offering. The combined purchase price for one share of Common Stock (or one Pre-Funded Warrant) and accompanying fraction of a Common Warrant was $6.80.</w:t>
      </w:r>
    </w:p>
    <w:p>
      <w:pPr>
        <w:spacing w:after="0" w:line="16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Subject to certain ownership limitations, the SA Warrants are exercisable six months from issuance. Each Pre-Funded Warrant is exercisable into one share of Common Stock at a price per share of $0.001 (as adjusted from time to time in accordance with the terms thereof). Each Common Warrant is exercisable into one share of Common Stock at a price per share of $7.48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8"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Raymond Chang, our Chairman and Chief Executive Officer, and Stuart Wilcox, a member of our Board of Directors, participated in the private placement on essentially the same terms as other investors, except for having a combined purchase price of $6.90 per share.</w:t>
      </w:r>
    </w:p>
    <w:p>
      <w:pPr>
        <w:spacing w:after="0" w:line="14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gross proceeds to us from the private placement were approximately $27.3 million, before deducting the placement agent’s fees and other offering expenses, and excluding the proceeds, if any, from the exercise of the SA Warrants.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Acquisition of Lab Society</w:t>
      </w:r>
    </w:p>
    <w:p>
      <w:pPr>
        <w:spacing w:after="0" w:line="225"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On February 1, 2022, we entered into an Agreement and Plan of Merger (the “Merger Agreement”) with LS Holdings Corp. (“Lab Society”), Lab Society NewCo, LLC, a newly formed wholly-owned subsidiary of the Company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the Company (the “Lab Society Acquisition”).</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aggregate consideration for the Lab Society Acquisition consisted of: (a) $4.0 million in cash, subject to certain adjustments for working capital, cash and indebtedness of Lab Society at closing; (b) 425,611 shares of Common Stock (the “Buyer Shares”); and (c) the Earn-out Consideration (as defined below), to the extent earned.</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withheld 127,682 of the Buyer Shares issuable to the Owners (the “Holdback Lab Buyer Shares”) for the purpose of securing any post-closing adjustment owed to us and any claim for indemnification or payment of damages to which we may be entitled under the Merger Agreement. The Holdback Lab Buyer Shares shall be released following the twelve-month anniversary of the Closing Date in accordance with and subject to the conditions of the Merger Agreement.</w:t>
      </w:r>
    </w:p>
    <w:p>
      <w:pPr>
        <w:spacing w:after="0" w:line="18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87"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14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amortize our intangible assets assuming no residual value over periods in which the economic benefit of these assets is consumed.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March 14, 2022, we entered into a Securities Purchase Agreement (the “Securities Purchase Agreement”) with an accredited investor (the “Investor”), pursuant to which, among other things, we agreed to issue and sell to the Investor, in a private placement transaction (the “Private Placement”), in exchange for the payment by the Investor of $65 million, less applicable expenses as set forth in the Securities Purchase Agreement, (i) a senior secured promissory note in an aggregate principal amount of $65 million (the “SPA Note”), and (ii) a warrant (the “SPA Warrant”) to purchase up to an aggregate of 6,881,108 shares of Common Stock.</w:t>
      </w:r>
    </w:p>
    <w:p>
      <w:pPr>
        <w:spacing w:after="0" w:line="188"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The SPA Note will be a senior secured obligation of us and ranks senior to all indebtedness of us. We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w:t>
      </w:r>
    </w:p>
    <w:p>
      <w:pPr>
        <w:spacing w:after="0" w:line="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SPA Note has a stated interest rate of 6.75% per year, and we will be required to pay interest on March 1, June 1, September 1, and December 1 of each calendar year through and including the Maturity Date. Following the one-year anniversary of the SPA Note’s issuance, we may, in lieu of paying interest in cash, pay such interest in kind, in which case interest on the SPA Note will be calculated at the rate of 8.75% per year and will be added to the principal amount of the SPA Note.</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At any time following the one-year anniversary of the SPA Note’s issuance, we may prepay all (but not less than all) of the SPA Note by redemption at a price equal to 106.75% of the then-outstanding principal amount under the SPA Note plus accrued but unpaid interest. The Investor will also have the option of requiring us to redeem the SPA Note if we undergo a fundamental change at a price equal to 107% of the then-outstanding principal amount under the SPA Note plus any accrued interest thereon.</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equal to 65% of such principal amount divided by the closing price of Common Stock on the trading day immediately prior to such subsequent closing.</w:t>
      </w:r>
    </w:p>
    <w:p>
      <w:pPr>
        <w:spacing w:after="0" w:line="18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SPA Note will impose certain customary affirmative and negative covenants upon us, as well as covenants that (i) restrict us and its subsidiaries from incurring any additional indebtedness or suffering any liens, subject to specified exceptions, (ii) restrict the ability of us and its subsidiaries from making certain investments, subject to specified exceptions, (iii) restrict the declaration of any dividends or other distributions, subject to specified exceptions, (iv) require us to maintain specified earnings and adjusted EBITDA targets, and (v) require us to maintain minimum amounts of cash on hand. If an event of default under the SPA Note occurs, the Investor can elect to redeem the SPA Note for cash equal to 115% of the then-outstanding principal amount of the SPA Note (or such lesser principal amount accelerated by the Investor), plus accrued and unpaid interest, including default interest, which accrues at a rate per year equal to 15% from the date of a default or event of default.</w:t>
      </w:r>
    </w:p>
    <w:p>
      <w:pPr>
        <w:spacing w:after="0" w:line="17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Until the date the SPA Note is fully repaid, the Investor will, subject to certain exceptions, have the right to participate for up to 30% of any debt, Preferred Stock or equity-linked financing of us or its subsidiaries.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Each SPA Warrant to be issued in the initial closing will have an exercise price of $6.75 per share, subject to adjustment for stock splits, reverse stock splits, stock dividends and similar transactions, will be immediately exercisable, has a term of five and one-half years from the date of issuance and will be exercisable on a cash basis, unless there is not an effective registration statement covering the resale of the shares issuable upon exercise of the Warrant (the “SPA Warrant Shares”), in which case the SPA Warrant shall also be exercisable on a cashless exercise basis at the Investor’s election. The Securities Purchase Agreement requires us to file resale registration statements with respect to the SPA Warrant Shares as soon as practicable and in any event within 45 days following the initial closing and any subsequent closings.</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SPA Warrant will provide that in no event will the number of shares of Common Stock issued upon exercise of the SPA Warrant result in the Investor’s beneficial ownership exceeding 4.99% of our shares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us).</w:t>
      </w:r>
    </w:p>
    <w:p>
      <w:pPr>
        <w:spacing w:after="0" w:line="187"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Securities Purchase Agreement also contains customary representations and warranties of us and the Investor. There is no material relationship between us or its affiliates and the Investor other than in respect of the Securities Purchase Agreement, the SPA Note and the SPA Warrant.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225"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15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81" w:right="479" w:bottom="1440" w:gutter="0" w:footer="0" w:header="0"/>
        </w:sectPr>
      </w:pPr>
    </w:p>
    <w:bookmarkStart w:id="52" w:name="page53"/>
    <w:bookmarkEnd w:id="52"/>
    <w:p>
      <w:pPr>
        <w:ind w:firstLine="324"/>
        <w:spacing w:after="0" w:line="275" w:lineRule="auto"/>
        <w:rPr>
          <w:sz w:val="20"/>
          <w:szCs w:val="20"/>
          <w:color w:val="auto"/>
        </w:rPr>
      </w:pPr>
      <w:r>
        <w:rPr>
          <w:rFonts w:ascii="Arial" w:cs="Arial" w:eastAsia="Arial" w:hAnsi="Arial"/>
          <w:sz w:val="17"/>
          <w:szCs w:val="17"/>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the following sources: (1) equipment sales, (2) providing services and (3) construction contracts.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3" w:name="page54"/>
    <w:bookmarkEnd w:id="53"/>
    <w:p>
      <w:pPr>
        <w:ind w:firstLine="324"/>
        <w:spacing w:after="0" w:line="277" w:lineRule="auto"/>
        <w:rPr>
          <w:sz w:val="20"/>
          <w:szCs w:val="20"/>
          <w:color w:val="auto"/>
        </w:rPr>
      </w:pPr>
      <w:r>
        <w:rPr>
          <w:rFonts w:ascii="Arial" w:cs="Arial" w:eastAsia="Arial" w:hAnsi="Arial"/>
          <w:sz w:val="18"/>
          <w:szCs w:val="18"/>
          <w:color w:val="auto"/>
        </w:rPr>
        <w:t>In accordance with ASC 606 “Revenue Recognition”, we recognize revenue from contracts with customers using a five-step model, which is described below:</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performance obligations that are distinct;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 the transaction price to the distinct performance obligations;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Identify the customer contract</w:t>
      </w:r>
    </w:p>
    <w:p>
      <w:pPr>
        <w:spacing w:after="0" w:line="225"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Identify performance obligations that are distinct</w:t>
      </w:r>
    </w:p>
    <w:p>
      <w:pPr>
        <w:spacing w:after="0" w:line="225"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Determine the transaction price</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Allocate the transaction price to distinct performance obligations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is recognized when, or as, performance obligations are satisfied by transferring control of a promised product or service to a customer.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4" w:name="page55"/>
    <w:bookmarkEnd w:id="54"/>
    <w:p>
      <w:pPr>
        <w:ind w:right="240" w:firstLine="324"/>
        <w:spacing w:after="0" w:line="271" w:lineRule="auto"/>
        <w:rPr>
          <w:sz w:val="20"/>
          <w:szCs w:val="20"/>
          <w:color w:val="auto"/>
        </w:rPr>
      </w:pPr>
      <w:r>
        <w:rPr>
          <w:rFonts w:ascii="Arial" w:cs="Arial" w:eastAsia="Arial" w:hAnsi="Arial"/>
          <w:sz w:val="17"/>
          <w:szCs w:val="17"/>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7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three months ended March 31, 2022 and 2021, we did not have any such financial income.</w:t>
      </w:r>
    </w:p>
    <w:p>
      <w:pPr>
        <w:spacing w:after="0" w:line="17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4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5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p>
      <w:pPr>
        <w:ind w:right="160" w:firstLine="324"/>
        <w:spacing w:after="0" w:line="259" w:lineRule="auto"/>
        <w:rPr>
          <w:sz w:val="20"/>
          <w:szCs w:val="20"/>
          <w:color w:val="auto"/>
        </w:rPr>
      </w:pPr>
      <w:r>
        <w:rPr>
          <w:rFonts w:ascii="Arial" w:cs="Arial" w:eastAsia="Arial" w:hAnsi="Arial"/>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generally provide a one-year warranty on our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Business Combinations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Examples of critical estimates in valuing certain of the intangible assets we have acquired or may acquire in the future include but are not limited to:</w:t>
      </w:r>
    </w:p>
    <w:p>
      <w:pPr>
        <w:spacing w:after="0" w:line="248" w:lineRule="exact"/>
        <w:rPr>
          <w:sz w:val="20"/>
          <w:szCs w:val="20"/>
          <w:color w:val="auto"/>
        </w:rPr>
      </w:pPr>
    </w:p>
    <w:p>
      <w:pPr>
        <w:ind w:left="660" w:right="7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Amortization of acquired intangible assets is the result of the acquisition of TriGrow, which occurred in 2020, the acquisition of Sinclair which occurred in 2021, the acquisition of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6" w:name="page57"/>
    <w:bookmarkEnd w:id="56"/>
    <w:p>
      <w:pPr>
        <w:ind w:right="20" w:firstLine="324"/>
        <w:spacing w:after="0" w:line="291" w:lineRule="auto"/>
        <w:rPr>
          <w:sz w:val="20"/>
          <w:szCs w:val="20"/>
          <w:color w:val="auto"/>
        </w:rPr>
      </w:pPr>
      <w:r>
        <w:rPr>
          <w:rFonts w:ascii="Arial" w:cs="Arial" w:eastAsia="Arial" w:hAnsi="Arial"/>
          <w:sz w:val="16"/>
          <w:szCs w:val="16"/>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The Company has determined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the Company’s market value as a result of a significant decline in the Company’s stock price. There have been no impairment charges recorded for three months ended March 31, 2022 and 2021,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Internal Software Development Costs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capitalize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57"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6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229"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49"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7" w:name="page58"/>
    <w:bookmarkEnd w:id="57"/>
    <w:p>
      <w:pPr>
        <w:ind w:right="2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 is important that the discussion of our operating results that follows be read in conjunction with the critical accounting policies disclosed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2022 and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5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30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Cost of goods sold</w:t>
            </w: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21,851</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 (loss)</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9,759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2,084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3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2,090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30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13,933</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Arial" w:cs="Arial" w:eastAsia="Arial" w:hAnsi="Arial"/>
                <w:sz w:val="18"/>
                <w:szCs w:val="18"/>
                <w:color w:val="auto"/>
              </w:rPr>
              <w:t>Interest income (expense), net</w:t>
            </w: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682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notes payable</w:t>
            </w:r>
          </w:p>
        </w:tc>
        <w:tc>
          <w:tcPr>
            <w:tcW w:w="3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Other income (expense), net</w:t>
            </w:r>
          </w:p>
        </w:tc>
        <w:tc>
          <w:tcPr>
            <w:tcW w:w="30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before income taxes</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Income tax benefit</w:t>
            </w: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Income (loss) attributable to non-controlling interest</w:t>
            </w: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4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loss attributable to Agrify Corporation</w:t>
            </w:r>
          </w:p>
        </w:tc>
        <w:tc>
          <w:tcPr>
            <w:tcW w:w="3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480" w:type="dxa"/>
            <w:vAlign w:val="bottom"/>
            <w:vMerge w:val="continue"/>
            <w:shd w:val="clear" w:color="auto" w:fill="CCEEFF"/>
          </w:tcPr>
          <w:p>
            <w:pPr>
              <w:spacing w:after="0"/>
              <w:rPr>
                <w:sz w:val="21"/>
                <w:szCs w:val="21"/>
                <w:color w:val="auto"/>
              </w:rPr>
            </w:pPr>
          </w:p>
        </w:tc>
        <w:tc>
          <w:tcPr>
            <w:tcW w:w="340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22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0"/>
              </w:rPr>
              <w:t>Net loss per share attributable to Common Stockholders – basic and diluted</w:t>
            </w: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vMerge w:val="continue"/>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vMerge w:val="continue"/>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Weighted-average common shares outstanding – basic and diluted</w:t>
            </w:r>
          </w:p>
        </w:tc>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24,589,113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11,568,105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080" w:type="dxa"/>
            <w:vAlign w:val="bottom"/>
            <w:vMerge w:val="restart"/>
          </w:tcPr>
          <w:p>
            <w:pPr>
              <w:jc w:val="right"/>
              <w:ind w:right="275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continue to monitor and address COVID-19 pandemic impacts on our supply chain. Although the availability of various products is dependent on our suppliers, their locations, and the extent to which they are impacted by the COVID-19 pandemic, we are proactively working with manufacturers to meet the needs of our customers during the pandemic. Product shortages have generally led to increases in prices globally, with significant impacts to sales and interim profits.</w:t>
      </w:r>
    </w:p>
    <w:p>
      <w:pPr>
        <w:spacing w:after="0" w:line="187"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We generate revenue from sales of cultivation solutions, including ancillary products and services, Agrify Insights software, facility build-outs and extraction equipment and solutions. We believe that our product mix form an integrated ecosystem which allows us to be engaged with our potential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breakdown of our revenue for the three months ended March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Agrify Insights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build-outs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Extraction solutions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12,427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12,427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9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59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26,021</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Revenues increased by $19.0 million, or 271% for the three months ended March 31, 2022 compared to the same period in 2021. The comparative increase in revenue was generated primarily from extraction solutions sales of equipment and services from our acquisition of Lab Society in 2022 and acquisitions of Precision, Cascade and PurePressure in 2021. Extraction division revenues totaled $12.4 million in the first quarter of 2022. Additionally, design and build revenues increased by $6.4 million due to the continued build-out of facilities under our TTK Solutions.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The following table provides a breakdown of our cost of goods sold for the three months ended March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Agrify Insights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build-outs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13,076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Extraction solutions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9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cost of goods sold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59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Cost of goods sold increased by $14.3 million, or 189%, for the three months ended March 31, 2022 compared to the same period in 2021. The comparative quarterly increase in cost of goods sold is associated with the increased amount of internal and outsourced labor and materials costs for the extraction solutions sales, combined with an increase in subcontractor construction costs related to our facility build-outs, including construction costs associated with design and build projects under our TTK Solutions.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w:t>
      </w:r>
    </w:p>
    <w:p>
      <w:pPr>
        <w:spacing w:after="0" w:line="221"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r>
    </w:tbl>
    <w:p>
      <w:pPr>
        <w:spacing w:after="0" w:line="20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Gross profit totaled $4.2 million, or 16.0% of total revenue during the three months ended March 31, 2022 compared to a gross loss of $(540) thousand, or (7.7)% of total revenue during the three months ended March 31, 2021. The comparative $4.7 million first-quarter year over year improvement in gross profit, as well as the comparative improvement in gross profit margin, is primarily attributable to the introduction of extraction solutions revenue in the first quarter of 2022, which contributes higher gross margins than those realized on our cultivation-related revenue, which includes our TTK Solutions design and build revenue. During the first quarter of 2022, we realized a gross profit margin of 33% associated with our extraction solutions revenue, while we realized a gross profit margin of approximately 1% on our cultivation-related revenues.</w:t>
      </w:r>
    </w:p>
    <w:p>
      <w:pPr>
        <w:spacing w:after="0" w:line="17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On a forward-looking basis, with the full year benefit of anticipated margin contribution associated with the extraction-related revenue contributions, the Company anticipates that gross margin performance, aided by our extraction-related equipment sales, will be in a mid-teens range. We anticipate that we will be able to improve upon that expected gross profit margin performance once we are able to generate meaningful software and production fee revenues from our TTK Solutions, which we currently expect to begin in the late third or early fourth quarter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1"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bl>
    <w:p>
      <w:pPr>
        <w:spacing w:after="0" w:line="20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84"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G&amp;A expense increased by $5.3 million, or 119%, for the three months ended March 31, 2022, compared to the same period in 2021. The increase is attributable to payroll and related expenses increase of $2.5 million, an increase in acquisition-related expenses of $1.3 million, an increase in facility and other related expenses of $964 thousand, an increase in investor relations and directors’ and officers’ insurance of $592 thousand, an increase in depreciation and amortization of $865 thousand, which primarily reflects an increase in amortization associated with the identified intangible assets from our acquisition of Lab Society in 2022 and acquisitions of Precision, Cascade and PurePressure in 2021. These increases were partially offset by a reduction in stock compensation expense of $906 thousand.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1"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Research and development (“R&amp;D”) expenses consisted primarily of costs incurred for the development of our Agrify Insights software and next generation VFUs, which includes:</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expenses incurred by the subcontractor under agreements to provide engineering work related to the development of our next generation VFUs;</w:t>
      </w:r>
    </w:p>
    <w:p>
      <w:pPr>
        <w:spacing w:after="0" w:line="248"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related to our facilities, depreciation, and other expenses, which include direct and allocated expenses for rent and maintenance of facilities, insurance and other supplies.</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R&amp;D expense increased by $1.2 million, or 136%, for the three months ended March 31, 2022, compared to the same period in 2021. The increase is attributable to the personnel and facility costs associated with the continued development of our VFUs, specifically related to improving the individual unit cooling and humidity environments.</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expect to continue to invest in future developments of our VFUs, Agrify Insights software and our extraction products. As a percentage of net revenue, R&amp;D expenses were 8.0% of total revenue for the three months ended March 31, 2022, compared to 12.6% for the three months ended March 31, 2021. Although we continue to increase our investment in R&amp;D activities, we expect R&amp;D expense to decrease as a percentage of revenue due to our revenue growth.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1"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31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and marketing expenses consist primarily of salaries and related costs of personnel, travel expenses, trade shows and advertising expenses.</w:t>
      </w:r>
    </w:p>
    <w:p>
      <w:pPr>
        <w:spacing w:after="0" w:line="24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Selling and marketing expenses increased by $1.5 million, or 239%, for the three months ended March 31, 2022, compared to the same period in 2021. The increase is attributable to payroll and related expenses increase of $1.2 million and an increase in advertising and trade show expenses of $152 thousand and an increase in travel and other expenses of $155 thousand.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w:t>
            </w:r>
          </w:p>
        </w:tc>
      </w:tr>
      <w:tr>
        <w:trPr>
          <w:trHeight w:val="237"/>
        </w:trPr>
        <w:tc>
          <w:tcPr>
            <w:tcW w:w="5940" w:type="dxa"/>
            <w:vAlign w:val="bottom"/>
            <w:gridSpan w:val="2"/>
          </w:tcPr>
          <w:p>
            <w:pPr>
              <w:spacing w:after="0"/>
              <w:rPr>
                <w:sz w:val="20"/>
                <w:szCs w:val="20"/>
                <w:color w:val="auto"/>
              </w:rPr>
            </w:pPr>
            <w:r>
              <w:rPr>
                <w:rFonts w:ascii="Arial" w:cs="Arial" w:eastAsia="Arial" w:hAnsi="Arial"/>
                <w:sz w:val="18"/>
                <w:szCs w:val="18"/>
                <w:color w:val="auto"/>
              </w:rPr>
              <w:t>Gain on extinguishment of notes payable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(2,685)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Interest income (expense), net increased by $714 thousand, or 2,231%, for the three months ended March 31, 2022 compared to the same period in 2021. The increase in interest income is attributable mainly to interest from marketable securities and interest income from TTK Solutions.</w:t>
      </w:r>
    </w:p>
    <w:p>
      <w:pPr>
        <w:spacing w:after="0" w:line="12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Gain on extinguishment of notes payable decreased by $2.7 million, or 100%, for the three months ended March 31, 2022 compared to the same period in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4"/>
          </w:tcPr>
          <w:p>
            <w:pPr>
              <w:jc w:val="center"/>
              <w:ind w:left="176"/>
              <w:spacing w:after="0"/>
              <w:rPr>
                <w:sz w:val="20"/>
                <w:szCs w:val="20"/>
                <w:color w:val="auto"/>
              </w:rPr>
            </w:pPr>
            <w:r>
              <w:rPr>
                <w:rFonts w:ascii="Arial" w:cs="Arial" w:eastAsia="Arial" w:hAnsi="Arial"/>
                <w:sz w:val="18"/>
                <w:szCs w:val="18"/>
                <w:b w:val="1"/>
                <w:bCs w:val="1"/>
                <w:color w:val="auto"/>
                <w:w w:val="90"/>
              </w:rPr>
              <w:t>Three Months ended</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378"/>
              <w:spacing w:after="0"/>
              <w:rPr>
                <w:sz w:val="20"/>
                <w:szCs w:val="20"/>
                <w:color w:val="auto"/>
              </w:rPr>
            </w:pPr>
            <w:r>
              <w:rPr>
                <w:rFonts w:ascii="Arial" w:cs="Arial" w:eastAsia="Arial" w:hAnsi="Arial"/>
                <w:sz w:val="18"/>
                <w:szCs w:val="18"/>
                <w:b w:val="1"/>
                <w:bCs w:val="1"/>
                <w:color w:val="auto"/>
                <w:w w:val="93"/>
              </w:rPr>
              <w:t>March 31,</w:t>
            </w: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(200)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7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change in the provision for (benefit from) income taxes for the three months ended March 31, 2022 compared to the three months ended March 31, 2021 was primarily due to a discrete income tax benefit of $(200) thousand recorded during the first quarter of 2022, which is attributable to a non-recurring partial release of our U.S. valuation allowance as a result of the Lab Society acquisition.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Income (Loss) Attributable to Non-Controlling Interest</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7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As of March 31, 2022, our principal sources of liquidity were cash and cash equivalents and marketable securities totaling $63.4 million and $30 million in restricted cash. We believe such amount, together with the proceeds from the private placement that closed on January 28, 2022 and the senior secured debt facility that closed on March 24, 2022, will be sufficient to support our planned operations for at least the next 12 months. Our current working capital needs are to support revenue growth, to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6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is scheduled to mature in May 2022. Subject to certain conditions, the PPP Loan may be forgiven in whole or in part by applying for forgiveness pursuant to the CARES Act and the PPP. If the remaining principal amount is not forgiven in full, we would be obligated to repay any principal amount not forgiven and interest accrued thereon.</w:t>
      </w:r>
    </w:p>
    <w:p>
      <w:pPr>
        <w:spacing w:after="0" w:line="17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March 14, 2022, we entered into a Securities Purchase Agreement with an institutional investor. The Purchase Agreement provides for of the issuance of a senior secured note (the “SPA Note”) in the aggregate amount of $65 million and a warrant exercisable 6,881,108 shares of Common Stock, with the potential for two potential subsequent closings for notes with an original principal amount of $35 million each. The initial closing pursuant to this debt facility occurred on March 24, 2022. The SPA Note is a senior secured obligation and ranks senior to all other indebtedness. We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an interest rate of 6.75% per year, and we will be required to pay interest on March 1, June 1, September 1, and December 1 of each calendar year through the Maturity Date. Following the one-year anniversary of the SPA Note’s issuance, we may, in lieu of paying interest in cash, pay such interest in kind, in which case interest on the SPA Note will be calculated at the rate of 8.75% per year and will be added to the principal amount of the SPA Note.</w:t>
      </w:r>
    </w:p>
    <w:p>
      <w:pPr>
        <w:spacing w:after="0" w:line="1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At any time following the one-year anniversary of the SPA Note’s issuance, we may prepay all (but not less than all) of the SPA Note by redemption at a price equal to 106.75% of the then-outstanding principal amount under the SPA Note plus any accrued but unpaid interest. The noteholder also has the option of requiring us to redeem the SPA Note if we undergo a fundamental change at a price equal to 107% of the then-outstanding principal amount under the SPA Note plus any accrued interest.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table presents the major components of net cash flows from and used in operating, investing, and financing activities for the three months ended March 31, 2022, and 2021:</w:t>
      </w:r>
    </w:p>
    <w:p>
      <w:pPr>
        <w:sectPr>
          <w:pgSz w:w="11900" w:h="16838" w:orient="portrait"/>
          <w:cols w:equalWidth="0" w:num="1">
            <w:col w:w="11200"/>
          </w:cols>
          <w:pgMar w:left="320" w:top="877" w:right="379"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42607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increase in cash, cash equivalents, and restricted cash</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(34,171)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(7,279)</w:t>
            </w:r>
          </w:p>
        </w:tc>
      </w:tr>
      <w:tr>
        <w:trPr>
          <w:trHeight w:val="229"/>
        </w:trPr>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(13,365)</w:t>
            </w:r>
          </w:p>
        </w:tc>
        <w:tc>
          <w:tcPr>
            <w:tcW w:w="1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90,727</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137,197</w:t>
            </w:r>
          </w:p>
        </w:tc>
        <w:tc>
          <w:tcPr>
            <w:tcW w:w="40" w:type="dxa"/>
            <w:vAlign w:val="bottom"/>
          </w:tcPr>
          <w:p>
            <w:pPr>
              <w:spacing w:after="0"/>
              <w:rPr>
                <w:sz w:val="20"/>
                <w:szCs w:val="20"/>
                <w:color w:val="auto"/>
              </w:rPr>
            </w:pP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43,191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129,776</w:t>
            </w:r>
          </w:p>
        </w:tc>
        <w:tc>
          <w:tcPr>
            <w:tcW w:w="40" w:type="dxa"/>
            <w:vAlign w:val="bottom"/>
          </w:tcPr>
          <w:p>
            <w:pPr>
              <w:spacing w:after="0"/>
              <w:rPr>
                <w:sz w:val="21"/>
                <w:szCs w:val="21"/>
                <w:color w:val="auto"/>
              </w:rPr>
            </w:pP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960" w:space="720"/>
            <w:col w:w="2520"/>
          </w:cols>
          <w:pgMar w:left="320" w:top="877" w:right="379" w:bottom="1440" w:gutter="0" w:footer="0" w:header="0"/>
          <w:type w:val="continuous"/>
        </w:sectPr>
      </w:pPr>
    </w:p>
    <w:p>
      <w:pPr>
        <w:spacing w:after="0" w:line="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the three months ended March 31, 2022, we incurred a net loss of $(8.9) million, which included non-cash expenses of $1.1 million related to depreciation and amortization, $953 thousand in connection with the issuance and acceleration of stock options, debt issuance costs of $2.7 million, non-cash interest income of $406 thousand related to TTK Solutions, and gain attributed to non-controlling interest in the amount of $1 thousand. Net cash was reduced by a $838 thousand increase in accounts receivable, a $2.4 million decrease in deferred revenue, a $16.4 million increase in inventory due to demand forecast, and a $3.0 million increase in prepaid expenses, a $2.1 million increase in accrued expenses and other current liabilities and $2.7 million decrease in accounts payable.</w:t>
      </w:r>
    </w:p>
    <w:p>
      <w:pPr>
        <w:spacing w:after="0" w:line="19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For the three months ended March 31, 2021, we incurred a net loss of $(3.8) million, which includes non-cash expenses of $147 thousand related to depreciation and amortization, $2.1 million in connection with the issuance and acceleration of stock options, non-cash interest expenses of $33 thousand related to leases and the issuance of notes payable, partially offset by a gain of $2.7 million related to extinguishment of notes payable, loss attributed to non-controlling interest in the amount of $(33) thousand. Net cash was reduced by a $5.2 million increase in accounts receivable, a $3.3 million increase in prepaid inventory due to demand forecast, a $2.2 million increase in prepaid expenses, and a $96 thousand increase in deferred revenue, partially offset by a $7.4 million increase in accrued expenses ($6 million related to construction cots), and a $181 thousand increase in accounts payable.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2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Net cash used in investing activities primarily relates to net purchases of marketable securities, cash paid associated with the Company’s 2022 acquisition of Lab Society, the issuance of loans receivable in connection with the Company’s financing of construction and equipment under its TTK Solutions offering, and for purchases of property and equipment, expenditures, and purchase of marketable securities. The capital expenditures support growth and investment in property and equipment, to expand research, development, and testing capabilities and, to a lesser extent, the replacement of existing equipment.</w:t>
      </w:r>
    </w:p>
    <w:p>
      <w:pPr>
        <w:spacing w:after="0" w:line="188"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For the three months ended March 31, 2022, net cash used in investing activities was $(13.4) million, which included cash outflows of $6.4 million in net purchases of marketable securities, $3.5 million paid in connection with our 2022 acquisitions of Lab Society, $12.5 million related to the issuance of TTK-related loans receivable, and $3.7 million of expenditures for property and equipment.</w:t>
      </w:r>
    </w:p>
    <w:p>
      <w:pPr>
        <w:spacing w:after="0" w:line="18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For the three months ended March 31, 2021, net cash used in investing activities was $(142) thousand for leasehold improvements, purchasing computer equipment and small machinery.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the three months ended March 31, 2022, net cash provided by financing activities was $90.7 million. Net cash provided by financing activities was primarily driven by the Company’s two private placements during 2022. The Company received $65.0 million in net proceeds from our issuance of Common Stock and warrants in a private placement, and $25.8 million in net proceeds from our issuance of debt and warrants in a private placement. Additionally, the Company received $11 thousand in proceeds from the exercise of stock options and warrants. Each of the above inflows of cash was offset by $81 thousand in payments relating to financing leases.</w:t>
      </w:r>
    </w:p>
    <w:p>
      <w:pPr>
        <w:spacing w:after="0" w:line="18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For the three months ended March 31, 2021, net cash provided by financing activities was $137 million, attributable to $57 million proceeds from our initial IPO, $80 million from our secondary public offering, both net of fees, and proceeds from the exercise of options and warrants of $444 thousand, slightly offset by $47 thousand payments relating to financing 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Part I, Item, 2, "Management’s Discussion and Analysis of Financial Condition and Results of Operations” discusses our consolidated financial statements, which have been prepared in accordance with GAAP. The preparation of these consolidated financial statements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may differ from these estimates under different assumptions or conditions.</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7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significant accounting policies and estimates that have been adopted and followed in the preparation of our consolidated financial statements are detailed in Note 2 - Summary of Significant Accounting Policies included in our 2021 Annual Report and Note 2 - Summary of Significant Accounting Policies to our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Adopted</w:t>
      </w:r>
    </w:p>
    <w:p>
      <w:pPr>
        <w:spacing w:after="0" w:line="229" w:lineRule="exact"/>
        <w:rPr>
          <w:sz w:val="20"/>
          <w:szCs w:val="20"/>
          <w:color w:val="auto"/>
        </w:rPr>
      </w:pPr>
    </w:p>
    <w:p>
      <w:pPr>
        <w:ind w:right="400" w:firstLine="374"/>
        <w:spacing w:after="0" w:line="308" w:lineRule="auto"/>
        <w:rPr>
          <w:sz w:val="20"/>
          <w:szCs w:val="20"/>
          <w:color w:val="auto"/>
        </w:rPr>
      </w:pPr>
      <w:r>
        <w:rPr>
          <w:rFonts w:ascii="Arial" w:cs="Arial" w:eastAsia="Arial" w:hAnsi="Arial"/>
          <w:sz w:val="17"/>
          <w:szCs w:val="17"/>
          <w:color w:val="auto"/>
        </w:rPr>
        <w:t>For more information on recently issued accounting pronouncements are included within Note 3 – Recent Accounting Pronouncements, included elsewhere in the notes to consolidated financial statements covered under Part I, Item 1 of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9" w:lineRule="exact"/>
        <w:rPr>
          <w:sz w:val="20"/>
          <w:szCs w:val="20"/>
          <w:color w:val="auto"/>
        </w:rPr>
      </w:pPr>
    </w:p>
    <w:p>
      <w:pPr>
        <w:ind w:right="20" w:firstLine="374"/>
        <w:spacing w:after="0" w:line="308" w:lineRule="auto"/>
        <w:rPr>
          <w:sz w:val="20"/>
          <w:szCs w:val="20"/>
          <w:color w:val="auto"/>
        </w:rPr>
      </w:pPr>
      <w:r>
        <w:rPr>
          <w:rFonts w:ascii="Arial" w:cs="Arial" w:eastAsia="Arial" w:hAnsi="Arial"/>
          <w:sz w:val="17"/>
          <w:szCs w:val="17"/>
          <w:color w:val="auto"/>
        </w:rPr>
        <w:t>For more information on new accounting pronouncements not yet adopted are included within Note 3 – Recent Accounting Pronouncements, included elsewhere in the notes to consolidated financial statements covered under Part I, Item 1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“smaller reporting company” as defined by Item 10 of Regulation S-K, the Company is not required to provide information required by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Disclosure controls and procedures (as defined in paragraph (e) of Rules 13a-15 and 15d-15 under the Exchange Act) are controls and other procedures that are designed to ensure that the information required to be disclosed in reports that we file or submit under the Exchange Act is recorded, processed, summarized and reported within the time periods specified under the rules and forms of the SEC. Disclosure controls and procedures include, without limitation, controls and procedures designed to ensure that such information required to be disclosed in our reports filed or submitted under the Exchange Act is accumulated and communicated to our management, including our Chief Executive Officer and our Chief Financial Officer, as appropriate to allow timely decisions regarding required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As required by paragraph (b) of Rules 13a-15 and 15d-15 under the Exchange Act, our Chief Executive Officer and our Chief Financial Officer carried out an evaluation of the effectiveness of the design and operation of our disclosure controls and procedures as of March 31, 2022. Based on this evaluation, our Chief Executive Officer and our Chief Financial Officer concluded that, due to the material weaknesses in our internal control over financial reporting previously identified in Item 9A, “Controls and Procedures” of our Annual Report on Form 10-K for the fiscal year ended December 31, 2021 and filed with the SEC on March 31, 2022, our disclosure controls and procedures were not effective at the reasonable assurance level as of March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implementing certain measures to remediate the material weaknesses identified in the design and operation of our internal control over financial reporting, including hiring additional qualified personnel, further documentation and implementation of control procedures and the implementation of control monitoring. Other than those measures, there have been no changes in our internal control over financial reporting (as such term is defined in Rules 13a-15(f) and 15d-15(f) under the Exchange Act)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From time to time, we are a party to various legal proceedings or claims arising in the ordinary course of business. For information related to legal proceedings, see the discussion under the caption Legal Proceedings in Note 21 - Commitments and Contingencies to our consolidated financial statements included in Part I, Item 1 of this Quarterly Report, which information is incorporated by reference into this Part II, Item 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the date of this report, there are no material changes to our risk factors as previously disclosed in Part I, Item 1A of our Annual Report on Form 10-K for the year ended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1"/>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21"/>
            <w:shd w:val="clear" w:color="auto" w:fill="CCEEFF"/>
          </w:tcPr>
          <w:p>
            <w:pPr>
              <w:ind w:left="20"/>
              <w:spacing w:after="0" w:line="176" w:lineRule="exact"/>
              <w:rPr>
                <w:rFonts w:ascii="Arial" w:cs="Arial" w:eastAsia="Arial" w:hAnsi="Arial"/>
                <w:sz w:val="18"/>
                <w:szCs w:val="18"/>
                <w:color w:val="0000EE"/>
                <w:w w:val="96"/>
              </w:rPr>
            </w:pPr>
            <w:hyperlink r:id="rId99">
              <w:r>
                <w:rPr>
                  <w:rFonts w:ascii="Arial" w:cs="Arial" w:eastAsia="Arial" w:hAnsi="Arial"/>
                  <w:sz w:val="18"/>
                  <w:szCs w:val="18"/>
                  <w:color w:val="0000EE"/>
                  <w:w w:val="96"/>
                </w:rPr>
                <w:t>Merger Agreement, dated as of February 1, 2022, among the Registrant, LS Holdings Corp., Lab Society NewCo, LLC, Michael S.</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21"/>
            <w:shd w:val="clear" w:color="auto" w:fill="CCEEFF"/>
          </w:tcPr>
          <w:p>
            <w:pPr>
              <w:ind w:left="20"/>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Maibach Jr. as Owner Representative, and each of the Owners named therein (incorporated by reference to Exhibit 2.1 to the Registrant’s</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EE"/>
            </w:tcBorders>
            <w:gridSpan w:val="18"/>
            <w:shd w:val="clear" w:color="auto" w:fill="CCEEFF"/>
          </w:tcPr>
          <w:p>
            <w:pPr>
              <w:ind w:left="20"/>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Current Report on Form 8-K filed with the Securities and Exchange Commission on February 2, 2022).</w:t>
              </w:r>
            </w:hyperlink>
          </w:p>
        </w:tc>
        <w:tc>
          <w:tcPr>
            <w:tcW w:w="120" w:type="dxa"/>
            <w:vAlign w:val="bottom"/>
            <w:tcBorders>
              <w:top w:val="single" w:sz="8" w:color="CCEEFF"/>
            </w:tcBorders>
            <w:gridSpan w:val="3"/>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9940" w:type="dxa"/>
            <w:vAlign w:val="bottom"/>
            <w:tcBorders>
              <w:bottom w:val="single" w:sz="8" w:color="0000EE"/>
            </w:tcBorders>
            <w:gridSpan w:val="20"/>
          </w:tcPr>
          <w:p>
            <w:pPr>
              <w:ind w:left="20"/>
              <w:spacing w:after="0" w:line="17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Form of Pre-Funded Warrant dated January 28, 2022 (incorporated by reference to Exhibit 4.1 to the Registrant’s Current Report on Form</w:t>
              </w:r>
            </w:hyperlink>
          </w:p>
        </w:tc>
        <w:tc>
          <w:tcPr>
            <w:tcW w:w="6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8-K filed with the Securities and Exchange Commission on January 26, 2022).</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Form of Common Stock Purchase Warrant dated January 28, 2022 (incorporated by reference to Exhibit 4.1 to the Registrant’s Current</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720" w:type="dxa"/>
            <w:vAlign w:val="bottom"/>
            <w:tcBorders>
              <w:top w:val="single" w:sz="8" w:color="0000EE"/>
            </w:tcBorders>
            <w:gridSpan w:val="17"/>
            <w:shd w:val="clear" w:color="auto" w:fill="CCEEFF"/>
          </w:tcPr>
          <w:p>
            <w:pPr>
              <w:ind w:left="20"/>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Report on Form 8-K filed with the Securities and Exchange Commission on January 26, 2022).</w:t>
              </w:r>
            </w:hyperlink>
          </w:p>
        </w:tc>
        <w:tc>
          <w:tcPr>
            <w:tcW w:w="280" w:type="dxa"/>
            <w:vAlign w:val="bottom"/>
            <w:tcBorders>
              <w:top w:val="single" w:sz="8" w:color="CCEEFF"/>
            </w:tcBorders>
            <w:gridSpan w:val="4"/>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10000" w:type="dxa"/>
            <w:vAlign w:val="bottom"/>
            <w:gridSpan w:val="21"/>
          </w:tcPr>
          <w:p>
            <w:pPr>
              <w:ind w:left="20"/>
              <w:spacing w:after="0" w:line="17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Form of Common Stock Purchase Warrant (incorporated by reference to Exhibit 4.1 to the Registrant’s Current Report on Form 8-K filed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top w:val="single" w:sz="8" w:color="0000EE"/>
            </w:tcBorders>
            <w:gridSpan w:val="19"/>
          </w:tcPr>
          <w:p>
            <w:pPr>
              <w:ind w:left="20"/>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with the Securities and Exchange Commission on March 18, 2022)</w:t>
              </w:r>
              <w:r>
                <w:rPr>
                  <w:rFonts w:ascii="Arial" w:cs="Arial" w:eastAsia="Arial" w:hAnsi="Arial"/>
                  <w:sz w:val="18"/>
                  <w:szCs w:val="18"/>
                  <w:color w:val="000000"/>
                </w:rPr>
                <w:t>.</w:t>
              </w:r>
            </w:hyperlink>
          </w:p>
        </w:tc>
        <w:tc>
          <w:tcPr>
            <w:tcW w:w="10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Form of Senior Secured Note (incorporated by reference to Exhibit 4.2 to the Registrant’s Current Report on Form 8-K filed with the</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580" w:type="dxa"/>
            <w:vAlign w:val="bottom"/>
            <w:tcBorders>
              <w:top w:val="single" w:sz="8" w:color="0000EE"/>
            </w:tcBorders>
            <w:gridSpan w:val="16"/>
            <w:shd w:val="clear" w:color="auto" w:fill="CCEEFF"/>
          </w:tcPr>
          <w:p>
            <w:pPr>
              <w:ind w:left="20"/>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Securities and Exchange Commission on March 18, 2022)</w:t>
              </w:r>
              <w:r>
                <w:rPr>
                  <w:rFonts w:ascii="Arial" w:cs="Arial" w:eastAsia="Arial" w:hAnsi="Arial"/>
                  <w:sz w:val="18"/>
                  <w:szCs w:val="18"/>
                  <w:color w:val="000000"/>
                </w:rPr>
                <w:t>.</w:t>
              </w:r>
            </w:hyperlink>
          </w:p>
        </w:tc>
        <w:tc>
          <w:tcPr>
            <w:tcW w:w="420" w:type="dxa"/>
            <w:vAlign w:val="bottom"/>
            <w:tcBorders>
              <w:top w:val="single" w:sz="8" w:color="CCEEFF"/>
            </w:tcBorders>
            <w:gridSpan w:val="5"/>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10.1†</w:t>
            </w:r>
          </w:p>
        </w:tc>
        <w:tc>
          <w:tcPr>
            <w:tcW w:w="9140" w:type="dxa"/>
            <w:vAlign w:val="bottom"/>
            <w:tcBorders>
              <w:bottom w:val="single" w:sz="8" w:color="0000EE"/>
            </w:tcBorders>
            <w:gridSpan w:val="13"/>
          </w:tcPr>
          <w:p>
            <w:pPr>
              <w:ind w:left="20"/>
              <w:spacing w:after="0" w:line="17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Form of Securities Purchase Agreement, dated as of January 25, 2022, between the Registrant and the Purchasers party thereto</w:t>
              </w:r>
            </w:hyperlink>
          </w:p>
        </w:tc>
        <w:tc>
          <w:tcPr>
            <w:tcW w:w="860" w:type="dxa"/>
            <w:vAlign w:val="bottom"/>
            <w:gridSpan w:val="8"/>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w w:val="97"/>
              </w:rPr>
            </w:pPr>
            <w:hyperlink r:id="rId104">
              <w:r>
                <w:rPr>
                  <w:rFonts w:ascii="Arial" w:cs="Arial" w:eastAsia="Arial" w:hAnsi="Arial"/>
                  <w:sz w:val="18"/>
                  <w:szCs w:val="18"/>
                  <w:color w:val="0000EE"/>
                  <w:w w:val="97"/>
                </w:rPr>
                <w:t>(incorporated by reference to Exhibit 10.1 to the Registrant’s Current Report on Form 8-K filed with the Securities and Exchange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Commission on January 26, 2022.</w:t>
              </w:r>
            </w:hyperlink>
          </w:p>
        </w:tc>
        <w:tc>
          <w:tcPr>
            <w:tcW w:w="68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9120" w:type="dxa"/>
            <w:vAlign w:val="bottom"/>
            <w:tcBorders>
              <w:bottom w:val="single" w:sz="8" w:color="0000EE"/>
            </w:tcBorders>
            <w:gridSpan w:val="12"/>
            <w:shd w:val="clear" w:color="auto" w:fill="CCEEFF"/>
          </w:tcPr>
          <w:p>
            <w:pPr>
              <w:ind w:left="20"/>
              <w:spacing w:after="0" w:line="17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Form of Registration Rights Agreement, dated as of January 25, 2022, between the Registrant and the Purchasers party thereto</w:t>
              </w:r>
            </w:hyperlink>
          </w:p>
        </w:tc>
        <w:tc>
          <w:tcPr>
            <w:tcW w:w="88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21"/>
            <w:shd w:val="clear" w:color="auto" w:fill="CCEEFF"/>
          </w:tcPr>
          <w:p>
            <w:pPr>
              <w:ind w:left="20"/>
              <w:spacing w:after="0" w:line="196" w:lineRule="exact"/>
              <w:rPr>
                <w:rFonts w:ascii="Arial" w:cs="Arial" w:eastAsia="Arial" w:hAnsi="Arial"/>
                <w:sz w:val="18"/>
                <w:szCs w:val="18"/>
                <w:color w:val="0000EE"/>
                <w:w w:val="97"/>
              </w:rPr>
            </w:pPr>
            <w:hyperlink r:id="rId105">
              <w:r>
                <w:rPr>
                  <w:rFonts w:ascii="Arial" w:cs="Arial" w:eastAsia="Arial" w:hAnsi="Arial"/>
                  <w:sz w:val="18"/>
                  <w:szCs w:val="18"/>
                  <w:color w:val="0000EE"/>
                  <w:w w:val="97"/>
                </w:rPr>
                <w:t>(incorporated by reference to Exhibit 10.2 to the Registrant’s Current Report on Form 8-K filed with the Securities and Exchange</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320" w:type="dxa"/>
            <w:vAlign w:val="bottom"/>
            <w:tcBorders>
              <w:top w:val="single" w:sz="8" w:color="0000EE"/>
            </w:tcBorders>
            <w:gridSpan w:val="14"/>
            <w:shd w:val="clear" w:color="auto" w:fill="CCEEFF"/>
          </w:tcPr>
          <w:p>
            <w:pPr>
              <w:ind w:left="20"/>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Commission on January 26, 2022.</w:t>
              </w:r>
            </w:hyperlink>
          </w:p>
        </w:tc>
        <w:tc>
          <w:tcPr>
            <w:tcW w:w="680" w:type="dxa"/>
            <w:vAlign w:val="bottom"/>
            <w:tcBorders>
              <w:top w:val="single" w:sz="8" w:color="CCEEFF"/>
            </w:tcBorders>
            <w:gridSpan w:val="7"/>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10.3†</w:t>
            </w:r>
          </w:p>
        </w:tc>
        <w:tc>
          <w:tcPr>
            <w:tcW w:w="10000" w:type="dxa"/>
            <w:vAlign w:val="bottom"/>
            <w:gridSpan w:val="21"/>
          </w:tcPr>
          <w:p>
            <w:pPr>
              <w:ind w:left="20"/>
              <w:spacing w:after="0" w:line="176" w:lineRule="exact"/>
              <w:rPr>
                <w:rFonts w:ascii="Arial" w:cs="Arial" w:eastAsia="Arial" w:hAnsi="Arial"/>
                <w:sz w:val="18"/>
                <w:szCs w:val="18"/>
                <w:color w:val="0000EE"/>
                <w:w w:val="95"/>
              </w:rPr>
            </w:pPr>
            <w:hyperlink r:id="rId106">
              <w:r>
                <w:rPr>
                  <w:rFonts w:ascii="Arial" w:cs="Arial" w:eastAsia="Arial" w:hAnsi="Arial"/>
                  <w:sz w:val="18"/>
                  <w:szCs w:val="18"/>
                  <w:color w:val="0000EE"/>
                  <w:w w:val="95"/>
                </w:rPr>
                <w:t>Form of Securities Purchase Agreement, dated as of March 14, 2022, between the Registrant and High Trail Special Situations LLC</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tcBorders>
              <w:top w:val="single" w:sz="8" w:color="0000EE"/>
            </w:tcBorders>
            <w:gridSpan w:val="15"/>
          </w:tcPr>
          <w:p>
            <w:pPr>
              <w:ind w:left="20"/>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(incorporated by reference to Exhibit 10.1 to the Registrant’s Current Report on Form 8-K filed with the Securities and Exchange</w:t>
              </w:r>
            </w:hyperlink>
          </w:p>
        </w:tc>
        <w:tc>
          <w:tcPr>
            <w:tcW w:w="50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Commission on March 18, 2022).</w:t>
              </w:r>
            </w:hyperlink>
          </w:p>
        </w:tc>
        <w:tc>
          <w:tcPr>
            <w:tcW w:w="68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Rule 13(a)-14(a)/15(d)-14(a) Certification of principal executive officer</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5"/>
                <w:szCs w:val="15"/>
                <w:color w:val="auto"/>
              </w:rPr>
            </w:pPr>
          </w:p>
        </w:tc>
        <w:tc>
          <w:tcPr>
            <w:tcW w:w="10000" w:type="dxa"/>
            <w:vAlign w:val="bottom"/>
            <w:gridSpan w:val="21"/>
          </w:tcPr>
          <w:p>
            <w:pPr>
              <w:ind w:left="2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Rule 13(a)-14(a)/15(d)-14(a) Certification of principal financial and accounting officer</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Section 1350 Certification of principal executive officer</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5"/>
                <w:szCs w:val="15"/>
                <w:color w:val="auto"/>
              </w:rPr>
            </w:pPr>
          </w:p>
        </w:tc>
        <w:tc>
          <w:tcPr>
            <w:tcW w:w="10000" w:type="dxa"/>
            <w:vAlign w:val="bottom"/>
            <w:gridSpan w:val="21"/>
          </w:tcPr>
          <w:p>
            <w:pPr>
              <w:ind w:left="2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Section 1350 Certification of principal financial and accounting officer</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8"/>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420" w:firstLine="8"/>
        <w:spacing w:after="0" w:line="413" w:lineRule="auto"/>
        <w:tabs>
          <w:tab w:leader="none" w:pos="12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 in accordance with Item 601 (b)(32) of Regulation S-K.</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Certain information has been omitted from this exhibit in reliance upon Item 601(a)(5) of Regulation 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7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Timothy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Timothy Oakes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16, 2022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31.1</w:t>
      </w:r>
    </w:p>
    <w:p>
      <w:pPr>
        <w:spacing w:after="0" w:line="21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Raymond Chang,</w:t>
      </w:r>
      <w:r>
        <w:rPr>
          <w:rFonts w:ascii="Arial" w:cs="Arial" w:eastAsia="Arial" w:hAnsi="Arial"/>
          <w:sz w:val="18"/>
          <w:szCs w:val="18"/>
          <w:color w:val="auto"/>
        </w:rPr>
        <w:t xml:space="preserve"> certify that:</w:t>
      </w:r>
    </w:p>
    <w:p>
      <w:pPr>
        <w:spacing w:after="0" w:line="22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Agrify Corporation (the “Company”) for the quarterly period ended March 31, 2022;</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80" w:right="340" w:hanging="335"/>
        <w:spacing w:after="0" w:line="263" w:lineRule="auto"/>
        <w:tabs>
          <w:tab w:leader="none" w:pos="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20" w:hanging="335"/>
        <w:spacing w:after="0" w:line="263" w:lineRule="auto"/>
        <w:tabs>
          <w:tab w:leader="none" w:pos="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80" w:right="840" w:hanging="335"/>
        <w:spacing w:after="0" w:line="342" w:lineRule="auto"/>
        <w:tabs>
          <w:tab w:leader="none" w:pos="6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60" w:hanging="335"/>
        <w:spacing w:after="0" w:line="263" w:lineRule="auto"/>
        <w:tabs>
          <w:tab w:leader="none" w:pos="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40" w:hanging="335"/>
        <w:spacing w:after="0" w:line="277" w:lineRule="auto"/>
        <w:tabs>
          <w:tab w:leader="none" w:pos="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0" w:hanging="335"/>
        <w:spacing w:after="0" w:line="277" w:lineRule="auto"/>
        <w:tabs>
          <w:tab w:leader="none" w:pos="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Date: May 16, 2022</w:t>
            </w:r>
          </w:p>
        </w:tc>
        <w:tc>
          <w:tcPr>
            <w:tcW w:w="3220" w:type="dxa"/>
            <w:vAlign w:val="bottom"/>
          </w:tcPr>
          <w:p>
            <w:pPr>
              <w:ind w:left="2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4100" w:type="dxa"/>
            <w:vAlign w:val="bottom"/>
          </w:tcPr>
          <w:p>
            <w:pPr>
              <w:spacing w:after="0"/>
              <w:rPr>
                <w:sz w:val="17"/>
                <w:szCs w:val="17"/>
                <w:color w:val="auto"/>
              </w:rPr>
            </w:pPr>
          </w:p>
        </w:tc>
        <w:tc>
          <w:tcPr>
            <w:tcW w:w="3220" w:type="dxa"/>
            <w:vAlign w:val="bottom"/>
          </w:tcPr>
          <w:p>
            <w:pPr>
              <w:ind w:left="2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Tim Oakes</w:t>
      </w:r>
      <w:r>
        <w:rPr>
          <w:rFonts w:ascii="Arial" w:cs="Arial" w:eastAsia="Arial" w:hAnsi="Arial"/>
          <w:sz w:val="18"/>
          <w:szCs w:val="18"/>
          <w:color w:val="auto"/>
        </w:rPr>
        <w:t>, certify that:</w:t>
      </w:r>
    </w:p>
    <w:p>
      <w:pPr>
        <w:spacing w:after="0" w:line="22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Agrify Corporation (the “Company”) for the quarterly period ended March 31, 2022;</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80" w:right="340" w:hanging="335"/>
        <w:spacing w:after="0" w:line="263" w:lineRule="auto"/>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20" w:hanging="335"/>
        <w:spacing w:after="0" w:line="263" w:lineRule="auto"/>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80" w:right="840" w:hanging="335"/>
        <w:spacing w:after="0" w:line="342" w:lineRule="auto"/>
        <w:tabs>
          <w:tab w:leader="none" w:pos="6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60" w:hanging="335"/>
        <w:spacing w:after="0" w:line="263" w:lineRule="auto"/>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40" w:hanging="335"/>
        <w:spacing w:after="0" w:line="277" w:lineRule="auto"/>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0" w:hanging="335"/>
        <w:spacing w:after="0" w:line="277" w:lineRule="auto"/>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Date: May 16, 2022</w:t>
            </w:r>
          </w:p>
        </w:tc>
        <w:tc>
          <w:tcPr>
            <w:tcW w:w="3220" w:type="dxa"/>
            <w:vAlign w:val="bottom"/>
          </w:tcPr>
          <w:p>
            <w:pPr>
              <w:ind w:left="2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Oakes</w:t>
            </w:r>
          </w:p>
        </w:tc>
      </w:tr>
      <w:tr>
        <w:trPr>
          <w:trHeight w:val="202"/>
        </w:trPr>
        <w:tc>
          <w:tcPr>
            <w:tcW w:w="4100" w:type="dxa"/>
            <w:vAlign w:val="bottom"/>
          </w:tcPr>
          <w:p>
            <w:pPr>
              <w:spacing w:after="0"/>
              <w:rPr>
                <w:sz w:val="17"/>
                <w:szCs w:val="17"/>
                <w:color w:val="auto"/>
              </w:rPr>
            </w:pPr>
          </w:p>
        </w:tc>
        <w:tc>
          <w:tcPr>
            <w:tcW w:w="3220" w:type="dxa"/>
            <w:vAlign w:val="bottom"/>
          </w:tcPr>
          <w:p>
            <w:pPr>
              <w:ind w:left="2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 Oakes</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on Form 10-Q of Agrify Corporation (the “Company”) for the quarterly period ended March 31,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Date: May 16, 2022</w:t>
            </w:r>
          </w:p>
        </w:tc>
        <w:tc>
          <w:tcPr>
            <w:tcW w:w="3220" w:type="dxa"/>
            <w:vAlign w:val="bottom"/>
          </w:tcPr>
          <w:p>
            <w:pPr>
              <w:ind w:left="2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4100" w:type="dxa"/>
            <w:vAlign w:val="bottom"/>
          </w:tcPr>
          <w:p>
            <w:pPr>
              <w:spacing w:after="0"/>
              <w:rPr>
                <w:sz w:val="17"/>
                <w:szCs w:val="17"/>
                <w:color w:val="auto"/>
              </w:rPr>
            </w:pPr>
          </w:p>
        </w:tc>
        <w:tc>
          <w:tcPr>
            <w:tcW w:w="3220" w:type="dxa"/>
            <w:vAlign w:val="bottom"/>
          </w:tcPr>
          <w:p>
            <w:pPr>
              <w:ind w:left="2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on Form 10-Q of Agrify Corporation (the “Company”) for the quarterly period ended March 31,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Date: May 16, 2022</w:t>
            </w:r>
          </w:p>
        </w:tc>
        <w:tc>
          <w:tcPr>
            <w:tcW w:w="3220" w:type="dxa"/>
            <w:vAlign w:val="bottom"/>
          </w:tcPr>
          <w:p>
            <w:pPr>
              <w:ind w:left="2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Oakes</w:t>
            </w:r>
          </w:p>
        </w:tc>
      </w:tr>
      <w:tr>
        <w:trPr>
          <w:trHeight w:val="202"/>
        </w:trPr>
        <w:tc>
          <w:tcPr>
            <w:tcW w:w="4100" w:type="dxa"/>
            <w:vAlign w:val="bottom"/>
          </w:tcPr>
          <w:p>
            <w:pPr>
              <w:spacing w:after="0"/>
              <w:rPr>
                <w:sz w:val="17"/>
                <w:szCs w:val="17"/>
                <w:color w:val="auto"/>
              </w:rPr>
            </w:pPr>
          </w:p>
        </w:tc>
        <w:tc>
          <w:tcPr>
            <w:tcW w:w="3220" w:type="dxa"/>
            <w:vAlign w:val="bottom"/>
          </w:tcPr>
          <w:p>
            <w:pPr>
              <w:ind w:left="2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 Oakes</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emdash "/>
      <w:numFmt w:val="bullet"/>
      <w:start w:val="1"/>
    </w:lvl>
    <w:lvl w:ilvl="1">
      <w:lvlJc w:val="left"/>
      <w:lvlText w:val="9"/>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99" Type="http://schemas.openxmlformats.org/officeDocument/2006/relationships/hyperlink" Target="https://www.sec.gov/Archives/edgar/data/1800637/000121390022004925/ea154783ex2-1_agrifycorp.htm" TargetMode="External"/><Relationship Id="rId100" Type="http://schemas.openxmlformats.org/officeDocument/2006/relationships/hyperlink" Target="https://www.sec.gov/Archives/edgar/data/0001800637/000121390022003773/ea154520ex4-1_agrify.htm" TargetMode="External"/><Relationship Id="rId101" Type="http://schemas.openxmlformats.org/officeDocument/2006/relationships/hyperlink" Target="http://www.sec.gov/Archives/edgar/data/1800637/000121390022003773/ea154520ex4-2_agrify.htm" TargetMode="External"/><Relationship Id="rId102" Type="http://schemas.openxmlformats.org/officeDocument/2006/relationships/hyperlink" Target="http://www.sec.gov/Archives/edgar/data/1800637/000121390022013613/ea157101ex4-1_agrifycorp.htm" TargetMode="External"/><Relationship Id="rId103" Type="http://schemas.openxmlformats.org/officeDocument/2006/relationships/hyperlink" Target="https://www.sec.gov/Archives/edgar/data/1800637/000121390022013613/ea157101ex4-2_agrifycorp.htm" TargetMode="External"/><Relationship Id="rId104" Type="http://schemas.openxmlformats.org/officeDocument/2006/relationships/hyperlink" Target="https://www.sec.gov/Archives/edgar/data/1800637/000121390022003773/ea154520ex10-1_agrify.htm" TargetMode="External"/><Relationship Id="rId105" Type="http://schemas.openxmlformats.org/officeDocument/2006/relationships/hyperlink" Target="http://www.sec.gov/Archives/edgar/data/1800637/000121390022003773/ea154520ex10-2_agrify.htm" TargetMode="External"/><Relationship Id="rId106" Type="http://schemas.openxmlformats.org/officeDocument/2006/relationships/hyperlink" Target="https://www.sec.gov/Archives/edgar/data/1800637/000121390022013613/ea157101ex10-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2022-05-16T17:21:08Z</dcterms:created>
  <dcterms:modified xsi:type="dcterms:W3CDTF">2022-05-16T17:21:08Z</dcterms:modified>
</cp:coreProperties>
</file>