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58"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jc w:val="center"/>
        <w:ind w:left="3500" w:right="940" w:hanging="2559"/>
        <w:spacing w:after="0" w:line="422" w:lineRule="auto"/>
        <w:tabs>
          <w:tab w:leader="none" w:pos="113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114300</wp:posOffset>
            </wp:positionV>
            <wp:extent cx="77152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85"/>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3"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December 21, 2023</w:t>
            </w:r>
          </w:p>
        </w:tc>
      </w:tr>
      <w:tr>
        <w:trPr>
          <w:trHeight w:val="209"/>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1,701,243</w:t>
            </w:r>
          </w:p>
        </w:tc>
      </w:tr>
      <w:tr>
        <w:trPr>
          <w:trHeight w:val="216"/>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879"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14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2023 (unaudited) and December 31,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rPr>
                <w:sz w:val="15"/>
                <w:szCs w:val="15"/>
                <w:color w:val="auto"/>
              </w:rPr>
            </w:pP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2023 (unaudited) and</w:t>
            </w:r>
          </w:p>
        </w:tc>
        <w:tc>
          <w:tcPr>
            <w:tcW w:w="1000" w:type="dxa"/>
            <w:vAlign w:val="bottom"/>
            <w:shd w:val="clear" w:color="auto" w:fill="CCEEFF"/>
          </w:tcPr>
          <w:p>
            <w:pPr>
              <w:spacing w:after="0"/>
              <w:rPr>
                <w:sz w:val="15"/>
                <w:szCs w:val="15"/>
                <w:color w:val="auto"/>
              </w:rPr>
            </w:pPr>
          </w:p>
        </w:tc>
      </w:tr>
      <w:tr>
        <w:trPr>
          <w:trHeight w:val="217"/>
        </w:trPr>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960" w:type="dxa"/>
            <w:vAlign w:val="bottom"/>
            <w:tcBorders>
              <w:top w:val="single" w:sz="8" w:color="0000EE"/>
            </w:tcBorders>
            <w:gridSpan w:val="22"/>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2022 (unaudited)</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rPr>
                <w:sz w:val="15"/>
                <w:szCs w:val="15"/>
                <w:color w:val="auto"/>
              </w:rPr>
            </w:pP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and nine months ended September 30, 2023</w:t>
            </w:r>
          </w:p>
        </w:tc>
        <w:tc>
          <w:tcPr>
            <w:tcW w:w="1000" w:type="dxa"/>
            <w:vAlign w:val="bottom"/>
            <w:shd w:val="clear" w:color="auto" w:fill="CCEEFF"/>
          </w:tcPr>
          <w:p>
            <w:pPr>
              <w:spacing w:after="0"/>
              <w:rPr>
                <w:sz w:val="15"/>
                <w:szCs w:val="15"/>
                <w:color w:val="auto"/>
              </w:rPr>
            </w:pPr>
          </w:p>
        </w:tc>
      </w:tr>
      <w:tr>
        <w:trPr>
          <w:trHeight w:val="217"/>
        </w:trPr>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180" w:type="dxa"/>
            <w:vAlign w:val="bottom"/>
            <w:tcBorders>
              <w:top w:val="single" w:sz="8" w:color="0000EE"/>
            </w:tcBorders>
            <w:gridSpan w:val="23"/>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(unaudited) and 2022 (unaudited)</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rPr>
                <w:sz w:val="15"/>
                <w:szCs w:val="15"/>
                <w:color w:val="auto"/>
              </w:rPr>
            </w:pP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2023 (unaudited) and 2022</w:t>
            </w:r>
          </w:p>
        </w:tc>
        <w:tc>
          <w:tcPr>
            <w:tcW w:w="1000" w:type="dxa"/>
            <w:vAlign w:val="bottom"/>
            <w:shd w:val="clear" w:color="auto" w:fill="CCEEFF"/>
          </w:tcPr>
          <w:p>
            <w:pPr>
              <w:spacing w:after="0"/>
              <w:rPr>
                <w:sz w:val="15"/>
                <w:szCs w:val="15"/>
                <w:color w:val="auto"/>
              </w:rPr>
            </w:pPr>
          </w:p>
        </w:tc>
      </w:tr>
      <w:tr>
        <w:trPr>
          <w:trHeight w:val="217"/>
        </w:trPr>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0000EE"/>
            </w:tcBorders>
            <w:gridSpan w:val="20"/>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620" w:type="dxa"/>
            <w:vAlign w:val="bottom"/>
            <w:tcBorders>
              <w:top w:val="single" w:sz="8" w:color="CCEEFF"/>
            </w:tcBorders>
            <w:gridSpan w:val="4"/>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$2,535 and $4,605 at September 30, 2023 and December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2022,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$29,845 and $32,759 at September 30, 2023 and December 31, 2022,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21,396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 receivable, net of allowance for credit losses of $19,215 and $33,050 at September 30, 2023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11,298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69,687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16,380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41,372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18,998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10,000,000 and 5,000,000 shares authorized at September 30, 2023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2022, respectively, 1,651,281 and 1,038,298 shares issued and outstanding at September 30, 2023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2022, respectively (1)</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244,898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237,875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(266,374)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(247,148)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 attributable to Agrify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43,065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69,687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52"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$0, $46, and $1,763 from related parties, respectively)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2,165</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11,135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11,447</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50,703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16,066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(4,578</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(31,547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(132,843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16,268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47,234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(4,631)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(57,412)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(130,492)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(57,412)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(130,230)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attributable to non-controlling interest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1,649,741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1,426,016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reverse stock splits may be found in Note 1 – Overview, Basis of Presentation, and Significant Accounting Policies, included elsewhere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A Stock</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6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8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8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Paid-in-Capital</w:t>
            </w: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Agrify</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80"/>
        </w:trPr>
        <w:tc>
          <w:tcPr>
            <w:tcW w:w="16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January</w:t>
            </w: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1, 2022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111,035</w:t>
            </w:r>
          </w:p>
        </w:tc>
        <w:tc>
          <w:tcPr>
            <w:tcW w:w="5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196,034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137,059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137,424</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and warrants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private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12,252</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14,800</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Lab</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Society</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5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8,138</w:t>
            </w:r>
          </w:p>
        </w:tc>
        <w:tc>
          <w:tcPr>
            <w:tcW w:w="5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(72,824)</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(72,824)</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(72,820)</w:t>
            </w:r>
          </w:p>
        </w:tc>
        <w:tc>
          <w:tcPr>
            <w:tcW w:w="0" w:type="dxa"/>
            <w:vAlign w:val="bottom"/>
          </w:tcPr>
          <w:p>
            <w:pPr>
              <w:spacing w:after="0"/>
              <w:rPr>
                <w:sz w:val="1"/>
                <w:szCs w:val="1"/>
                <w:color w:val="auto"/>
              </w:rPr>
            </w:pPr>
          </w:p>
        </w:tc>
      </w:tr>
      <w:tr>
        <w:trPr>
          <w:trHeight w:val="167"/>
        </w:trPr>
        <w:tc>
          <w:tcPr>
            <w:tcW w:w="166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132,957</w:t>
            </w:r>
          </w:p>
        </w:tc>
        <w:tc>
          <w:tcPr>
            <w:tcW w:w="5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214,652</w:t>
            </w: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(131,799)</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82,853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83,222</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in connection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acquisition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5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2,220</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 of warrant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5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(57,413)</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(57,413)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(57,412)</w:t>
            </w:r>
          </w:p>
        </w:tc>
        <w:tc>
          <w:tcPr>
            <w:tcW w:w="0" w:type="dxa"/>
            <w:vAlign w:val="bottom"/>
          </w:tcPr>
          <w:p>
            <w:pPr>
              <w:spacing w:after="0"/>
              <w:rPr>
                <w:sz w:val="1"/>
                <w:szCs w:val="1"/>
                <w:color w:val="auto"/>
              </w:rPr>
            </w:pPr>
          </w:p>
        </w:tc>
      </w:tr>
      <w:tr>
        <w:trPr>
          <w:trHeight w:val="180"/>
        </w:trPr>
        <w:tc>
          <w:tcPr>
            <w:tcW w:w="16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134,550</w:t>
            </w:r>
          </w:p>
        </w:tc>
        <w:tc>
          <w:tcPr>
            <w:tcW w:w="5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218,523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spacing w:after="0" w:line="278" w:lineRule="exact"/>
              <w:rPr>
                <w:sz w:val="20"/>
                <w:szCs w:val="20"/>
                <w:color w:val="auto"/>
              </w:rPr>
            </w:pPr>
            <w:r>
              <w:rPr>
                <w:rFonts w:ascii="Times New Roman" w:cs="Times New Roman" w:eastAsia="Times New Roman" w:hAnsi="Times New Roman"/>
                <w:sz w:val="17"/>
                <w:szCs w:val="17"/>
                <w:b w:val="1"/>
                <w:bCs w:val="1"/>
                <w:color w:val="auto"/>
              </w:rPr>
              <w:t>(189,212</w:t>
            </w:r>
            <w:r>
              <w:rPr>
                <w:rFonts w:ascii="Times New Roman" w:cs="Times New Roman" w:eastAsia="Times New Roman" w:hAnsi="Times New Roman"/>
                <w:sz w:val="32"/>
                <w:szCs w:val="32"/>
                <w:b w:val="1"/>
                <w:bCs w:val="1"/>
                <w:color w:val="auto"/>
                <w:vertAlign w:val="superscript"/>
              </w:rPr>
              <w:t>)</w:t>
            </w:r>
            <w:r>
              <w:rPr>
                <w:rFonts w:ascii="Times New Roman" w:cs="Times New Roman" w:eastAsia="Times New Roman" w:hAnsi="Times New Roman"/>
                <w:sz w:val="17"/>
                <w:szCs w:val="17"/>
                <w:b w:val="1"/>
                <w:bCs w:val="1"/>
                <w:color w:val="auto"/>
              </w:rPr>
              <w:t xml:space="preserve"> $</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29,311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370</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29,681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A Stock</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160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6"/>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58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attributable  Non-Controlling</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Paid-in-Capital</w:t>
            </w: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Agrify</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80"/>
        </w:trPr>
        <w:tc>
          <w:tcPr>
            <w:tcW w:w="16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January</w:t>
            </w: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1, 2023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1,038,298</w:t>
            </w:r>
          </w:p>
        </w:tc>
        <w:tc>
          <w:tcPr>
            <w:tcW w:w="5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237,875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(247,148)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(9,272)</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through an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the market”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net of</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323,082</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held-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back shares to Lab</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Society</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5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to Pure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Pressure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prefunded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in private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Note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69,567</w:t>
            </w:r>
          </w:p>
        </w:tc>
        <w:tc>
          <w:tcPr>
            <w:tcW w:w="5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2,146</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153,617</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1,172</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5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(17,134)</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(17,134)</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167"/>
        </w:trPr>
        <w:tc>
          <w:tcPr>
            <w:tcW w:w="16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June 30,</w:t>
            </w: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1,622,946</w:t>
            </w:r>
          </w:p>
        </w:tc>
        <w:tc>
          <w:tcPr>
            <w:tcW w:w="54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244,373</w:t>
            </w: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(264,282)</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(19,907)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233</w:t>
            </w:r>
          </w:p>
        </w:tc>
        <w:tc>
          <w:tcPr>
            <w:tcW w:w="1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(19,674)</w:t>
            </w:r>
          </w:p>
        </w:tc>
        <w:tc>
          <w:tcPr>
            <w:tcW w:w="0" w:type="dxa"/>
            <w:vAlign w:val="bottom"/>
          </w:tcPr>
          <w:p>
            <w:pPr>
              <w:spacing w:after="0"/>
              <w:rPr>
                <w:sz w:val="1"/>
                <w:szCs w:val="1"/>
                <w:color w:val="auto"/>
              </w:rPr>
            </w:pPr>
          </w:p>
        </w:tc>
      </w:tr>
      <w:tr>
        <w:trPr>
          <w:trHeight w:val="184"/>
        </w:trPr>
        <w:tc>
          <w:tcPr>
            <w:tcW w:w="16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Stock-based</w:t>
            </w: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Reverse stock split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fractional share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28,335</w:t>
            </w:r>
          </w:p>
        </w:tc>
        <w:tc>
          <w:tcPr>
            <w:tcW w:w="5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(2,092)</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(2,092)</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167"/>
        </w:trPr>
        <w:tc>
          <w:tcPr>
            <w:tcW w:w="16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September</w:t>
            </w: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1,651,281</w:t>
            </w: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244,898</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17"/>
                <w:szCs w:val="17"/>
                <w:b w:val="1"/>
                <w:bCs w:val="1"/>
                <w:color w:val="auto"/>
              </w:rPr>
              <w:t>(266,374</w:t>
            </w:r>
            <w:r>
              <w:rPr>
                <w:rFonts w:ascii="Times New Roman" w:cs="Times New Roman" w:eastAsia="Times New Roman" w:hAnsi="Times New Roman"/>
                <w:sz w:val="32"/>
                <w:szCs w:val="32"/>
                <w:b w:val="1"/>
                <w:bCs w:val="1"/>
                <w:color w:val="auto"/>
                <w:vertAlign w:val="superscript"/>
              </w:rPr>
              <w:t>)</w:t>
            </w:r>
            <w:r>
              <w:rPr>
                <w:rFonts w:ascii="Times New Roman" w:cs="Times New Roman" w:eastAsia="Times New Roman" w:hAnsi="Times New Roman"/>
                <w:sz w:val="17"/>
                <w:szCs w:val="17"/>
                <w:b w:val="1"/>
                <w:bCs w:val="1"/>
                <w:color w:val="auto"/>
              </w:rPr>
              <w:t xml:space="preserve"> $</w:t>
            </w:r>
          </w:p>
        </w:tc>
        <w:tc>
          <w:tcPr>
            <w:tcW w:w="1260" w:type="dxa"/>
            <w:vAlign w:val="bottom"/>
            <w:gridSpan w:val="4"/>
          </w:tcPr>
          <w:p>
            <w:pPr>
              <w:jc w:val="right"/>
              <w:ind w:right="120"/>
              <w:spacing w:after="0" w:line="278" w:lineRule="exact"/>
              <w:rPr>
                <w:sz w:val="20"/>
                <w:szCs w:val="20"/>
                <w:color w:val="auto"/>
              </w:rPr>
            </w:pPr>
            <w:r>
              <w:rPr>
                <w:rFonts w:ascii="Times New Roman" w:cs="Times New Roman" w:eastAsia="Times New Roman" w:hAnsi="Times New Roman"/>
                <w:sz w:val="17"/>
                <w:szCs w:val="17"/>
                <w:b w:val="1"/>
                <w:bCs w:val="1"/>
                <w:color w:val="auto"/>
              </w:rPr>
              <w:t>(21,474</w:t>
            </w:r>
            <w:r>
              <w:rPr>
                <w:rFonts w:ascii="Times New Roman" w:cs="Times New Roman" w:eastAsia="Times New Roman" w:hAnsi="Times New Roman"/>
                <w:sz w:val="32"/>
                <w:szCs w:val="32"/>
                <w:b w:val="1"/>
                <w:bCs w:val="1"/>
                <w:color w:val="auto"/>
                <w:vertAlign w:val="superscript"/>
              </w:rPr>
              <w:t>)</w:t>
            </w:r>
            <w:r>
              <w:rPr>
                <w:rFonts w:ascii="Times New Roman" w:cs="Times New Roman" w:eastAsia="Times New Roman" w:hAnsi="Times New Roman"/>
                <w:sz w:val="17"/>
                <w:szCs w:val="17"/>
                <w:b w:val="1"/>
                <w:bCs w:val="1"/>
                <w:color w:val="auto"/>
              </w:rPr>
              <w:t xml:space="preserve">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233</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spacing w:after="0" w:line="278" w:lineRule="exact"/>
              <w:rPr>
                <w:sz w:val="20"/>
                <w:szCs w:val="20"/>
                <w:color w:val="auto"/>
              </w:rPr>
            </w:pPr>
            <w:r>
              <w:rPr>
                <w:rFonts w:ascii="Times New Roman" w:cs="Times New Roman" w:eastAsia="Times New Roman" w:hAnsi="Times New Roman"/>
                <w:sz w:val="17"/>
                <w:szCs w:val="17"/>
                <w:b w:val="1"/>
                <w:bCs w:val="1"/>
                <w:color w:val="auto"/>
              </w:rPr>
              <w:t>(21,241</w:t>
            </w:r>
            <w:r>
              <w:rPr>
                <w:rFonts w:ascii="Times New Roman" w:cs="Times New Roman" w:eastAsia="Times New Roman" w:hAnsi="Times New Roman"/>
                <w:sz w:val="32"/>
                <w:szCs w:val="32"/>
                <w:b w:val="1"/>
                <w:bCs w:val="1"/>
                <w:color w:val="auto"/>
                <w:vertAlign w:val="superscript"/>
              </w:rPr>
              <w:t>)</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(19,224)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(premium)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investment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refundable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notes payable,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23,708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provision for slow-moving 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6,619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(58,020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(283,271)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317,593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and cash equivalents provided by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25,235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and warrants in private placement,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61,891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in private placement,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25,797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“at the market” Program,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(10,307)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reverse stock split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and cash equivalents (used in)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10,457</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12,014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873"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 at the end of period</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warrants</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inventory</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 Warrants will be issued separately but can only be purchased together in this Offering. Additional information regarding the Company’s December 2022 Warrants may be found in Note 4 – Fair Value Measures and Note 10 – Stockholders’ Equity, included elsewhere in the notes to the consolidated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July 19, 2023, the Company received a notice from Nasdaq confirming its recompliance with the minimum bid price rule.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 (the “November Nasdaq Notice” and, together with the April Nasdaq Notice, the May Nasdaq Notice, and the August Nasdaq Notice, the “Nasdaq Notices”).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Paycheck Protection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$0.8 million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Agrify-Valiant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has negative cash flows from operations and a working capital deficiency. The Company also has an accumulated deficit of $266 million as of September 30, 2023.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2023, the Company had $0.2 million of cash, cash equivalents, and marketable securities. The Company had no restricted cash as of September 30, 2023. As of December 31, 2022 the Company’s restricted cash balance of $10.0 million was associated with its new senior secured note (the “Exchange Note”). Current liabilities were $41.4 million as of September 30, 2023. Additional information regarding the Company’s Exchange Note may be found in Note 8 – Debt, included elsewhere in the notes to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Canaccord Genuity LLC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In 2022, the Company sold 306,628 shares of Common Stock under the ATM at an average price of $50.85, resulting in gross proceeds of $15.6 million and net proceeds $15.1 million after commissions and fees to the Agent totaling $0.5 million and legal fees totaling $0.1 million. As of April 1, 2023, after which time the ATM program was discontinued, the Company sold an additional 323,082 shares of Common Stock under the ATM at an average price of $4.93, resulting in gross proceeds of $1.6 million and net proceeds of $1.6 million after commissions and fees to the Agent totaling $48 thousand. $3.0 million of the proceeds under the ATM Program were used to repay amounts due to High Trail Special Situations LLC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the Company’s Annual Report on Form 10-K, the Company is no longer eligible to utilize the registration statement on Form S-3 relating to the ATM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consolidated statements of operations as general and administrative expenses and selling and marketing expenses for the three months ended September 30, 2023 and 2022.</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September 30, 2023 and December 31, 2022. All cash equivalents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2023 and 2022, the Company’s customers that accounted for 10% or more of the total revenue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1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20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 w:type="dxa"/>
            <w:vAlign w:val="bottom"/>
          </w:tcPr>
          <w:p>
            <w:pPr>
              <w:spacing w:after="0"/>
              <w:rPr>
                <w:sz w:val="21"/>
                <w:szCs w:val="21"/>
                <w:color w:val="auto"/>
              </w:rPr>
            </w:pPr>
          </w:p>
        </w:tc>
        <w:tc>
          <w:tcPr>
            <w:tcW w:w="21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1"/>
                <w:szCs w:val="21"/>
                <w:color w:val="auto"/>
              </w:rPr>
            </w:pPr>
          </w:p>
        </w:tc>
        <w:tc>
          <w:tcPr>
            <w:tcW w:w="21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 w:type="dxa"/>
            <w:vAlign w:val="bottom"/>
          </w:tcPr>
          <w:p>
            <w:pPr>
              <w:spacing w:after="0"/>
              <w:rPr>
                <w:sz w:val="21"/>
                <w:szCs w:val="21"/>
                <w:color w:val="auto"/>
              </w:rPr>
            </w:pPr>
          </w:p>
        </w:tc>
        <w:tc>
          <w:tcPr>
            <w:tcW w:w="20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194"/>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6"/>
                <w:szCs w:val="16"/>
                <w:color w:val="auto"/>
              </w:rPr>
            </w:pPr>
          </w:p>
        </w:tc>
      </w:tr>
      <w:tr>
        <w:trPr>
          <w:trHeight w:val="245"/>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198"/>
        </w:trPr>
        <w:tc>
          <w:tcPr>
            <w:tcW w:w="22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Company Customer Number -</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4"/>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198"/>
        </w:trPr>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Company Customer Number -</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Company Customer Number -</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8,590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Company’s customers that accounted for 10% or more of the total accounts receivable, net,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180" w:type="dxa"/>
            <w:vAlign w:val="bottom"/>
          </w:tcPr>
          <w:p>
            <w:pPr>
              <w:spacing w:after="0"/>
              <w:rPr>
                <w:sz w:val="21"/>
                <w:szCs w:val="21"/>
                <w:color w:val="auto"/>
              </w:rPr>
            </w:pPr>
          </w:p>
        </w:tc>
        <w:tc>
          <w:tcPr>
            <w:tcW w:w="24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15874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- 16491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bl>
    <w:p>
      <w:pPr>
        <w:spacing w:after="0" w:line="17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as a percentage of total accounts receivable, was less than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45"/>
        </w:trPr>
        <w:tc>
          <w:tcPr>
            <w:tcW w:w="956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to 3</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198"/>
        </w:trPr>
        <w:tc>
          <w:tcPr>
            <w:tcW w:w="9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Lower of estimated</w:t>
            </w:r>
          </w:p>
        </w:tc>
      </w:tr>
      <w:tr>
        <w:trPr>
          <w:trHeight w:val="216"/>
        </w:trPr>
        <w:tc>
          <w:tcPr>
            <w:tcW w:w="95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useful life or</w:t>
            </w:r>
          </w:p>
        </w:tc>
      </w:tr>
      <w:tr>
        <w:trPr>
          <w:trHeight w:val="234"/>
        </w:trPr>
        <w:tc>
          <w:tcPr>
            <w:tcW w:w="956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remaining lease term</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in 2022. Additional information regarding the Company’s interim testing on goodwill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initially records intangible assets at their estimated fair values and reviews these assets periodically for impairment. Identifiable intangible assets, which consist principally of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620" w:type="dxa"/>
            <w:vAlign w:val="bottom"/>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r>
      <w:tr>
        <w:trPr>
          <w:trHeight w:val="238"/>
        </w:trPr>
        <w:tc>
          <w:tcPr>
            <w:tcW w:w="2620" w:type="dxa"/>
            <w:vAlign w:val="bottom"/>
          </w:tcPr>
          <w:p>
            <w:pPr>
              <w:spacing w:after="0"/>
              <w:rPr>
                <w:sz w:val="20"/>
                <w:szCs w:val="20"/>
                <w:color w:val="auto"/>
              </w:rPr>
            </w:pPr>
          </w:p>
        </w:tc>
        <w:tc>
          <w:tcPr>
            <w:tcW w:w="8620" w:type="dxa"/>
            <w:vAlign w:val="bottom"/>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r>
      <w:tr>
        <w:trPr>
          <w:trHeight w:val="432"/>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useful lives are as follows:</w:t>
            </w:r>
          </w:p>
        </w:tc>
        <w:tc>
          <w:tcPr>
            <w:tcW w:w="862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620" w:type="dxa"/>
            <w:vAlign w:val="bottom"/>
            <w:shd w:val="clear" w:color="auto" w:fill="CCEEFF"/>
          </w:tcPr>
          <w:p>
            <w:pPr>
              <w:jc w:val="center"/>
              <w:ind w:left="6650"/>
              <w:spacing w:after="0"/>
              <w:rPr>
                <w:sz w:val="20"/>
                <w:szCs w:val="20"/>
                <w:color w:val="auto"/>
              </w:rPr>
            </w:pPr>
            <w:r>
              <w:rPr>
                <w:rFonts w:ascii="Times New Roman" w:cs="Times New Roman" w:eastAsia="Times New Roman" w:hAnsi="Times New Roman"/>
                <w:sz w:val="18"/>
                <w:szCs w:val="18"/>
                <w:color w:val="auto"/>
              </w:rPr>
              <w:t>5 to 7 years</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8620" w:type="dxa"/>
            <w:vAlign w:val="bottom"/>
          </w:tcPr>
          <w:p>
            <w:pPr>
              <w:jc w:val="center"/>
              <w:ind w:left="665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8620" w:type="dxa"/>
            <w:vAlign w:val="bottom"/>
            <w:shd w:val="clear" w:color="auto" w:fill="CCEEFF"/>
          </w:tcPr>
          <w:p>
            <w:pPr>
              <w:jc w:val="center"/>
              <w:ind w:left="665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620" w:type="dxa"/>
            <w:vAlign w:val="bottom"/>
          </w:tcPr>
          <w:p>
            <w:pPr>
              <w:jc w:val="center"/>
              <w:ind w:left="665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8620" w:type="dxa"/>
            <w:vAlign w:val="bottom"/>
            <w:shd w:val="clear" w:color="auto" w:fill="CCEEFF"/>
          </w:tcPr>
          <w:p>
            <w:pPr>
              <w:jc w:val="center"/>
              <w:ind w:left="665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in 2022. Additional information regarding the Company’s interim testing on intangible assets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 – Fair Value Measures and Note 9 – Debt, included elsewhere in the notes to the consolidated financial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on April 18, 2023, the Company modified the exercise price of certain warrants, to reduce this from $13.00 per share to $3.45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the Company recognizes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nine months ended September 30, 2023 and 2022, the Company did not have any such financial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$0.6 million and $0.6 million for September 30, 2023 and December 31, 2022,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capitalizes certain software engineering efforts related to the continued development of Agrify Insights™ under ASC Topic 350-40 The costs incurred in the preliminary stages of development are expensed as incurred as research costs. Once the application has reached the development stage, internal and external costs incurred to develop internal-use software are capitalized and amortized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amortized on a straight-line basis over the estimated useful life of the software. The types of costs capitalized during the application development phase include employee compensation, as well as consulting fees for third-party software developers working on these projects. The estimated useful life of capitalized internal-use software ranges from two to five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6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quarterly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and state and local income taxes. The effective rate differs from statutory rates due to the effect of certain nondeductible expenses. Our effective tax rate will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splits effected on October 18, 2022 and July 5, 2023. Net loss per share was calculated based on the weighted-average number of Common Stock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Company adopted this standard as of January 1, 2022. The adoption of this new accounting guidance had no impact on the Company’s consolidated financial position.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adopted ASU 2016-13 on January 1, 2023. The adoption of this standard did not have a material impact on these condensed consolidated financial statements.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adopted ASU 2021-08 on January 1, 2023. The adoption of this standard did not have a material impact on these condensed consolidated financial statements.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Deferred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23,694</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52,369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current deferred revenue balance for the three months ended September 30, 2023 and the year ended December 31,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3"/>
              </w:rPr>
              <w:t>4,112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11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3,685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(3,718)</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revenue – end of period</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4,079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balances primarily consist of customer deposits on the Company’s cultivation and extraction solutions equipment. As of September 30, 2023 and December 31, 2022, all of the Company’s deferred revenue balances were reported as current liabilities in the accompanying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September 30, 2023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credit losses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Write-offs of uncollectible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4,605</w:t>
            </w:r>
          </w:p>
        </w:tc>
        <w:tc>
          <w:tcPr>
            <w:tcW w:w="22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48"/>
        </w:trPr>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4,605</w:t>
            </w:r>
          </w:p>
        </w:tc>
        <w:tc>
          <w:tcPr>
            <w:tcW w:w="40" w:type="dxa"/>
            <w:vAlign w:val="bottom"/>
          </w:tcPr>
          <w:p>
            <w:pPr>
              <w:spacing w:after="0"/>
              <w:rPr>
                <w:sz w:val="21"/>
                <w:szCs w:val="2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a net recovery of bad debt income of $0.4 million, relative to a bad debt expense of $0.4 million, for the three months ended September 30, 2023 and 2022, respectively, and a net recovery of bad debt of $1.0 million, relative to a bad debt expense of $1.9 million, for the nine months ended September 30, 2023 and 2022,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September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receivables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issuance costs,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2023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2023 and 2022 was $0.5 million and $0.4 million, respectively, and $1.5 million and $1.2 million for the nine months ended September 30, 2023 and 2022, respectively. Depreciation expense is recorded within general and administrative expenses, research and development expenses, and selling and marketing expenses depending on the nature of the property and equipment depreciated.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consisted of the following as of September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commissions expense</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42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vMerge w:val="continue"/>
            <w:shd w:val="clear" w:color="auto" w:fill="CCEEFF"/>
          </w:tcPr>
          <w:p>
            <w:pPr>
              <w:spacing w:after="0"/>
              <w:rPr>
                <w:sz w:val="21"/>
                <w:szCs w:val="21"/>
                <w:color w:val="auto"/>
              </w:rPr>
            </w:pPr>
          </w:p>
        </w:tc>
        <w:tc>
          <w:tcPr>
            <w:tcW w:w="4640" w:type="dxa"/>
            <w:vAlign w:val="bottom"/>
            <w:gridSpan w:val="3"/>
            <w:shd w:val="clear" w:color="auto" w:fill="CCEEFF"/>
          </w:tcPr>
          <w:p>
            <w:pPr>
              <w:ind w:left="4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 (1)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acquisition liabilities (2)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Warranty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Liabilities accrued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Warranty accruals paid during the during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end of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Pr>
          <w:p>
            <w:pPr>
              <w:spacing w:after="0"/>
              <w:rPr>
                <w:sz w:val="18"/>
                <w:szCs w:val="18"/>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2"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2023 and December 31, 2022, the Company’s assets and liabilities measured at fair value on a recurring basis were as follows:</w:t>
      </w:r>
    </w:p>
    <w:p>
      <w:pPr>
        <w:sectPr>
          <w:pgSz w:w="11900" w:h="16838" w:orient="portrait"/>
          <w:cols w:equalWidth="0" w:num="1">
            <w:col w:w="11240"/>
          </w:cols>
          <w:pgMar w:left="320" w:top="873" w:right="339" w:bottom="1440" w:gutter="0" w:footer="0" w:header="0"/>
        </w:sectPr>
      </w:pPr>
    </w:p>
    <w:p>
      <w:pPr>
        <w:spacing w:after="0" w:line="235"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19685</wp:posOffset>
            </wp:positionV>
            <wp:extent cx="27432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16"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19685</wp:posOffset>
            </wp:positionV>
            <wp:extent cx="2674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Mutual funds (included in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80" w:type="dxa"/>
            <w:vAlign w:val="bottom"/>
            <w:gridSpan w:val="2"/>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2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January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March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August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December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2,330</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5,854</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8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accrued expenses and deferred revenue liabilities approximate their fair values,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September 30, 2023, approximated fair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consideration was recorded in connection with acquisitions during the six months ended September 30, 2023 and fiscal 2022 using an estimated fair value discount at the time of the transactions. As of September 30, 2023 and December 31, 2022, the carrying value of the deferred consideration approximated fair value.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2023,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composition of the Company’s marketable securities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The company recorded no change in contingent consideration for the nine months ended September 30, 2023. The contingent earn-out payments to the sellers for each acquisition are based on the achievement of certain revenue thresholds.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made on contingent liabilities</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(5,550)</w:t>
            </w: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(2,156)</w:t>
            </w:r>
          </w:p>
        </w:tc>
      </w:tr>
      <w:tr>
        <w:trPr>
          <w:trHeight w:val="237"/>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Contingent consideration – end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included contingent consideration within accrued expenses and other current liabilities on its consolidated balance sheets as of September 30, 2023 and December 31, 2022.</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below for additional information related to each acquisition’s contingent consideration.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PurePressure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$0.6 million and their second earn-out by approximately $0.2 million. As required by ASC Topic 805 Business Combination (“ASC 805”), the change in contingent consideration was recorded as a reduction in operating expenses during the third and fourth quarters of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Lab Society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and their second earn-out by approximately $0.5 million. As required by ASC 805, the change in contingent consideration was recorded as a reduction in operating expenses during the second and fourth quarters of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Precision and Cascade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$0.1 million, to reflect the final contingent consideration amount due. This amount was recorded as an increase in operating expenses during the second quarter of 2022. During the period ended December 31, 2022, the Company made the final payment on the contingent consideration of approximately $5.6 million to the members of Precision and Cascade.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September 30,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2022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September 30, 2023 and for the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1,496.00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nine months ended September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–June 30, 2023</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–September 30,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2022 Warrants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September 30, 2023 and for the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2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000" w:type="dxa"/>
            <w:vAlign w:val="bottom"/>
            <w:gridSpan w:val="2"/>
          </w:tcPr>
          <w:p>
            <w:pPr>
              <w:ind w:left="4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r>
        <w:trPr>
          <w:trHeight w:val="655"/>
        </w:trPr>
        <w:tc>
          <w:tcPr>
            <w:tcW w:w="38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nine months ended September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June 30, 2023</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–September 30,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Warrants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September 30, 2023 and for the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nine months ended September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5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June 30, 2023</w:t>
            </w:r>
          </w:p>
        </w:tc>
        <w:tc>
          <w:tcPr>
            <w:tcW w:w="5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–September 30, 2023</w:t>
            </w:r>
          </w:p>
        </w:tc>
        <w:tc>
          <w:tcPr>
            <w:tcW w:w="58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680" w:type="dxa"/>
            <w:vAlign w:val="bottom"/>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2022 Warrants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September 30, 2023 and for the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nine months ended September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(3,493)</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June 30, 2023</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(1,916)</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–September 30,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15, 2022, the Company provided a notice of default under the term loan agreement between the Company and Bud &amp; Mary’s (the “Bud</w:t>
      </w:r>
    </w:p>
    <w:p>
      <w:pPr>
        <w:spacing w:after="0" w:line="27" w:lineRule="exact"/>
        <w:rPr>
          <w:sz w:val="20"/>
          <w:szCs w:val="20"/>
          <w:color w:val="auto"/>
        </w:rPr>
      </w:pPr>
    </w:p>
    <w:p>
      <w:pPr>
        <w:jc w:val="both"/>
        <w:ind w:firstLine="8"/>
        <w:spacing w:after="0" w:line="252" w:lineRule="auto"/>
        <w:tabs>
          <w:tab w:leader="none" w:pos="2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current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During the quarter ended June 30, 2023, the Greenstone loan was fully written off against the reserve as a result of the sale of Greenstone to Denver Greens. It was agreed that Denver Greens would not have to pay back Greenstone’s Loan.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September 30, 2023 and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139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136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24096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Non-TTK Solution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 (2)(3)</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(19,215)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receivable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loan receivable is included within Note 3 – Supplemental Consolidated Balance Sheet Information, included elsewhere in the notes to the consolidated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was written off at December 31, 2022 due to the cancellation of this TTK Solution project.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an allowance for credit losses of approximately $14.7 million related to Bud &amp; Mary’s ongoing litigation. Approximately $4.5 million relates to Hannah.</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The Company’s loan receivable from Greenstone was written off in full during the quarter ending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September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13,689</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gross</w:t>
            </w:r>
          </w:p>
        </w:tc>
        <w:tc>
          <w:tcPr>
            <w:tcW w:w="5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(29,845)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7"/>
        </w:trPr>
        <w:tc>
          <w:tcPr>
            <w:tcW w:w="3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5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vMerge w:val="continue"/>
            <w:shd w:val="clear" w:color="auto" w:fill="CCEEFF"/>
          </w:tcPr>
          <w:p>
            <w:pPr>
              <w:spacing w:after="0"/>
              <w:rPr>
                <w:sz w:val="21"/>
                <w:szCs w:val="21"/>
                <w:color w:val="auto"/>
              </w:rPr>
            </w:pPr>
          </w:p>
        </w:tc>
        <w:tc>
          <w:tcPr>
            <w:tcW w:w="544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31,817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ectPr>
          <w:pgSz w:w="11900" w:h="16838" w:orient="portrait"/>
          <w:cols w:equalWidth="0" w:num="1">
            <w:col w:w="11240"/>
          </w:cols>
          <w:pgMar w:left="320" w:top="873" w:right="339" w:bottom="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goodwill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acquired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 purchase accounting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Intangible assets, net as of December 31, 2022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620" w:hanging="615"/>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50,090</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(54,747)</w:t>
      </w:r>
    </w:p>
    <w:p>
      <w:pPr>
        <w:spacing w:after="0" w:line="58" w:lineRule="exact"/>
        <w:rPr>
          <w:sz w:val="20"/>
          <w:szCs w:val="20"/>
          <w:color w:val="auto"/>
        </w:rPr>
      </w:pPr>
    </w:p>
    <w:p>
      <w:pPr>
        <w:ind w:left="940" w:hanging="935"/>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9300" w:space="720"/>
            <w:col w:w="1220"/>
          </w:cols>
          <w:pgMar w:left="320" w:top="873" w:right="339" w:bottom="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10"/>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Intangible Assets, Gross</w:t>
            </w: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and Impairment</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01"/>
              <w:spacing w:after="0" w:line="194"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Additions and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Retirements,</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00" w:type="dxa"/>
            <w:vAlign w:val="bottom"/>
          </w:tcPr>
          <w:p>
            <w:pPr>
              <w:spacing w:after="0"/>
              <w:rPr>
                <w:sz w:val="18"/>
                <w:szCs w:val="18"/>
                <w:color w:val="auto"/>
              </w:rPr>
            </w:pPr>
          </w:p>
        </w:tc>
        <w:tc>
          <w:tcPr>
            <w:tcW w:w="11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5,874</w:t>
            </w:r>
          </w:p>
        </w:tc>
        <w:tc>
          <w:tcPr>
            <w:tcW w:w="8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1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Acquired developed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4,720</w:t>
            </w:r>
          </w:p>
        </w:tc>
        <w:tc>
          <w:tcPr>
            <w:tcW w:w="8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1,142</w:t>
            </w:r>
          </w:p>
        </w:tc>
        <w:tc>
          <w:tcPr>
            <w:tcW w:w="8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8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gridSpan w:val="2"/>
            <w:vMerge w:val="continue"/>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17,414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vMerge w:val="continue"/>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20" w:type="dxa"/>
            <w:vAlign w:val="bottom"/>
            <w:vMerge w:val="continue"/>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20" w:type="dxa"/>
            <w:vAlign w:val="bottom"/>
            <w:vMerge w:val="continue"/>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14,072</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Exchange Note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Navitas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 debt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 (1)</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20,024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32,654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premium (discount)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debt, net of debt discount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29,239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net of current unamortized debt 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(28,832)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notes payable relates to a one-year insurance premium that was financed over nine-months.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$0.3 million in repayments for other fees under the 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holder will be entitled to a cash sweep of 20% of the proceeds received by the Company in connection with any equity financing, which will reduce the outstanding principal amount under the Exchange Note.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the Company may prepay all of the Exchange Note by redemption at a price equal to 102.5% of the then-outstanding principal amount under the Note plus accrued but unpaid interest. The holder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holder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holder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 Note Exchange Warrant’s exercise price would have been reduced to the extent the Company issued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Notes Payable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or “Second Amendment”) with the Investor. Pursuant to the Exchange Agreement, at closing the Company prepaid approximately $10.3 million in principal amount under the August 2022 Note and exchange $10.0 in principal amount of the remaining balance of the August 2022 Note for a new senior secured convertible note (the “Convertible Note”) with an original principal amount of $10.0 million. After the closing of the Exchange Agreement, the August 2022 Note remained outstanding with a remaining balance of $11.7 million.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exchange was deemed to be an extinguishment under ASC 470, as the modified debt added a substantive conversion option that was not inherent in the August 2022 Note. As a result, the Company recognized a loss on the extinguishment of debt of $4,619,846.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the Investor with a principal balance of $10 million. The Convertible Note bears a 9.0% annualized interest rate, with interest to be paid monthly, in cash, beginning April 1, 2023. The principal amount of the Convertible Note will be payable on the Maturity Date, provided that the holder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holder will also have the option of requiring the Company to redeem the Convertible Note</w:t>
      </w:r>
    </w:p>
    <w:p>
      <w:pPr>
        <w:jc w:val="both"/>
        <w:ind w:firstLine="8"/>
        <w:spacing w:after="0" w:line="253" w:lineRule="auto"/>
        <w:tabs>
          <w:tab w:leader="none" w:pos="2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holder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holder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holder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holder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holder elects to convert the Convertible Note, the conversion price per share will be $7.64, subject to customary adjustments for certain corporate events. The conversion of the Convertible Note will be subject to certain customary conditions. The Convertible Note may not be converted into shares of Common Stock if such conversion would result in the holder and its affiliates owning an aggregate of in excess of 4.99% of the then-outstanding shares of Common Stock, provided that upon 61 days’ notice, such ownership limitation may be adjusted by the holder, but in any case, to no greater than 9.99%.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related to the Convertible Notes described above was $1,757,931 for the nine months ended September 30, 2023. Accrued interest totaled $1,041,388 as of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Exchange Agreement the Company entered into with High Trail Special Situations LLC on March 8, 2023, the Investor elected, on April 26, 2023, to convert $1.6 million of the remaining outstanding principal amount on the Convertible Note for 153,617 shares of Common Stock of the Company.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above referenced accredited Lender (the “Letter Agreement”), pursuant to which the Company and the Investor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Investor, with the remaining 375,629 shares held in abeyance until the balance (or portion thereof) may be issued in compliance with such limitations. As a result, the Company recognized a loss on the redemption of $11,609.</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short-term and long-term portions of the Exchange Note as of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0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payable, net</w:t>
            </w:r>
          </w:p>
        </w:tc>
        <w:tc>
          <w:tcPr>
            <w:tcW w:w="0" w:type="dxa"/>
            <w:vAlign w:val="bottom"/>
          </w:tcPr>
          <w:p>
            <w:pPr>
              <w:spacing w:after="0"/>
              <w:rPr>
                <w:sz w:val="1"/>
                <w:szCs w:val="1"/>
                <w:color w:val="auto"/>
              </w:rPr>
            </w:pPr>
          </w:p>
        </w:tc>
      </w:tr>
      <w:tr>
        <w:trPr>
          <w:trHeight w:val="216"/>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premium</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54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vMerge w:val="continue"/>
            <w:shd w:val="clear" w:color="auto" w:fill="CCEEFF"/>
          </w:tcPr>
          <w:p>
            <w:pPr>
              <w:spacing w:after="0"/>
              <w:rPr>
                <w:sz w:val="21"/>
                <w:szCs w:val="21"/>
                <w:color w:val="auto"/>
              </w:rPr>
            </w:pPr>
          </w:p>
        </w:tc>
        <w:tc>
          <w:tcPr>
            <w:tcW w:w="18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As of September 30, 2023, future minimum payments were as follows:</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2023</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72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an unsecured promissory note (the “Related Party Note”) in favor of GIC Acquisition, LLC (“GIC”), an entity that is owned and managed by the Company’s Chairman and Chief Executive Officer. Pursuant to the Related Party Note, GIC is obligated to lend up to $500,000 to the Company, $300,000 of which was delivered at issuance and the remaining $200,000 delivered on July 31, 2023. The Related Party Note bears interest at a rate of 10% per annum, will mature in full on August 6, 2023, and may be prepaid without any fee or penalty. The Related Party Note ranks junior to all existing secured indebtedness of the Company. The maturity date of the Related Party Note was subsequently amended to December 31, 2023 at which point principal and accrued interest will be repaid in full.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 under the Coronavirus Aid, Relief, and Economic Security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2020, the Company entered into a PPP Loan with Bank of America pursuant to the PPP under the CARES Act administered by the SBA.</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received total proceeds of approximately $0.8 million from the unsecured PPP Loan, which was originally scheduled to mature on May 7, 2022. The Company applied for forgiveness on the $0.8 million of PPP 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PPP Loan balances by current and non-current as of September 30, 2023 and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2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PPP Loan, current</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current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 non-current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Long-term debt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PPP Loan outstanding</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At September 30, 2023, the Company’s weighted-average discount rate utilized for its leases was 7.39%.</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The Company’s finance leases have remaining lease terms of one year to five years.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gridSpan w:val="2"/>
            <w:vMerge w:val="continue"/>
            <w:shd w:val="clear" w:color="auto" w:fill="CCEEFF"/>
          </w:tcPr>
          <w:p>
            <w:pPr>
              <w:spacing w:after="0"/>
              <w:rPr>
                <w:sz w:val="21"/>
                <w:szCs w:val="21"/>
                <w:color w:val="auto"/>
              </w:rPr>
            </w:pPr>
          </w:p>
        </w:tc>
        <w:tc>
          <w:tcPr>
            <w:tcW w:w="10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0" w:type="dxa"/>
            <w:vAlign w:val="bottom"/>
          </w:tcPr>
          <w:p>
            <w:pPr>
              <w:spacing w:after="0"/>
              <w:rPr>
                <w:sz w:val="1"/>
                <w:szCs w:val="1"/>
                <w:color w:val="auto"/>
              </w:rPr>
            </w:pPr>
          </w:p>
        </w:tc>
      </w:tr>
      <w:tr>
        <w:trPr>
          <w:trHeight w:val="245"/>
        </w:trPr>
        <w:tc>
          <w:tcPr>
            <w:tcW w:w="50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years</w:t>
            </w:r>
          </w:p>
        </w:tc>
        <w:tc>
          <w:tcPr>
            <w:tcW w:w="32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3.59 years</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 years</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2.30 years</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391"/>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net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September 30,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lease</w:t>
            </w:r>
          </w:p>
        </w:tc>
        <w:tc>
          <w:tcPr>
            <w:tcW w:w="180" w:type="dxa"/>
            <w:vAlign w:val="bottom"/>
          </w:tcPr>
          <w:p>
            <w:pPr>
              <w:spacing w:after="0"/>
              <w:rPr>
                <w:sz w:val="21"/>
                <w:szCs w:val="21"/>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2023</w:t>
            </w:r>
          </w:p>
        </w:tc>
        <w:tc>
          <w:tcPr>
            <w:tcW w:w="4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minimum lease payments</w:t>
            </w:r>
          </w:p>
        </w:tc>
        <w:tc>
          <w:tcPr>
            <w:tcW w:w="4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2,504</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1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 2023, the Company further increased its authorized number of shares to 13,000,000, consisting of: 10,000,000 shares of Common Stock, par value $0.001 per share and 3,000,000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Marketing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$0.5 million and legal fees totaling $0.1 million.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16, 2022, the Company issued 594,232 shares of its Common Stock, Pre-Funded 2022 Warrants to purchase 75,000 shares of its Common Stock and accompanying December 2022 Warrants to purchase 1,338,471 shares of the Company’s Common Stock. The Company received net proceeds from the Offering of approximately $8.2 million, after deducting underwriting discounts and commissions and estimated expenses. The Company intends to use the net proceeds from the Offering, together with its existing cash resources, for working capital and general corporate purposes, which may include capital expenditures and repayment of debt.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the Company’s own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Chairman and CEO, participated in the Offering and purchased 115,385 shares of Common Stock and 230,769 December 2022 Warrants for an aggregate purchase price of approximately $1.5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Company’s December 2022 Warrants may be found in Note 1 – Overview, Basis of Presentation, and Significant Accounting Policies and Note 4 – Fair Value Measures, included elsewhere in the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September 30, 2023, there were 13,198 shares of Common Stock available to be granted under the Company’s 2022 Plan.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stock compensation expense was $0.5 million and $1.6 million for the three months ended September 30, 2023 and 2022,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 compensation expense was $2.1 million and $3.5 million for the nine months ended September 30, 2023 and 2022,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three and nine months ended September 30, 2023 and 2022.</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three and six months ended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1,213.74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1,540.76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1,467.77</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September 30, 2023</w:t>
            </w: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1,498.89</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2023, total unrecognized compensation expense related to unvested options under the Company’s 2022 Plan was $1.3 million, which is expected to be recognized over a weighted average period of 0.46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3,526</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3,924</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r>
        <w:trPr>
          <w:trHeight w:val="655"/>
        </w:trPr>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September 30, 2023: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2960" w:type="dxa"/>
            <w:vAlign w:val="bottom"/>
            <w:gridSpan w:val="2"/>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2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1"/>
                <w:szCs w:val="21"/>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3,566</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2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2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12.39</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2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10.36</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Unvested at September 30,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2023, total unrecognized compensation expense related to unvested restricted stock units was $0.7 million, which is expected to be recognized over a weighted average period of 2.10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has initially reserved 2,500 shares of Common Stock for issuance under the ESPP. On September 30, 2023, 2,500 shares were available for future issuance.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 thousand worth of Common Stock annually. No Common Stock was granted under the 2022 ESPP during the three and nine 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and nine months ended September 30, 2023, the Company did not contribute to the 401(k)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nine months ended September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2023</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1,495,001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128,476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(8,295)</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Warrants outstanding at September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121,539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cashless warrants of $0 for the three and nine months ended September 30, 2023, and $1 thousand and $2 thousand for the three and nine months ended September 30,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0.0% and 0.2% for the nine months ended September 30, 2023 and 2022, respectively. The provision for (benefit from) income taxes was $0 and $0.2 million for the nine months ended September 30, 2023 and 2022, respectively. The difference between the Company’s effective tax rates for the 2023 and 2022 periods and the U.S. statutory tax rate of 21% was primarily due a valuation allowance recorded against certain deferred tax assets. The change in the provision for (benefit from) income taxes for the nine months ended September 30, 2023 compared to the nine months ended September 30, 2022 was primarily due to a recording of a valuation allowance on the company’s net deferred tax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6"/>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6"/>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(19,224)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1,649,741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133,526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1,426,016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129,832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4"/>
              </w:rPr>
              <w:t>(13.48</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1,495,001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121,539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1,508,565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144,790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during October 2023, and Agrify will be permitted to make responsive filings, which may include an answer and counterclaim.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8"/>
          <w:szCs w:val="18"/>
          <w:i w:val="1"/>
          <w:iCs w:val="1"/>
          <w:color w:val="auto"/>
        </w:rPr>
        <w:t>Bowdoin Construction Corp.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Agrify Corporation, Bud &amp; Mary’s Cultivation, Inc. and BMLC2, LLC</w:t>
      </w:r>
      <w:r>
        <w:rPr>
          <w:rFonts w:ascii="Times New Roman" w:cs="Times New Roman" w:eastAsia="Times New Roman" w:hAnsi="Times New Roman"/>
          <w:sz w:val="18"/>
          <w:szCs w:val="18"/>
          <w:color w:val="auto"/>
        </w:rPr>
        <w:t>, case no. 2382CV00173. The Bowdoin Complaint relates to a construction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17 – Subsequent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Sinclair Scientific Litigation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2023, the Company settled a legal dispute with a specific customer which resulted in the recognition of a gain of approximately $0.9 million, of which $0.3 million was paid in October 2023, with the remaining approximate $0.6 million to be paid in equal monthly installments, beginning in January, 2024. This gain was recognized as part of Other expense, net per the Condensed Consolidated Statement of Operations for the quarter ended September 30, 2023, with the approximate $0.9 million receivable balance recognized as part of Prepaid expenses and other current assets, per the Condensed Consolidated Balance Sheet, as of September 30, 2023. The settlement also resulted in the return of equipment to the Company, in October 2023.</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 entered into several additional vendor settlement agreements during the quarter ended September 30, 2023, which resulted in an aggregate gain being recognized for the quarter ended September 30, 2023, and a corresponding reduction in accounts payable owing by the Company, as of September 30, 2023, of approximately $1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 with 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June 30, 2023, the Company owed 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17 –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Party – Bluezone Products, Inc.</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$0.5 million and $0.6 million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$0.3 million of the committed $0.7 million second-year purchases through December 31, 2021. Bluezone is a related party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4D Bios, Inc.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$0.9 million paid to 4D. 4D is a related party to the Company. The Company settled all outstanding commitments, leaving no open committed purchases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Ora Pharm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8 – Debt, included elsewhere in the notes to the consolidated financial statements for details of the Company’s future minimum debt payments. Refer to Note 9 – Leases, included elsewhere in the notes to the consolidated financial statements for details of the Company’s future minimum lease payments under operating and financing lease liabilities. Refer to Note 13 – Income Taxes, included elsewhere in the notes to the consolidated financial statements for information regarding income tax contingencies.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240" w:type="dxa"/>
            <w:vAlign w:val="bottom"/>
          </w:tcPr>
          <w:p>
            <w:pPr>
              <w:spacing w:after="0"/>
              <w:rPr>
                <w:sz w:val="18"/>
                <w:szCs w:val="18"/>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NEIA</w:t>
            </w:r>
          </w:p>
        </w:tc>
        <w:tc>
          <w:tcPr>
            <w:tcW w:w="240" w:type="dxa"/>
            <w:vAlign w:val="bottom"/>
          </w:tcPr>
          <w:p>
            <w:pPr>
              <w:spacing w:after="0"/>
              <w:rPr>
                <w:sz w:val="18"/>
                <w:szCs w:val="18"/>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Greenstone Holdings</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40" w:type="dxa"/>
            <w:vAlign w:val="bottom"/>
          </w:tcPr>
          <w:p>
            <w:pPr>
              <w:spacing w:after="0"/>
              <w:rPr>
                <w:sz w:val="20"/>
                <w:szCs w:val="20"/>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11,120</w:t>
            </w:r>
          </w:p>
        </w:tc>
      </w:tr>
      <w:tr>
        <w:trPr>
          <w:trHeight w:val="414"/>
        </w:trPr>
        <w:tc>
          <w:tcPr>
            <w:tcW w:w="1002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receivable as of September 30, 2023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in favor of GIC Acquisition, LLC, an entity that is owned and managed by the Company’s Chairman and Chief Executive Officer. Refer to footnote 8 for further disclosure related to this Related Party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 The Company filed its 2022 Form 10-K, First Quarter 2023 Form 10-Q and Second Quarter 2023 Form 10-Q, on November 28, 2023, November 28, 2023 and December 12, 2023,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Mack Molding Modification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 2024, respectively. The Company has made the first of these two payments in the amount of $500,000. Following the November 1, 2023 payment, the Company is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the Company’s Chief Executive Officer, purchased the Exchange Note and the Convertible Note from their holder (the “Note Purchase”).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Issuance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27, 2023, as a condition precedent to the Note Purchase, the Company entered into a letter agreement (the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Investor under the terms of the Letter Agreement for a warrant to purchase 375,629 shares of common stock (the “Abeyance Warrant”).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Amendment and Secured Promissory Note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27, 2023, GIC and the Company amended and restated the Related Party Note (the “Restated Related Party Note”). Pursuant to the terms of the Restated Related Party Note, the Maturity Date was extended until December 31, 2023 and the Company granted a security interest in the Company’s assets that ranks junior to the Exchange Note and the Convertible Note.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 with the Restated Related Party Note, the Company issued a junior secured promissory note (the “Junior Secured Note”) to the New Lender. Pursuant to the Junior Secured Note, the New Lender will lend up to $3,000,000 to the Company, of which $2,000,000 was drawn. The Junior Secured Note bears interest at a rate of 10% per annum, will mature in full on December 31, 2023, and may be prepaid without any fee or penalty. The Junior Secured Note is a secured obligation of the Company that ranks junior to the notes acquired in the Note Purchase</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December 4, 2023, the New Lender and the Company amended and restated the Junior Secured Note (the “Junior Secured Note Amendment”). Pursuant to the terms of the Junior Secured Note Amendment, the maximum principal amount that may be loaned by CP to the Company was increased to $4,000,000.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on Form 10-Q is intended to update the information contained in our Annual Report on Form 10-K for the year ended December 31, 2022 filed with the Securities and Exchange Commission on November 28, 2023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our Annual Report on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developer of proprietary precision hardware and software grow solutions for the indoor commercial agriculture industry and provide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Troy, Michigan. We also lease properties located within various geographic regions in which we conduct business, including Colorado, Georgia, Massachusetts, Michigan, and Oregon.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we entered into a Securities Purchase Agreement (the “Securities Agreement”) with an institutional investor and other accredited investors for the sale of 12,253 shares (the “SA Shares”) of our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became exercisable six months from issuance. Each Pre-Funded Warrant is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Raymond Chang, our Chairman and Chief Executive Officer (“CEO”), and Stuart Wilcox, who previously served as our Chief Operating Officer, and at the time was a member of our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us from the private placement were approximately $27.3 million, before deducting the placement agent’s fees and other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Lab Society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 Additional information regarding our contingent consideration arrangements may be found in Note 4 – Fair Value Measures, included in the notes to the consolidated financial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amortize our intangible assets assuming no residual value over periods in which the economic benefit of these assets is consumed.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High Trail Special Situations LLC (the “Investor”), pursuant to which we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warrant (the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18, 2022, we reached an agreement with the Investor to amend its existing SPA Note and entered into a Securities Exchange Agreement (the “August 2022 Exchange Agreement”). Pursuant to the August 2022 Exchange Agreement, we partially paid $35.2 million along with approximately $0.3 million in repayments for other fees under the SPA Note and exchanged the remaining balance of the SPA Note for a the Exchange Note with an aggregate original principal amount of $35.0 million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Additional information regarding our August 2022 Warrants may be found in Note 1 – Overview, Basis of Presentation and Significant Accounting Policies and Note 4 – Fair Value Measures, included in the notes to the condensed consolidated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ours and ranks senior to all indebtedness of ours.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holder will be entitled to a cash sweep of 20% of the proceeds received by us in connection with any equity financing, which will reduce the outstanding principal amount under the Exchange Note.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restrict the declaration of any dividends or other distributions, subject to specified exceptions, requires us not to exceed maximum levels of allowable cash spend while the Exchange Note is outstanding, and requires us to maintain minimum amounts of cash on hand. If an event of default under the Exchange Note occurs, the holder can elect to redeem the Exchange Note for cash equal to 115% of the then-outstanding principal amount of the Note (or such lesser principal amount accelerated by the holder), plus accrued and unpaid interest, including default interest, which accrues at a rate per year equal to 15% from the date of a default or event of default.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holder has, subject to certain exceptions, the right to participate for up to 30% of any offering of debt, equity (other than an offering of solely Common Stock), or equity-linked securities, including without limitation any debt, preferred stock or other instrument or security, of us or our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Modified Warrant (the “Modified Warrant Shares”), in which case the Modified Warrant will also be exercisable on a cashless exercise basis at the holder’s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was exercisable upon issuance, and has a term of five and one-half years from the date of issuance and is exercisable on a cash basis, unless there is not an effective registration statement covering the resale of the shares issuable upon exercise of the Warrant (the “Note Exchange Warrant Shares” and, together with the Modified Warrant Shares, the “Exchange Warrant Shares”), in which case the Note Exchange Warrant will also be exercisable on a cashless exercise basis at the holder’s election. Until we completed a qualified equity financing of at least $15.0 million, which requirement was satisfied with sales under the at-the-market continuous equity offering (“ATM” or “ATM Program”), the Note Exchange Warrant’s exercise price would have been reduced to the extent we issued securities for a lower purchase price. The Note Exchange Warrant also prohibited us, until following the completion of such qualified equity financing, from issuing warrants with more favorable or preferential terms and/or provisions.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each provide that in no event will the number of shares of Common Stock issued upon exercise of such warrants result in the holder’s beneficial ownership exceeding 4.99% of our shares of Common Stock outstanding at the time of exercise (which percentage may be decreased or increased by the holder, but to no greater than 9.99). Additionally, the August 2022 Warrants could not be exercised for more than an aggregate of 26,542 shares of Common Stock unless and until shareholder approval is obtained, which approval was obtained on October 14,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Notes Payable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or “Second Amendment”) with the Investor. Pursuant to the Exchange Agreement, at closing the Company will prepay approximately $10.3 million in principal amount under the August 2022 Note and exchange $10.0 million in principal amount of the remaining balance of the August 2022 Note for a new senior secured convertible note (the “Convertible Note”) with an original principal amount of $10.0 million. After the closing of the Exchange Agreement, the August 2022 Note remained outstanding with a remaining balance of $11.7 million.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exchange was deemed to be an extinguishment under ASC 470, as the modified debt added a substantive conversion option that was not inherent in the August 2022 Note. As a result, the Company recognized a loss on the extinguishment of debt of $4.6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the Convertible Note to High Trail Special Situations LLC (the “Lender”) with a principal balance of $10 million. The Convertible Note bears a 9.0% annualized interest rate, with interest to be paid monthly, in cash, beginning April 1, 2023. The principal amount of the Convertible Note will be payable on the Maturity Date, provided that the holder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holder will also have the option of requiring the Company to redeem the Convertible Note</w:t>
      </w:r>
    </w:p>
    <w:p>
      <w:pPr>
        <w:jc w:val="both"/>
        <w:ind w:firstLine="8"/>
        <w:spacing w:after="0" w:line="253" w:lineRule="auto"/>
        <w:tabs>
          <w:tab w:leader="none" w:pos="2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holder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holder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holder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holder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holder elects to convert the Convertible Note, the conversion price per share will be $7.64, subject to customary adjustments for certain corporate events. The conversion of the Convertible Note will be subject to certain customary conditions. The Convertible Note may not be converted into shares of Common Stock if such conversion would result in the holder and its affiliates owning an aggregate of in excess of 4.99% of the then-outstanding shares of Common Stock, provided that upon 61 days’ notice, such ownership limitation may be adjusted by the holder, but in any case, to no greater than 9.99%.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related to the Convertible Notes described above was $1,757,931 for the nine months ended September 30, 2023. Accrued interest totaled $1,041,388 as of September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Note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Exchange Agreement the Company entered into with High Trail Special Situations LLC on March 8, 2023, the Investor elected on April 26, 2023, to convert $1.6 million of the remaining outstanding principal amount on the Convertible Note for 153,617 shares of Common Stock of the Company.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above referenced accredited Lender (the “Letter Agreement”), pursuant to which the Company and the Investor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Investor, with the remaining 375,629 shares held in abeyance until the balance (or portion thereof) may be issued in compliance with such limitations. As a result, the Company recognized a loss on the redemption of $11,609.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Marketing Offering</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$0.5 million and legal fees totaling $0.1 million.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the Company’s 2022 Annual Report on Form 10-K, the Company is no longer eligible to utilize the registration statement on Form S-3 relating to the ATM Program, and does not anticipate any further sales under the ATM Program in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16, 2022, we entered into an underwriting agreement (the “Underwriting Agreement”) with Canaccord Genuity LLC as the underwriter, pursuant to which we agreed to sell an aggregate of 594,232 shares of our Common Stock, and, in lieu of Common Stock to certain investors that so chose, pre-funded warrants (the “Pre-Funded 2022 Warrants”) to purchase 75,000 shares of our Common Stock, and accompanying warrants (the “December 2022 Warrants”) to purchase 1,338,462 shares of our Common Stock (the “Offering”). The combined public offering price for each share of Common Stock and accompanying two warrants was $13.00 per share, and the combined offering price for each Pre-Funded Warrant and accompanying two warrants was $12.98 per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our Common Stock then outstanding (subject to the right of the holder to increase or decrease such beneficial ownership limitation upon notice to us, provided that such limitation cannot exceed 9.99%).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our Chairman and CEO, participated in the Offering and purchased 115,385 shares of Common Stock and 230,769 warrants for an aggregate purchase price of approximately $1.5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received aggregate gross proceeds to us from the Offering of approximately $8.7 million including offering costs of approximately $0.5 million for broker fees and legal expenses, for net proceeds of $8.2 million. We intend to use the net proceeds from the Offering, together with our existing cash resources, for working capital and general corporate purposes, which may include capital expenditures and repayment of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September 30, 2023 and 2022, we did not have any such financial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the acquisition of TriGrow, which occurred in 2020, the acquisition of Sinclair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 During the three and nine months ended September 30, 2023, no impairment charges were recorded.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2023 and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$0, $46, and $1,763 from related parties, respectively)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2,165</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11,135</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11,447</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50,703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53,263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(4,578</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(31,547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(132,843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16,268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(57,412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(130,492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(57,412)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attributable to non-controlling interest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1"/>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(57,413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(130,235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1,649,741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1,426,016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facility build-outs and extraction equipment and solutions. We believe that our product mix forms an integrated ecosystem which allows us to be engaged with our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three and nine months ended September 30, 2023 and 2022:</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ind w:left="180" w:hanging="161"/>
        <w:spacing w:after="0" w:line="261" w:lineRule="auto"/>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p>
      <w:pPr>
        <w:spacing w:after="0"/>
        <w:rPr>
          <w:sz w:val="20"/>
          <w:szCs w:val="20"/>
          <w:color w:val="auto"/>
        </w:rPr>
      </w:pPr>
      <w:r>
        <w:rPr>
          <w:rFonts w:ascii="Times New Roman" w:cs="Times New Roman" w:eastAsia="Times New Roman" w:hAnsi="Times New Roman"/>
          <w:sz w:val="18"/>
          <w:szCs w:val="18"/>
          <w:color w:val="auto"/>
        </w:rPr>
        <w:t>Agrify Insights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build-outs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Extraction solutions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8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(1,334)</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23,551</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(22,669)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5,680</w:t>
            </w:r>
          </w:p>
        </w:tc>
        <w:tc>
          <w:tcPr>
            <w:tcW w:w="8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(2,737)</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(15,694)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000000"/>
          </w:tcPr>
          <w:p>
            <w:pPr>
              <w:spacing w:after="0"/>
              <w:rPr>
                <w:sz w:val="2"/>
                <w:szCs w:val="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2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52,369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220" w:type="dxa"/>
            <w:vAlign w:val="bottom"/>
            <w:vMerge w:val="continue"/>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-496570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-205105</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-925195</wp:posOffset>
            </wp:positionV>
            <wp:extent cx="71323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60" w:space="280"/>
            <w:col w:w="8000"/>
          </w:cols>
          <w:pgMar w:left="320" w:top="873" w:right="339" w:bottom="1440" w:gutter="0" w:footer="0" w:header="0"/>
          <w:type w:val="continuous"/>
        </w:sect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Revenues decreased by less than $3.9 million, or 55% for the three months ended September 30, 2023 compared to the same period in 2022. Revenues decreased by $38.4 million, or 73% for the nine months ended September 30, 2023 compared to the same period in 2022. The comparative decrease in revenue was generated primarily from decreases in revenue from facility build-outs and extraction solutions. Extraction division revenues totaled $2.9 million and $12.4 million for the three and nine months ended September 30, 2023, respectively. Additionally, design and build revenues decreased by $1.3 million and $22.7 million for the three and nine months ended September 30, 2023, respectively, due to the continued build-out of facilities under our TTK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three and nine months ended September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8"/>
        </w:trPr>
        <w:tc>
          <w:tcPr>
            <w:tcW w:w="3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Cultivation solutions, including ancillary</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(733)</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(6,426)</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(27,246)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4,134</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(2,528)</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(11,277)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324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2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11,447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22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decreased by $9.0 million, or 81%, for the three months ended September 30, 2023 compared to the same period in 2022. Cost of goods sold decreased by $39.3 million, or 77%, for the nine months ended September 30, 2023 compared to the same period in 2022. The comparative quarterly decrease in cost of goods sold is associated with the decreased amount of subcontractor construction costs related to our facility build-outs, internal and outsourced labor and materials costs for the extraction solutions sales, and cultivation solutions, including ancillary products and services.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23"/>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CCEEFF"/>
            </w:tcBorders>
          </w:tcPr>
          <w:p>
            <w:pPr>
              <w:spacing w:after="0"/>
              <w:rPr>
                <w:sz w:val="19"/>
                <w:szCs w:val="19"/>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5,090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profit totaled $1.0 million, or 31.0% of total revenue during the three months ended September 30, 2023 compared to a gross loss of $4.1 million, or 58.6% of total revenue during the three months ended September 30, 2022. Gross profit totaled $2.6 million, or 18.3% of total revenue during the nine months ended September 30, 2023 compared to a gross profit of $1.7 million, or 3.2% of total revenue during the nine months ended September 30, 2022. The $5.1 million three-month and $0.9 million nine-month comparative decrease in gross profit is primarily attributable to to a smaller decrease in costs of goods sold relative to the decrease in revenue for the period. We realized a gross profit margin of 45% and 28% associated with our extraction solutions revenue for the three and nine months ended September 30, 2023, respectively, while we realized a gross loss margin of approximately 303% and 149% on our cultivation-related revenues for the three and nine months ended September 30, 2023,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4,321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24,126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(19,805)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53,263</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(37,197)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G&amp;A expense decreased by $19.8 million, or 82%, for the three months ended September 30, 2023, compared to the same period in 2022. G&amp;A expense decreased by $37.2 million, or 70%, for the nine months ended September 30, 2023, compared to the same period in 2022. The decrease for the three months ended September 30, 2023 was primarily attributable to a decrease in bad debt expenses, of approximately $15.6 million, a decrease in depreciation expense, of approximately $1 million, a decrease in stock based compensation, of approximately $1.1 million, a decrease in salaries and related costs for personnel, of approximately $0.8 million, a decrease in insurance expenses of approximately $0.3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development of our Agrify Insights software, next generation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VFUs and new Extraction products, which includes:</w:t>
      </w:r>
    </w:p>
    <w:p>
      <w:pPr>
        <w:spacing w:after="0" w:line="207"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40" w:hanging="308"/>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subcontractor under agreements to provide engineering work related to the development of our next generation VFUs and new extraction equipment;</w:t>
      </w:r>
    </w:p>
    <w:p>
      <w:pPr>
        <w:spacing w:after="0" w:line="161" w:lineRule="exact"/>
        <w:rPr>
          <w:rFonts w:ascii="Times New Roman" w:cs="Times New Roman" w:eastAsia="Times New Roman" w:hAnsi="Times New Roman"/>
          <w:sz w:val="18"/>
          <w:szCs w:val="18"/>
          <w:color w:val="auto"/>
        </w:rPr>
      </w:pPr>
    </w:p>
    <w:p>
      <w:pPr>
        <w:ind w:left="640" w:hanging="308"/>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R&amp;D expense decreased by $1.3 million, or 72%, for the three months ended September 30, 2023, compared to the same period in 2022. R&amp;D expense decreased by $4.4 million, or 70%, for the nine months ended September 30, 2023, compared to the same period in 2022. The decrease for the three months ended September 30, 2023, compared to the same period in 2022 is primarily attributable to decreased personnel and facility costs associated with the continued development of our VFUs.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continue to invest in future developments of our VFUs, Agrify Insights software and our extraction products. As a percentage of net revenue, R&amp;D expenses were 15.5% and 13.3% of total revenue for the three and nine months ended September 30, 2023, respectively, compared to 24.9% and 12.0% for the three and nine months ended September 30,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(3,060)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and marketing expenses decreased by $1.3 million, or 62%, for the three months ended September 30, 2023, compared to the same period in 2022. Selling and marketing expenses decreased by $3.1 million, or 46%, for the nine months ended September 30, 2023, compared to the same period in</w:t>
      </w:r>
    </w:p>
    <w:p>
      <w:pPr>
        <w:jc w:val="both"/>
        <w:spacing w:after="0" w:line="260" w:lineRule="auto"/>
        <w:rPr>
          <w:sz w:val="20"/>
          <w:szCs w:val="20"/>
          <w:color w:val="auto"/>
        </w:rPr>
      </w:pPr>
      <w:r>
        <w:rPr>
          <w:rFonts w:ascii="Times New Roman" w:cs="Times New Roman" w:eastAsia="Times New Roman" w:hAnsi="Times New Roman"/>
          <w:sz w:val="18"/>
          <w:szCs w:val="18"/>
          <w:color w:val="auto"/>
        </w:rPr>
        <w:t>2022. The decrease for the three months ended September 30, 2023 was primarily attributable to a reduction in salaries and related costs of personnel, of approximately $0.8 million, and a reduction in trade show and advertising costs, of approximately $0.5 million.</w:t>
      </w:r>
    </w:p>
    <w:p>
      <w:pPr>
        <w:sectPr>
          <w:pgSz w:w="11900" w:h="16838" w:orient="portrait"/>
          <w:cols w:equalWidth="0" w:num="1">
            <w:col w:w="11240"/>
          </w:cols>
          <w:pgMar w:left="320" w:top="873" w:right="3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(expense),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extinguishment of notes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80" w:type="dxa"/>
            <w:vAlign w:val="bottom"/>
            <w:gridSpan w:val="6"/>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880" w:type="dxa"/>
            <w:vAlign w:val="bottom"/>
            <w:gridSpan w:val="6"/>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8"/>
        </w:trPr>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(4,654)</w:t>
            </w:r>
          </w:p>
        </w:tc>
        <w:tc>
          <w:tcPr>
            <w:tcW w:w="2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4,291</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(7,404)</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5,842</w:t>
            </w:r>
          </w:p>
        </w:tc>
        <w:tc>
          <w:tcPr>
            <w:tcW w:w="220" w:type="dxa"/>
            <w:vAlign w:val="bottom"/>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16,268</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(14,293)</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47,234</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(43,635)</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(38,985)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38,985</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(38,985)</w:t>
            </w: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34,354</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(632)</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000000"/>
          </w:tcPr>
          <w:p>
            <w:pPr>
              <w:spacing w:after="0"/>
              <w:rPr>
                <w:sz w:val="2"/>
                <w:szCs w:val="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220" w:type="dxa"/>
            <w:vAlign w:val="bottom"/>
            <w:vMerge w:val="continue"/>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20" w:type="dxa"/>
            <w:vAlign w:val="bottom"/>
            <w:vMerge w:val="continue"/>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-496570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-205105</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-788035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80" w:space="260"/>
            <w:col w:w="8000"/>
          </w:cols>
          <w:pgMar w:left="320" w:top="873"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Interest income (expense), net decreased by $4.3 million, or 92%, for the three months ended September 30, 2023, compared to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Interest income (expense), net decreased by $5.8 million, or 79%, for the nine months ended September 30, 2023, compared to the same period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2022.The decrease in interest income is attributable mainly to interest from marketable securities and interest income from TTK Solutions.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decreased by $14.3 million, or 88% during the three months ended September 30, 2023, compared to the same period in 2022. The change in fair value of warrant liabilities decreased by $43.6 million, or 92% during the nine months ended September 30, 2023, compared to the same period in 2022.The decrease is related to the fair value remeasurement of warrants discussed in Note 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provision for (benefit from) income taxes for the nine months ended September 30, 2023 compared to the nine months ended September 30, 2022 was primarily due to a recording of a valuation allowance on the company’s net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2" w:name="page63"/>
    <w:bookmarkEnd w:id="6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2023, our principal sources of liquidity were cash and cash equivalents and marketable securities totaling $0.2 million.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$0.8 million from the unsecured PPP Loan which was originally scheduled to mature in May 2022. We applied for forgiveness on the $0.8 million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the Investor.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$0.3 million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2023, the Company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ranks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holder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nine months ended September 30,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(25,940)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(58,020)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25,235</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(4,135)</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(9,598)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52,292</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we incurred a net loss of $19.2 million, which included $3.6 million related to the change in fair value of warrant liabilities, $1.5 million of depreciation and amortization, $2.1 million of stock based compensation expense, and $24 thousand of debt issuance costs. Net cash was increased by changes in operating assets and liabilities of $6.4 million.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cash used in operating activities consists of net income adjusted for non-cash benefits and expenses, and changes in operating assets and liabilities. Our primary source of cash provided by operating activities is cash collections from our customers related to the sale of cultivation and extraction solutions. Our primary uses of cash from our operating activities include payments for employee-related expenditures, payments for inventory due to increased demand forecasts, construction costs related to TTK Solutions, acquisition-related costs and the payment of other operating expenses incurred in the ordinary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investing activities was $25.2 million, which included cash inflows of $10.5 million in proceeds from sale of securities and $15.3 million in proceeds from repayment of loan receivable, and cash outflows of $0.6 million related to a certain loan issuance of loan and $0.1 million in purchases of property and equipment.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cash provided by investing activities consists primarily of maturities and sales of investments in marketable securities. Cash used in investing activities consists primarily of purchases of marketable securities, cash paid associated with our 2022 acquisition of Lab Society, the issuance of loans receivable in connection with our financing of construction and equipment under its TTK Solutions offering and purchases of property and equipment expenditures. The capital expenditures support growth and investment in property and equipment, to expand research, development, and testing capabilities and, to a lesser extent, the replacement of existing equipment.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financing activities was $9.6 million. Net cash used in financing activities was primarily driven by the repayment of certain of our debt instruments of $10.3 million, and payments on insurance financing loans of $1.2 million, offset by proceeds generated from the sale of securities pursuant to our “at the market” program, net, of $1.5 million and proceeds from issuance of a related party note of $0.5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cash provided by financing activities consists primarily of proceeds from the issuance of Common Stock, debt, and warrants in private placements and proceeds from the initial and secondary public offerings. Cash used in financing activities consists primarily of repayment of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consolidated financial statements, which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consolidated financial statements are detailed in Note 1 - Overview, Basis of Presentation and Significant Accounting Policies included in our 2022 Annual Report and Note 1 - Overview, Basis of Presentation and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consolidated financial statements covered under Part I, Item 1 of this Quarterly Report on Form 10-Q.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the Company is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Chief Executive Officer carried out an evaluation of the effectiveness of the design and operation of our disclosure controls and procedures as of September 30, 2023. Based on this evaluation, our Chief Executive Officer concluded that, due to the material weaknesses in our internal control over financial reporting previously identified in Item 9A, “Controls and Procedures” of our Annual Report on Form 10-K for the fiscal year ended December 31, 2022 and filed with the SEC on November 28, 2023, our disclosure controls and procedures were not effective at the reasonable assurance level as of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implementing certain measures to remediate the material weaknesses identified in the design and operation of our internal control over financial reporting, including hiring technically qualified personnel and improving our technical accounting resources and capabilities. Other than those measures, there have been no changes in our internal control over financial reporting (as such term is defined in Rules 13a-15(f) and 15d-15(f) under the Exchange Act) during the quarter ended September 30, 2023 that have materially affected, or are reasonably likely to materially affect, our internal control over financial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15 - Commitments and Contingencies to our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are no material changes to our risk factors as previously disclosed in Part I, Item 1A of our Annual Report on Form 10-K for the year ended December 31, 2022.</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recently completed reverse stock split is subject to several risks, and we cannot predict whether it will increase the market price for our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whether the 1-for-20 reverse stock split completed on July 5, 2023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80"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shares of Common Stock post-split may not remain in excess of the Minimum Bid Requirement, or we may fail to meet the other requirements for continued listing on Nasdaq, resulting in the delisting of our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will result in the intended benefits.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could be viewed negatively by the market and other factors may adversely affect the market price of the shares of our Common Stock. Consequently, the market price per post-split share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right w:val="single" w:sz="8" w:color="CCEEFF"/>
            </w:tcBorders>
            <w:gridSpan w:val="9"/>
            <w:shd w:val="clear" w:color="auto" w:fill="CCEEFF"/>
          </w:tcPr>
          <w:p>
            <w:pPr>
              <w:spacing w:after="0" w:line="169"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Promissory Note, dated July 12, 2023, issued by Agrify Corporation to GIC Acquisition, LLC (incorporated by reference to Exhibit 4.1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 Registrant’s Current Report on Form 8-K filed with the Securities and Exchange Commission on July 14,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7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Exchange Warrant, dated October 27, 2023, issued by Agrify Corporation to High Trail Special Situations LLC (incorporated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to Exhibit 4.1 to the Registrant’s Current Report on Form 8-K filed with the Securities and Exchange Commission on October 30,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Abeyance Warrant, dated October 27, 2023, issued by Agrify Corporation to High Trail Special Situations LLC (incorporated by reference</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6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to Exhibit 4.2 to the Registrant’s Current Report on Form 8-K filed with the Securities and Exchange Commission on October 30, 2023).</w:t>
              </w:r>
            </w:hyperlink>
          </w:p>
        </w:tc>
        <w:tc>
          <w:tcPr>
            <w:tcW w:w="240" w:type="dxa"/>
            <w:vAlign w:val="bottom"/>
            <w:tcBorders>
              <w:top w:val="single" w:sz="8" w:color="0000EE"/>
              <w:bottom w:val="single" w:sz="8" w:color="CCEEFF"/>
              <w:right w:val="single" w:sz="8" w:color="CCEEFF"/>
            </w:tcBorders>
            <w:gridSpan w:val="2"/>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Common Stock Purchase Warrant, dated October 18, 2023, issued by Agrify Corporation to Mack Molding Company, Inc.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reference to Exhibit 4.3 to the Registrant’s Current Report on Form 8-K filed with the Securities and Exchange Commission on October 30,</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2023).</w:t>
              </w:r>
            </w:hyperlink>
          </w:p>
        </w:tc>
        <w:tc>
          <w:tcPr>
            <w:tcW w:w="80" w:type="dxa"/>
            <w:vAlign w:val="bottom"/>
            <w:tcBorders>
              <w:top w:val="single" w:sz="8" w:color="0000EE"/>
            </w:tcBorders>
          </w:tcPr>
          <w:p>
            <w:pPr>
              <w:spacing w:after="0"/>
              <w:rPr>
                <w:sz w:val="17"/>
                <w:szCs w:val="17"/>
                <w:color w:val="auto"/>
              </w:rPr>
            </w:pPr>
          </w:p>
        </w:tc>
        <w:tc>
          <w:tcPr>
            <w:tcW w:w="47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Junior Secured Promissory Note, dated October 27, 2023, issued by Agrify Corporation to GIC Acquisition, LLC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(incorporated by reference to Exhibit 4.4 to the Registrant’s Current Report on Form 8-K filed with the Securities and Exchange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Commission on October 30,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Junior Secured Promissory Note, dated October 27, 2023, issued by Agrify Corporation to CP Acquisitions, LLC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reference to Exhibit 4.5 to the Registrant’s Current Report on Form 8-K filed with the Securities and Exchange Commission on October 30,</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2023).</w:t>
              </w:r>
            </w:hyperlink>
          </w:p>
        </w:tc>
        <w:tc>
          <w:tcPr>
            <w:tcW w:w="80" w:type="dxa"/>
            <w:vAlign w:val="bottom"/>
            <w:tcBorders>
              <w:top w:val="single" w:sz="8" w:color="0000EE"/>
            </w:tcBorders>
          </w:tcPr>
          <w:p>
            <w:pPr>
              <w:spacing w:after="0"/>
              <w:rPr>
                <w:sz w:val="17"/>
                <w:szCs w:val="17"/>
                <w:color w:val="auto"/>
              </w:rPr>
            </w:pPr>
          </w:p>
        </w:tc>
        <w:tc>
          <w:tcPr>
            <w:tcW w:w="47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Amendment to Junior Secured Promissory Note, dated December 4, 2023, between Agrify Corporation and CP Acquisitions, LLC</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(incorporated by reference to Exhibit 4.1 to the Registrant’s Current Report on Form 8-K filed with the Securities and Exchange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Commission on December 6, 2023).</w:t>
              </w:r>
            </w:hyperlink>
          </w:p>
        </w:tc>
        <w:tc>
          <w:tcPr>
            <w:tcW w:w="7480" w:type="dxa"/>
            <w:vAlign w:val="bottom"/>
            <w:tcBorders>
              <w:bottom w:val="single" w:sz="8" w:color="CCEEFF"/>
              <w:right w:val="single" w:sz="8" w:color="CCEEFF"/>
            </w:tcBorders>
            <w:gridSpan w:val="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Company and Investor Acknowledgment and Release, dated October 27, 2023, between Agrify Corporation and CP Acquisitions LLC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Commission on October 30,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Letter Agreement, dated October 27, 2023, between Agrify Corporation and High Trail Special Situations LLC (incorporated by reference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to Exhibit 10.2 to the Registrant’s Current Report on Form 8-K filed with the Securities and Exchange Commission on October 30,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7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10.3† ††</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Modification Agreement, effective October 18, 2023, between Agrify Corporation and Mack Molding Company (incorporated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to Exhibit 10.3 to the Registrant’s Current Report on Form 8-K filed with the Securities and Exchange Commission on October 30,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85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Rule 13(a)-14(a)/15(d)-14(a) Certification of principal executive officer and principal financial and accounting officer</w:t>
            </w:r>
          </w:p>
        </w:tc>
        <w:tc>
          <w:tcPr>
            <w:tcW w:w="1600" w:type="dxa"/>
            <w:vAlign w:val="bottom"/>
            <w:tcBorders>
              <w:bottom w:val="single" w:sz="8" w:color="CCEEFF"/>
              <w:right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principal executive officer and principal financial and accounting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7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520" w:firstLine="8"/>
        <w:spacing w:after="0" w:line="490" w:lineRule="auto"/>
        <w:tabs>
          <w:tab w:leader="none" w:pos="11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 (b)(32) of Regulation S-K.</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7"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5628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Chang,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Agrify Corporation (the “Company”) for the quarterly period ended September 30, 2023;</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 2024</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Agrify Corporation (the “Company”) for the quarterly period ended September 30, 2023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 2024</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amp;"/>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83" Type="http://schemas.openxmlformats.org/officeDocument/2006/relationships/hyperlink" Target="https://www.sec.gov/Archives/edgar/data/1800637/000121390023057077/ea181831ex4-1_agrifycorp.htm" TargetMode="External"/><Relationship Id="rId84" Type="http://schemas.openxmlformats.org/officeDocument/2006/relationships/hyperlink" Target="https://www.sec.gov/Archives/edgar/data/1800637/000121390023083943/ea187778ex4-1_agrifycorp.htm" TargetMode="External"/><Relationship Id="rId85" Type="http://schemas.openxmlformats.org/officeDocument/2006/relationships/hyperlink" Target="https://www.sec.gov/Archives/edgar/data/1800637/000121390023083943/ea187778ex4-2_agrifycorp.htm" TargetMode="External"/><Relationship Id="rId86" Type="http://schemas.openxmlformats.org/officeDocument/2006/relationships/hyperlink" Target="https://www.sec.gov/Archives/edgar/data/1800637/000121390023083943/ea187778ex4-3_agrifycorp.htm" TargetMode="External"/><Relationship Id="rId87" Type="http://schemas.openxmlformats.org/officeDocument/2006/relationships/hyperlink" Target="https://www.sec.gov/Archives/edgar/data/1800637/000121390023083943/ea187778ex4-4_agrifycorp.htm" TargetMode="External"/><Relationship Id="rId88" Type="http://schemas.openxmlformats.org/officeDocument/2006/relationships/hyperlink" Target="https://www.sec.gov/Archives/edgar/data/1800637/000121390023083943/ea187778ex4-5_agrifycorp.htm" TargetMode="External"/><Relationship Id="rId89" Type="http://schemas.openxmlformats.org/officeDocument/2006/relationships/hyperlink" Target="https://www.sec.gov/Archives/edgar/data/1800637/000121390023093703/ea189579ex4-1_agrify.htm" TargetMode="External"/><Relationship Id="rId90" Type="http://schemas.openxmlformats.org/officeDocument/2006/relationships/hyperlink" Target="https://www.sec.gov/Archives/edgar/data/1800637/000121390023083943/ea187778ex10-1_agrifycorp.htm" TargetMode="External"/><Relationship Id="rId91" Type="http://schemas.openxmlformats.org/officeDocument/2006/relationships/hyperlink" Target="https://www.sec.gov/Archives/edgar/data/1800637/000121390023083943/ea187778ex10-2_agrifycorp.htm" TargetMode="External"/><Relationship Id="rId92" Type="http://schemas.openxmlformats.org/officeDocument/2006/relationships/hyperlink" Target="https://www.sec.gov/Archives/edgar/data/1800637/000121390023083943/ea187778ex10-3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2024-01-03T06:38:19Z</dcterms:created>
  <dcterms:modified xsi:type="dcterms:W3CDTF">2024-01-03T06:38:19Z</dcterms:modified>
</cp:coreProperties>
</file>