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1464-8k_rythm.htm"/>
      <w:bookmarkStart w:id="1" w:name="ksea03014648k_rythm"/>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081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0_edei--EntityRegistrantName_c2026"/>
      <w:bookmarkEnd w:id="4"/>
      <w:r>
        <w:rPr>
          <w:rFonts w:ascii="Times New Roman;Times;Serif" w:hAnsi="Times New Roman;Times;Serif"/>
          <w:b/>
          <w:i w:val="false"/>
          <w:caps w:val="false"/>
          <w:smallCaps w:val="false"/>
          <w:sz w:val="20"/>
        </w:rPr>
        <w:t>RYTHM,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8_edei--EntityIncorporationStateCo"/>
            <w:bookmarkEnd w:id="5"/>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3_edei--EntityFileNumber_c20260810"/>
            <w:bookmarkEnd w:id="6"/>
            <w:r>
              <w:rPr>
                <w:rFonts w:ascii="Times New Roman;Times;Serif" w:hAnsi="Times New Roman;Times;Serif"/>
                <w:b/>
                <w:sz w:val="20"/>
              </w:rPr>
              <w:t>001-39946</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A_edei--EntityTaxIdentificationNum"/>
            <w:bookmarkEnd w:id="7"/>
            <w:r>
              <w:rPr>
                <w:rFonts w:ascii="Times New Roman;Times;Serif" w:hAnsi="Times New Roman;Times;Serif"/>
                <w:b/>
                <w:sz w:val="20"/>
              </w:rPr>
              <w:t>30-0943453</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sz w:val="20"/>
              </w:rPr>
            </w:pPr>
            <w:bookmarkStart w:id="8" w:name="xdx_904_edei--EntityAddressAddressLine1_"/>
            <w:bookmarkEnd w:id="8"/>
            <w:r>
              <w:rPr>
                <w:rFonts w:ascii="Times New Roman;Times;Serif" w:hAnsi="Times New Roman;Times;Serif"/>
                <w:b/>
                <w:sz w:val="20"/>
              </w:rPr>
              <w:t xml:space="preserve">2220 Hicks Road, </w:t>
            </w:r>
            <w:bookmarkStart w:id="9" w:name="xdx_90F_edei--EntityAddressAddressLine2_"/>
            <w:bookmarkEnd w:id="9"/>
            <w:r>
              <w:rPr>
                <w:rFonts w:ascii="Times New Roman;Times;Serif" w:hAnsi="Times New Roman;Times;Serif"/>
                <w:b/>
                <w:sz w:val="20"/>
              </w:rPr>
              <w:t>Suite 210</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r>
      <w:tr>
        <w:trPr/>
        <w:tc>
          <w:tcPr>
            <w:tcW w:w="32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bookmarkStart w:id="10" w:name="xdx_906_edei--EntityAddressCityOrTown_c2"/>
            <w:bookmarkEnd w:id="10"/>
            <w:r>
              <w:rPr>
                <w:rFonts w:ascii="Times New Roman;Times;Serif" w:hAnsi="Times New Roman;Times;Serif"/>
                <w:b/>
                <w:sz w:val="20"/>
              </w:rPr>
              <w:t xml:space="preserve">Rolling Meadows, </w:t>
            </w:r>
            <w:bookmarkStart w:id="11" w:name="xdx_907_edei--EntityAddressStateOrProvin"/>
            <w:bookmarkEnd w:id="11"/>
            <w:r>
              <w:rPr>
                <w:rFonts w:ascii="Times New Roman;Times;Serif" w:hAnsi="Times New Roman;Times;Serif"/>
                <w:b/>
                <w:sz w:val="20"/>
              </w:rPr>
              <w:t>IL</w:t>
            </w:r>
          </w:p>
        </w:tc>
        <w:tc>
          <w:tcPr>
            <w:tcW w:w="60" w:type="dxa"/>
            <w:tcBorders/>
            <w:vAlign w:val="center"/>
          </w:tcPr>
          <w:p>
            <w:pPr>
              <w:pStyle w:val="TableContents"/>
              <w:bidi w:val="0"/>
              <w:spacing w:before="0" w:after="283"/>
              <w:jc w:val="left"/>
              <w:rPr/>
            </w:pPr>
            <w:r>
              <w:rPr/>
              <w:t> </w:t>
            </w:r>
          </w:p>
        </w:tc>
        <w:tc>
          <w:tcPr>
            <w:tcW w:w="92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bookmarkStart w:id="12" w:name="xdx_902_edei--EntityAddressPostalZipCode"/>
            <w:bookmarkEnd w:id="12"/>
            <w:r>
              <w:rPr>
                <w:rFonts w:ascii="Times New Roman;Times;Serif" w:hAnsi="Times New Roman;Times;Serif"/>
                <w:b/>
                <w:sz w:val="20"/>
              </w:rPr>
              <w:t>60068</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A_edei--CityAreaCode_c20260810__20"/>
      <w:bookmarkEnd w:id="13"/>
      <w:r>
        <w:rPr>
          <w:rFonts w:ascii="Times New Roman;Times;Serif" w:hAnsi="Times New Roman;Times;Serif"/>
          <w:b/>
          <w:i w:val="false"/>
          <w:caps w:val="false"/>
          <w:smallCaps w:val="false"/>
          <w:sz w:val="20"/>
        </w:rPr>
        <w:t xml:space="preserve">855) </w:t>
      </w:r>
      <w:bookmarkStart w:id="14" w:name="xdx_90F_edei--LocalPhoneNumber_c20260810"/>
      <w:bookmarkEnd w:id="14"/>
      <w:r>
        <w:rPr>
          <w:rFonts w:ascii="Times New Roman;Times;Serif" w:hAnsi="Times New Roman;Times;Serif"/>
          <w:b/>
          <w:i w:val="false"/>
          <w:caps w:val="false"/>
          <w:smallCaps w:val="false"/>
          <w:sz w:val="20"/>
        </w:rPr>
        <w:t>420-0020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C_edei--WrittenCommunications_c202"/>
            <w:bookmarkEnd w:id="15"/>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9_edei--SolicitingMaterial_c202608"/>
            <w:bookmarkEnd w:id="16"/>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B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bookmarkStart w:id="18" w:name="xdx_90D_edei--PreCommencementIssuerTende"/>
            <w:bookmarkEnd w:id="18"/>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25" w:type="dxa"/>
        <w:jc w:val="left"/>
        <w:tblInd w:w="0" w:type="dxa"/>
        <w:tblLayout w:type="fixed"/>
        <w:tblCellMar>
          <w:top w:w="0" w:type="dxa"/>
          <w:left w:w="0" w:type="dxa"/>
          <w:bottom w:w="28" w:type="dxa"/>
          <w:right w:w="0" w:type="dxa"/>
        </w:tblCellMar>
      </w:tblPr>
      <w:tblGrid>
        <w:gridCol w:w="3515"/>
        <w:gridCol w:w="60"/>
        <w:gridCol w:w="1580"/>
        <w:gridCol w:w="60"/>
        <w:gridCol w:w="3710"/>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5_edei--Security12bTitle_c20260810"/>
            <w:bookmarkEnd w:id="19"/>
            <w:r>
              <w:rPr>
                <w:rFonts w:ascii="Times New Roman;Times;Serif" w:hAnsi="Times New Roman;Times;Serif"/>
                <w:sz w:val="20"/>
              </w:rPr>
              <w:t>Common Stock, par value $0.001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9_edei--TradingSymbol_c20260810__2"/>
            <w:bookmarkEnd w:id="20"/>
            <w:r>
              <w:rPr>
                <w:rFonts w:ascii="Times New Roman;Times;Serif" w:hAnsi="Times New Roman;Times;Serif"/>
                <w:sz w:val="20"/>
              </w:rPr>
              <w:t>RYM</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A_edei--SecurityExchangeName_c2026"/>
            <w:bookmarkEnd w:id="21"/>
            <w:r>
              <w:rPr>
                <w:rFonts w:ascii="Times New Roman;Times;Serif" w:hAnsi="Times New Roman;Times;Serif"/>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9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8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following the adjournment of a special meeting of stockholders of RYTHM, Inc. (the “Company”) held on that day (the “Special Meeting”), the Company entered into an amendment agreement (the “Amendment”) with RSLGH, LLC (“RSLGH”) and Vision Management Services, LLC (“VMS”). RSLGH and VMS are subsidiaries of Green Thumb Industries Inc. (“Green Thumb”). Benjamin Kovler, the Company’s Chairman and Interim Chief Executive Officer, also serves as Green Thumb’s Chairman and Chief Executive Officer, and Armon Vakili, a member of the Company’s Board of Directors (the “Board”), also serves as an employee of Green Thumb.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upon its effective date, will amend the terms of (i) outstanding pre-funded warrants (the “Warrants”) to purchase an aggregate of up to 9,731,638 shares of the Company’s common stock, par value $0.001 per share (the “Common Stock”) held by RSLGH, (ii) outstanding secured convertible notes held by RSLGH with an aggregate original principal amount of $72.0 million (the “Notes”), and (iii) the Amended and Restated Shared Services Agreement originally entered into between the Company and VMS on May 20, 2025 (the “Services Agreement”). Pursuant to the Amendment, the Notes, the Warrants and the Services Agreement will be amended to remove all beneficial ownership limitations with respect to the conversion of the Notes, the exercise of the Warrants, and the exercise of certain pre-funded warrants that may be issued in the future pursuant to conversion of the Notes or under the Services Agreement. The effective date of the Amendment is October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Amendment does not purport to be complete and is qualified in its entirety by reference to a copy of the Amendment, which is filed as Exhibit 10.1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regarding the amendment of the Notes pursuant to the Amendment is incorporated herein by reference into this Item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regarding the amendment of the Notes, the Warrants, and the Services Agreement pursuant to the Amendment is incorporated herein by reference into this Item 3.02.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Warrants, any future pre-funded warrants that may be issued under the Notes or the Services Agreement, and the shares of Common Stock underlying such securities (collectively, the “Securities”) were, and will be, offered and sold in transactions exempt from registration under the Securities Act of 1933, as amended (the “Securities Act”) in reliance on Section 4(a)(2) thereof and Rule 506(b) of Regulation D thereunder. RSLGH is an “accredited investor,” as defined in Regulation D, and acquired the Securities for investment only and not with a view towards, or for resale in connection with, the public sale or distribution thereof. Accordingly, the Securities will not be registered under the Securities Act and the Securities may not be offered or sold in the United States absent registration or an exemption from registration under the Securities Act and any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5.01 Changes in Control of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Amendment, and as described in Item 1.01, the beneficial ownership limitations contained in the Notes and the Warrants held by RSLGH were removed from those instruments. As a result of the removal of those beneficial ownership limitations, the beneficial ownership of RSLGH in the Company’s Common Stock increased from 49.99% to approximately 89.9% as of August 11, 2026, which is 60 days prior to the effective date of the Amendment, in accordance with the definition of beneficial ownership set forth in Rule 13d-3 under the Securities Exchange Act of 1934, as amended. As of August 10, 2026, there were 2,179,128 shares of Common Stock outstanding, of which 698,961were held by RSLGH.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consideration paid for such securities was $109.5 million, the sources of which were the working capital of Green Thumb, together with interest payable under the Notes and fees payable under the Services Agreement. There are no arrangements or understandings among Green Thumb and any other stockholders of the Company with respect to the election of directors or other matters. There are no arrangements known to the Company that may at a subsequent date result in a further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Descriptions of the transactions that resulted in the issuance of the Notes and the Warrants to RSLGH, and the entry into the Services Agreement with VMS, were previously reported in the definitive proxy statement on </w:t>
      </w:r>
      <w:hyperlink r:id="rId2">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xml:space="preserve"> filed by the Company with the Securities and Exchange Commission (the “Commission”) on July 9, 2026 (the “Proxy Statement”) and in the Company’s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filed with the Commission on March 3, 2026, which descriptions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August 10, 2026, at the Special Meeting, the Company’s shareholders approved issuance of shares of Common Stock to the holders (including RSLGH) of certain convertible promissory notes (including the Notes) and warrants (including the Warrants) and pursuant to the Services Agreement in accordance with Nasdaq Listing Rule 5635. Of the Company’s 2,179,128 shares of common stock issued and outstanding and eligible to vote as of the record date of June 26, 2026, 1,128,854 shares, or approximately 51.8% of the eligible shares, were represented at the Special Meeting either in person or by proxy, constituting a quorum. A description of the matter voted upon at the Special Meeting is described in the Proxy Statement. The voting results were: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Proposal 1 </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To Approve the Issuance of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vote to approve the issuance of shares of Common Stock to the holders of certain convertible promissory notes and warrants and pursuant to shared services agreements in accordance with Nasdaq Listing Rule 5635, was as follows:</w:t>
        <w:br/>
        <w:t> </w:t>
      </w:r>
    </w:p>
    <w:tbl>
      <w:tblPr>
        <w:tblW w:w="4530" w:type="dxa"/>
        <w:jc w:val="left"/>
        <w:tblInd w:w="0" w:type="dxa"/>
        <w:tblLayout w:type="fixed"/>
        <w:tblCellMar>
          <w:top w:w="0" w:type="dxa"/>
          <w:left w:w="0" w:type="dxa"/>
          <w:bottom w:w="28" w:type="dxa"/>
          <w:right w:w="0" w:type="dxa"/>
        </w:tblCellMar>
      </w:tblPr>
      <w:tblGrid>
        <w:gridCol w:w="1100"/>
        <w:gridCol w:w="60"/>
        <w:gridCol w:w="1490"/>
        <w:gridCol w:w="60"/>
        <w:gridCol w:w="1745"/>
        <w:gridCol w:w="75"/>
      </w:tblGrid>
      <w:tr>
        <w:trPr/>
        <w:tc>
          <w:tcPr>
            <w:tcW w:w="1100" w:type="dxa"/>
            <w:tcBorders>
              <w:bottom w:val="single" w:sz="12" w:space="0" w:color="000000"/>
            </w:tcBorders>
            <w:vAlign w:val="center"/>
          </w:tcPr>
          <w:p>
            <w:pPr>
              <w:pStyle w:val="TableContents"/>
              <w:bidi w:val="0"/>
              <w:spacing w:before="0" w:after="283"/>
              <w:jc w:val="center"/>
              <w:rPr/>
            </w:pPr>
            <w:r>
              <w:rPr>
                <w:b/>
              </w:rPr>
              <w:t>Votes For</w:t>
            </w:r>
            <w:r>
              <w:rPr/>
              <w:t xml:space="preserve"> </w:t>
            </w:r>
          </w:p>
        </w:tc>
        <w:tc>
          <w:tcPr>
            <w:tcW w:w="60" w:type="dxa"/>
            <w:tcBorders/>
            <w:tcMar>
              <w:bottom w:w="0" w:type="dxa"/>
            </w:tcMar>
            <w:vAlign w:val="center"/>
          </w:tcPr>
          <w:p>
            <w:pPr>
              <w:pStyle w:val="TableContents"/>
              <w:bidi w:val="0"/>
              <w:spacing w:before="0" w:after="283"/>
              <w:jc w:val="center"/>
              <w:rPr/>
            </w:pPr>
            <w:r>
              <w:rPr/>
              <w:t> </w:t>
            </w:r>
          </w:p>
        </w:tc>
        <w:tc>
          <w:tcPr>
            <w:tcW w:w="1490" w:type="dxa"/>
            <w:tcBorders>
              <w:bottom w:val="single" w:sz="12" w:space="0" w:color="000000"/>
            </w:tcBorders>
            <w:vAlign w:val="center"/>
          </w:tcPr>
          <w:p>
            <w:pPr>
              <w:pStyle w:val="TableContents"/>
              <w:bidi w:val="0"/>
              <w:spacing w:before="0" w:after="283"/>
              <w:jc w:val="center"/>
              <w:rPr/>
            </w:pPr>
            <w:r>
              <w:rPr>
                <w:b/>
              </w:rPr>
              <w:t>Votes Against</w:t>
            </w:r>
            <w:r>
              <w:rPr/>
              <w:t xml:space="preserve"> </w:t>
            </w:r>
          </w:p>
        </w:tc>
        <w:tc>
          <w:tcPr>
            <w:tcW w:w="60" w:type="dxa"/>
            <w:tcBorders/>
            <w:tcMar>
              <w:bottom w:w="0" w:type="dxa"/>
            </w:tcMar>
            <w:vAlign w:val="center"/>
          </w:tcPr>
          <w:p>
            <w:pPr>
              <w:pStyle w:val="TableContents"/>
              <w:bidi w:val="0"/>
              <w:spacing w:before="0" w:after="283"/>
              <w:jc w:val="center"/>
              <w:rPr/>
            </w:pPr>
            <w:r>
              <w:rPr/>
              <w:t> </w:t>
            </w:r>
          </w:p>
        </w:tc>
        <w:tc>
          <w:tcPr>
            <w:tcW w:w="1745" w:type="dxa"/>
            <w:tcBorders>
              <w:bottom w:val="single" w:sz="12" w:space="0" w:color="000000"/>
            </w:tcBorders>
            <w:vAlign w:val="center"/>
          </w:tcPr>
          <w:p>
            <w:pPr>
              <w:pStyle w:val="TableContents"/>
              <w:bidi w:val="0"/>
              <w:spacing w:before="0" w:after="283"/>
              <w:jc w:val="center"/>
              <w:rPr/>
            </w:pPr>
            <w:r>
              <w:rPr>
                <w:b/>
              </w:rPr>
              <w:t>Votes Abstained</w:t>
            </w:r>
            <w:r>
              <w:rPr/>
              <w:t xml:space="preserve"> </w:t>
            </w:r>
          </w:p>
        </w:tc>
        <w:tc>
          <w:tcPr>
            <w:tcW w:w="75" w:type="dxa"/>
            <w:tcBorders/>
            <w:tcMar>
              <w:bottom w:w="0" w:type="dxa"/>
            </w:tcMar>
            <w:vAlign w:val="center"/>
          </w:tcPr>
          <w:p>
            <w:pPr>
              <w:pStyle w:val="TableContents"/>
              <w:bidi w:val="0"/>
              <w:spacing w:before="0" w:after="283"/>
              <w:jc w:val="center"/>
              <w:rPr/>
            </w:pPr>
            <w:r>
              <w:rPr/>
              <w:t> </w:t>
            </w:r>
          </w:p>
        </w:tc>
      </w:tr>
      <w:tr>
        <w:trPr/>
        <w:tc>
          <w:tcPr>
            <w:tcW w:w="11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1,118,058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 and Exhibits.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6"/>
        <w:gridCol w:w="60"/>
        <w:gridCol w:w="9339"/>
      </w:tblGrid>
      <w:tr>
        <w:trPr/>
        <w:tc>
          <w:tcPr>
            <w:tcW w:w="806"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39"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0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9" w:type="dxa"/>
            <w:tcBorders/>
            <w:shd w:fill="CCEEFF" w:val="clear"/>
            <w:tcMar>
              <w:bottom w:w="0" w:type="dxa"/>
            </w:tcMar>
            <w:vAlign w:val="center"/>
          </w:tcPr>
          <w:p>
            <w:pPr>
              <w:pStyle w:val="TableContents"/>
              <w:bidi w:val="0"/>
              <w:spacing w:before="0" w:after="283"/>
              <w:jc w:val="left"/>
              <w:rPr/>
            </w:pPr>
            <w:hyperlink w:anchor="ea030146401ex10-1.htm">
              <w:r>
                <w:rPr>
                  <w:rStyle w:val="InternetLink"/>
                  <w:rFonts w:ascii="Times New Roman;Times;Serif" w:hAnsi="Times New Roman;Times;Serif"/>
                  <w:sz w:val="20"/>
                </w:rPr>
                <w:t>Amendment to Secured Convertible Notes, Pre-Funded Common Stock Purchase Warrants, and Amended and Restated Shared Services Agreement effective October 10, 2026, among RYTHM, Inc., RSLGH, LLC and Vision Management Services, LLC</w:t>
              </w:r>
            </w:hyperlink>
          </w:p>
        </w:tc>
      </w:tr>
      <w:tr>
        <w:trPr/>
        <w:tc>
          <w:tcPr>
            <w:tcW w:w="80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1865"/>
        <w:gridCol w:w="365"/>
        <w:gridCol w:w="1895"/>
      </w:tblGrid>
      <w:tr>
        <w:trPr/>
        <w:tc>
          <w:tcPr>
            <w:tcW w:w="186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RYTHM, INC.</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11,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Brad Asher</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Brad Asher</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4" w:name="ea030146401ex10-1.htm"/>
      <w:bookmarkStart w:id="25" w:name="ksea030146401ex101"/>
      <w:bookmarkEnd w:id="24"/>
      <w:bookmarkEnd w:id="25"/>
      <w:r>
        <w:rPr>
          <w:b/>
        </w:rPr>
        <w:t>Exhibit 10.1</w:t>
      </w:r>
      <w:r>
        <w:br w:type="page"/>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AMENDMENT TO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CONVERTIBLE NOTES,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COMMON STOCK PURCHASE WARRANTS, 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SHARED SERVICES AGREEMENT</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val="false"/>
          <w:smallCaps/>
          <w:sz w:val="20"/>
        </w:rPr>
        <w:t xml:space="preserve">AMENDMENT TO </w:t>
      </w:r>
      <w:r>
        <w:rPr>
          <w:rFonts w:ascii="Times New Roman;Times;Serif" w:hAnsi="Times New Roman;Times;Serif"/>
          <w:b w:val="false"/>
          <w:i w:val="false"/>
          <w:caps w:val="false"/>
          <w:smallCaps w:val="false"/>
          <w:sz w:val="20"/>
        </w:rPr>
        <w:t>SECURED CONVERTIBLE NOTES, PRE-FUNDED COMMON STOCK PURCHASE WARRANTS, AND AMENDED AND RESTATED SHARED SERVICES AGREEMENT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is entered into as of August 10, 2026 and shall be effective as of October 10, 2026 (the “</w:t>
      </w:r>
      <w:r>
        <w:rPr>
          <w:rFonts w:ascii="Times New Roman;Times;Serif" w:hAnsi="Times New Roman;Times;Serif"/>
          <w:b w:val="false"/>
          <w:i w:val="false"/>
          <w:caps w:val="false"/>
          <w:smallCaps w:val="false"/>
          <w:sz w:val="20"/>
          <w:u w:val="single"/>
        </w:rPr>
        <w:t>Amendment Effective Date</w:t>
      </w:r>
      <w:r>
        <w:rPr>
          <w:rFonts w:ascii="Times New Roman;Times;Serif" w:hAnsi="Times New Roman;Times;Serif"/>
          <w:b w:val="false"/>
          <w:i w:val="false"/>
          <w:caps w:val="false"/>
          <w:smallCaps w:val="false"/>
          <w:sz w:val="20"/>
        </w:rPr>
        <w:t>”), by and among RYTHM, Inc., a Nevada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RSLGH, LLC, a Delaware limited liability company (“</w:t>
      </w:r>
      <w:r>
        <w:rPr>
          <w:rFonts w:ascii="Times New Roman;Times;Serif" w:hAnsi="Times New Roman;Times;Serif"/>
          <w:b w:val="false"/>
          <w:i w:val="false"/>
          <w:caps w:val="false"/>
          <w:smallCaps w:val="false"/>
          <w:sz w:val="20"/>
          <w:u w:val="single"/>
        </w:rPr>
        <w:t>RSLGH</w:t>
      </w:r>
      <w:r>
        <w:rPr>
          <w:rFonts w:ascii="Times New Roman;Times;Serif" w:hAnsi="Times New Roman;Times;Serif"/>
          <w:b w:val="false"/>
          <w:i w:val="false"/>
          <w:caps w:val="false"/>
          <w:smallCaps w:val="false"/>
          <w:sz w:val="20"/>
        </w:rPr>
        <w:t>”), and Vision Management Services, LLC, a Delaware limited liability company (“</w:t>
      </w:r>
      <w:r>
        <w:rPr>
          <w:rFonts w:ascii="Times New Roman;Times;Serif" w:hAnsi="Times New Roman;Times;Serif"/>
          <w:b w:val="false"/>
          <w:i w:val="false"/>
          <w:caps w:val="false"/>
          <w:smallCaps w:val="false"/>
          <w:sz w:val="20"/>
          <w:u w:val="single"/>
        </w:rPr>
        <w:t>VMS</w:t>
      </w:r>
      <w:r>
        <w:rPr>
          <w:rFonts w:ascii="Times New Roman;Times;Serif" w:hAnsi="Times New Roman;Times;Serif"/>
          <w:b w:val="false"/>
          <w:i w:val="false"/>
          <w:caps w:val="false"/>
          <w:smallCaps w:val="false"/>
          <w:sz w:val="20"/>
        </w:rPr>
        <w:t>”), with reference to the following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November 5, 2024, the Company issued to RSLGH a Secured Convertible Note with an original principal amount of $10.0 million, which was amended by Amendment No. 1 on May 8, 2025 and by Amendment No. 2 on August 25, 2025 (as amended, the “</w:t>
      </w:r>
      <w:r>
        <w:rPr>
          <w:rFonts w:ascii="Times New Roman;Times;Serif" w:hAnsi="Times New Roman;Times;Serif"/>
          <w:b w:val="false"/>
          <w:i w:val="false"/>
          <w:caps w:val="false"/>
          <w:smallCaps w:val="false"/>
          <w:sz w:val="20"/>
          <w:u w:val="single"/>
        </w:rPr>
        <w:t>November 2024 Note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November 5, 2024, RSLGH acquired pre-funded warrants (the “</w:t>
      </w:r>
      <w:r>
        <w:rPr>
          <w:rFonts w:ascii="Times New Roman;Times;Serif" w:hAnsi="Times New Roman;Times;Serif"/>
          <w:b w:val="false"/>
          <w:i w:val="false"/>
          <w:caps w:val="false"/>
          <w:smallCaps w:val="false"/>
          <w:sz w:val="20"/>
          <w:u w:val="single"/>
        </w:rPr>
        <w:t>November 2024 Acquired Warrants</w:t>
      </w:r>
      <w:r>
        <w:rPr>
          <w:rFonts w:ascii="Times New Roman;Times;Serif" w:hAnsi="Times New Roman;Times;Serif"/>
          <w:b w:val="false"/>
          <w:i w:val="false"/>
          <w:caps w:val="false"/>
          <w:smallCaps w:val="false"/>
          <w:sz w:val="20"/>
        </w:rPr>
        <w:t>”) to purchase an aggregate of up to 6,169,702 shares of the Company’s common stock, par value $0.001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from a prior holder of such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May 8, 2025 and September 1, 2025, the Company issued pre-funded warrants to purchase an aggregate of up to 29,987 shares of Common Stock to RSLGH as payments of interest pursuant to the November 2024 Note, and on November 3, 2025, RSLGH elected to convert the November 2024 Note and $175,000 of accrued interest thereon into pre-funded warrants to purchase up to 3,222,997 shares of Common Stock (all such pre-funded warrants, collectively, the “</w:t>
      </w:r>
      <w:r>
        <w:rPr>
          <w:rFonts w:ascii="Times New Roman;Times;Serif" w:hAnsi="Times New Roman;Times;Serif"/>
          <w:b w:val="false"/>
          <w:i w:val="false"/>
          <w:caps w:val="false"/>
          <w:smallCaps w:val="false"/>
          <w:sz w:val="20"/>
          <w:u w:val="single"/>
        </w:rPr>
        <w:t>November 2024 Note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 May 22, 2025, the Company issued to RSLGH a Secured Convertible Note with an original principal amount of $27.0 million, which was amended by Amendment No. 1 on August 25, 2025 (as amended, the “</w:t>
      </w:r>
      <w:r>
        <w:rPr>
          <w:rFonts w:ascii="Times New Roman;Times;Serif" w:hAnsi="Times New Roman;Times;Serif"/>
          <w:b w:val="false"/>
          <w:i w:val="false"/>
          <w:caps w:val="false"/>
          <w:smallCaps w:val="false"/>
          <w:sz w:val="20"/>
          <w:u w:val="single"/>
        </w:rPr>
        <w:t>May 2025 Note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September 1, 2025 and on March 1, 2026, the Company issued pre-funded warrants to purchase an aggregate of up to 89,150 shares of Common Stock to RSLGH as payments of interest pursuant to the May 2025 Note (collectively, the “</w:t>
      </w:r>
      <w:r>
        <w:rPr>
          <w:rFonts w:ascii="Times New Roman;Times;Serif" w:hAnsi="Times New Roman;Times;Serif"/>
          <w:b w:val="false"/>
          <w:i w:val="false"/>
          <w:caps w:val="false"/>
          <w:smallCaps w:val="false"/>
          <w:sz w:val="20"/>
          <w:u w:val="single"/>
        </w:rPr>
        <w:t>May 2025 Note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On August 25, 2025, the Company issued to RSLGH a Secured Convertible Note with an original principal amount of $45.0 million (the “</w:t>
      </w:r>
      <w:r>
        <w:rPr>
          <w:rFonts w:ascii="Times New Roman;Times;Serif" w:hAnsi="Times New Roman;Times;Serif"/>
          <w:b w:val="false"/>
          <w:i w:val="false"/>
          <w:caps w:val="false"/>
          <w:smallCaps w:val="false"/>
          <w:sz w:val="20"/>
          <w:u w:val="single"/>
        </w:rPr>
        <w:t>August 2025 Note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On March 9, 2026, the Company issued pre-funded warrants to purchase up to 78,459 shares of Common Stock to RSLGH as a payment of interest pursuant to the August 2025 Note (collectively, the “</w:t>
      </w:r>
      <w:r>
        <w:rPr>
          <w:rFonts w:ascii="Times New Roman;Times;Serif" w:hAnsi="Times New Roman;Times;Serif"/>
          <w:b w:val="false"/>
          <w:i w:val="false"/>
          <w:caps w:val="false"/>
          <w:smallCaps w:val="false"/>
          <w:sz w:val="20"/>
          <w:u w:val="single"/>
        </w:rPr>
        <w:t>August 2025 Note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On May 20, 2025, the Company entered into an Amended and Restated Shared Services Agreement with VMS (the “</w:t>
      </w:r>
      <w:r>
        <w:rPr>
          <w:rFonts w:ascii="Times New Roman;Times;Serif" w:hAnsi="Times New Roman;Times;Serif"/>
          <w:b w:val="false"/>
          <w:i w:val="false"/>
          <w:caps w:val="false"/>
          <w:smallCaps w:val="false"/>
          <w:sz w:val="20"/>
          <w:u w:val="single"/>
        </w:rPr>
        <w:t>Services Agreement</w:t>
      </w:r>
      <w:r>
        <w:rPr>
          <w:rFonts w:ascii="Times New Roman;Times;Serif" w:hAnsi="Times New Roman;Times;Serif"/>
          <w:b w:val="false"/>
          <w:i w:val="false"/>
          <w:caps w:val="false"/>
          <w:smallCaps w:val="false"/>
          <w:sz w:val="20"/>
        </w:rPr>
        <w:t>”), pursuant to which VMS provides certain services to the Company and its subsidiaries, which provides that payment for such services may be made in the form of cash, in shares of Common Stock, or in pre-funded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October 20, 2025, the Company issued pre-funded warrants to purchase up to 141,343 shares of Common Stock to RSLGH, as assignee of VMS, as payment of amounts due pursuant to the Services Agreement (collectively, the “</w:t>
      </w:r>
      <w:r>
        <w:rPr>
          <w:rFonts w:ascii="Times New Roman;Times;Serif" w:hAnsi="Times New Roman;Times;Serif"/>
          <w:b w:val="false"/>
          <w:i w:val="false"/>
          <w:caps w:val="false"/>
          <w:smallCaps w:val="false"/>
          <w:sz w:val="20"/>
          <w:u w:val="single"/>
        </w:rPr>
        <w:t>Services Agreement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Pursuant to Section 18 of each of the May 2025 Note and the August 2025 Note (collectively,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each such Note may only be amended, waived or modified in writing by the Company and by holders of a majority of the principal amount outstanding, as of the date of such amendment, waiver and/or modification, under all notes of the same series issued concurrently with each Note (such holders, the “</w:t>
      </w:r>
      <w:r>
        <w:rPr>
          <w:rFonts w:ascii="Times New Roman;Times;Serif" w:hAnsi="Times New Roman;Times;Serif"/>
          <w:b w:val="false"/>
          <w:i w:val="false"/>
          <w:caps w:val="false"/>
          <w:smallCaps w:val="false"/>
          <w:sz w:val="20"/>
          <w:u w:val="single"/>
        </w:rPr>
        <w:t>Required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RSLGH constitutes the Required Holders under each of the Notes and is the holder of each of the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Pursuant to Section 5(l) of each of the November 2024 Note Warrants, the November 2024 Acquired Warrants, the May 2025 Note Warrants, the August 2025 Note Warrants, and the Services Agreement Warrants (collectively,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each Warrant may only be amended, waived or modified in writing by the Company and by the holder of such Warrant.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Each of the Notes, each of the Warrants, and each of the forms of pre-funded warrants attached as exhibits to each Note and to the Shared Services Agreement contain (i) beneficial ownership limitations that prohibit exercise or conversion, as applicable, to the extent that after giving effect to such conversion or exercise, the holder of the applicable Note or Warrant, together with its affiliates and any other persons acting as a group, would beneficially own more than 49.99% of the Common Stock outstanding immediately after giving effect to the issuance of such shares, and (ii) as applicable, a prohibition on exercise or conversion, as applicable, to the extent that the Company determines that the approval of its stockholders is required by the applicable rules of the Nasdaq Capital Market (clauses (i) and (ii), collectively, the “</w:t>
      </w:r>
      <w:r>
        <w:rPr>
          <w:rFonts w:ascii="Times New Roman;Times;Serif" w:hAnsi="Times New Roman;Times;Serif"/>
          <w:b w:val="false"/>
          <w:i w:val="false"/>
          <w:caps w:val="false"/>
          <w:smallCaps w:val="false"/>
          <w:sz w:val="20"/>
          <w:u w:val="single"/>
        </w:rPr>
        <w:t>Ownership Limitations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RSLGH and VMS desire to amend each Note, the Services Agreement, and each Warrant to remove all references therein to the Ownership Limitations, effective as of the Amendment Effective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execution and delivery of the parties hereto and other good and valuable consideration, the receipt and sufficiency of which are hereby acknowledged, and intending to be legally bound hereby, the parties to this Amendment hereby further agree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Recitals</w:t>
      </w:r>
      <w:r>
        <w:rPr>
          <w:rFonts w:ascii="Times New Roman;Times;Serif" w:hAnsi="Times New Roman;Times;Serif"/>
          <w:b w:val="false"/>
          <w:i w:val="false"/>
          <w:caps w:val="false"/>
          <w:smallCaps w:val="false"/>
          <w:sz w:val="20"/>
        </w:rPr>
        <w:t>. The foregoing recitals are true and correct and are incorporated herein in their entirety.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Amendments to the May 2025 Note</w:t>
      </w:r>
      <w:r>
        <w:rPr>
          <w:rFonts w:ascii="Times New Roman;Times;Serif" w:hAnsi="Times New Roman;Times;Serif"/>
          <w:b w:val="false"/>
          <w:i w:val="false"/>
          <w:caps w:val="false"/>
          <w:smallCaps w:val="false"/>
          <w:sz w:val="20"/>
        </w:rPr>
        <w:t xml:space="preserve">. As of the Amendment Effective Date, the May 2025 Note is hereby amended or modified as follows: </w:t>
      </w:r>
    </w:p>
    <w:p>
      <w:pPr>
        <w:pStyle w:val="TextBody"/>
        <w:bidi w:val="0"/>
        <w:spacing w:before="0" w:after="0"/>
        <w:ind w:left="0" w:right="0" w:firstLine="720"/>
        <w:jc w:val="left"/>
        <w:rPr>
          <w:caps w:val="false"/>
          <w:smallCaps w:val="false"/>
        </w:rPr>
      </w:pPr>
      <w:r>
        <w:rPr>
          <w:caps w:val="false"/>
          <w:smallCaps w:val="false"/>
        </w:rPr>
        <w:t> </w:t>
      </w:r>
    </w:p>
    <w:tbl>
      <w:tblPr>
        <w:tblW w:w="7638" w:type="dxa"/>
        <w:jc w:val="left"/>
        <w:tblInd w:w="0" w:type="dxa"/>
        <w:tblLayout w:type="fixed"/>
        <w:tblCellMar>
          <w:top w:w="0" w:type="dxa"/>
          <w:left w:w="0" w:type="dxa"/>
          <w:bottom w:w="0" w:type="dxa"/>
          <w:right w:w="0" w:type="dxa"/>
        </w:tblCellMar>
      </w:tblPr>
      <w:tblGrid>
        <w:gridCol w:w="38"/>
        <w:gridCol w:w="185"/>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7415" w:type="dxa"/>
            <w:tcBorders/>
            <w:vAlign w:val="center"/>
          </w:tcPr>
          <w:p>
            <w:pPr>
              <w:pStyle w:val="TableContents"/>
              <w:bidi w:val="0"/>
              <w:spacing w:before="0" w:after="283"/>
              <w:jc w:val="left"/>
              <w:rPr/>
            </w:pPr>
            <w:r>
              <w:rPr/>
              <w:t>The May 2025 Note is hereby amended by deleting Section 7(I) in its entirety.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32"/>
        <w:gridCol w:w="9930"/>
      </w:tblGrid>
      <w:tr>
        <w:trPr/>
        <w:tc>
          <w:tcPr>
            <w:tcW w:w="4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left"/>
              <w:rPr/>
            </w:pPr>
            <w:r>
              <w:rPr/>
              <w:t>Exhibit B to the May 2025 Note is hereby amended by deleting Section 2(e) in its entirety.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left"/>
              <w:rPr/>
            </w:pPr>
            <w:r>
              <w:rPr/>
              <w:t xml:space="preserve">Exhibit B to the May 2025 Note is hereby amended by deleting Sections 3(b) and 3(c) in their entirety and, in lieu thereof, replacing such sections with new Sections 3(b) and 3(c) as set forth in </w:t>
            </w:r>
            <w:r>
              <w:rPr>
                <w:u w:val="single"/>
              </w:rPr>
              <w:t>Exhibit I</w:t>
            </w:r>
            <w:r>
              <w:rPr/>
              <w:t xml:space="preserve"> hereto.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Amendments to the August 2025 Note</w:t>
      </w:r>
      <w:r>
        <w:rPr>
          <w:rFonts w:ascii="Times New Roman;Times;Serif" w:hAnsi="Times New Roman;Times;Serif"/>
          <w:b w:val="false"/>
          <w:i w:val="false"/>
          <w:caps w:val="false"/>
          <w:smallCaps w:val="false"/>
          <w:sz w:val="20"/>
        </w:rPr>
        <w:t xml:space="preserve">. As of the Amendment Effective Date, the August 2025 Note is hereby amended or modified as follows: </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 xml:space="preserve">The August 2025 Note is hereby amended by deleting Section 5(C) in its entirety and, in lieu thereof, replacing such section with new Section 5(C) as set forth in </w:t>
            </w:r>
            <w:r>
              <w:rPr>
                <w:u w:val="single"/>
              </w:rPr>
              <w:t>Exhibit II</w:t>
            </w:r>
            <w:r>
              <w:rPr/>
              <w:t xml:space="preserve"> hereto.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58"/>
        <w:gridCol w:w="9899"/>
      </w:tblGrid>
      <w:tr>
        <w:trPr/>
        <w:tc>
          <w:tcPr>
            <w:tcW w:w="4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b.</w:t>
            </w:r>
          </w:p>
        </w:tc>
        <w:tc>
          <w:tcPr>
            <w:tcW w:w="9899" w:type="dxa"/>
            <w:tcBorders/>
            <w:vAlign w:val="center"/>
          </w:tcPr>
          <w:p>
            <w:pPr>
              <w:pStyle w:val="TableContents"/>
              <w:bidi w:val="0"/>
              <w:spacing w:before="0" w:after="283"/>
              <w:jc w:val="left"/>
              <w:rPr/>
            </w:pPr>
            <w:r>
              <w:rPr/>
              <w:t>The August 2025 Note is hereby amended by deleting Section 7(I) in its entirety.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09"/>
        <w:gridCol w:w="9954"/>
      </w:tblGrid>
      <w:tr>
        <w:trPr/>
        <w:tc>
          <w:tcPr>
            <w:tcW w:w="4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c.</w:t>
            </w:r>
          </w:p>
        </w:tc>
        <w:tc>
          <w:tcPr>
            <w:tcW w:w="9954" w:type="dxa"/>
            <w:tcBorders/>
            <w:vAlign w:val="center"/>
          </w:tcPr>
          <w:p>
            <w:pPr>
              <w:pStyle w:val="TableContents"/>
              <w:bidi w:val="0"/>
              <w:spacing w:before="0" w:after="283"/>
              <w:jc w:val="left"/>
              <w:rPr/>
            </w:pPr>
            <w:r>
              <w:rPr/>
              <w:t>Exhibit B to the August 2025 Note is hereby amended by deleting Section 2(e) in its entirety.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left"/>
              <w:rPr/>
            </w:pPr>
            <w:r>
              <w:rPr/>
              <w:t xml:space="preserve">Exhibit B to the August 2025 Note is hereby amended by deleting Sections 3(b) and 3(c) in their entirety and, in lieu thereof, replacing such sections with new Sections 3(b) and 3(c) as set forth in </w:t>
            </w:r>
            <w:r>
              <w:rPr>
                <w:u w:val="single"/>
              </w:rPr>
              <w:t>Exhibit I</w:t>
            </w:r>
            <w:r>
              <w:rPr/>
              <w:t xml:space="preserve"> hereto.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Amendments to the Services Agreement</w:t>
      </w:r>
      <w:r>
        <w:rPr>
          <w:rFonts w:ascii="Times New Roman;Times;Serif" w:hAnsi="Times New Roman;Times;Serif"/>
          <w:b w:val="false"/>
          <w:i w:val="false"/>
          <w:caps w:val="false"/>
          <w:smallCaps w:val="false"/>
          <w:sz w:val="20"/>
        </w:rPr>
        <w:t xml:space="preserve">. As of the Amendment Effective Date, the Services Agreement is hereby amended or modified as follows: </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04"/>
        <w:gridCol w:w="9959"/>
      </w:tblGrid>
      <w:tr>
        <w:trPr/>
        <w:tc>
          <w:tcPr>
            <w:tcW w:w="4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left"/>
              <w:rPr/>
            </w:pPr>
            <w:r>
              <w:rPr/>
              <w:t>Exhibit A to the Services Agreement is hereby amended by deleting Section 2(e) in its entirety.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 xml:space="preserve">Exhibit A to the Services Agreement is hereby amended by deleting Sections 3(b) and 3(c) in their entirety and, in lieu thereof, replacing such sections with new Sections 3(b) and 3(c) as set forth in </w:t>
            </w:r>
            <w:r>
              <w:rPr>
                <w:u w:val="single"/>
              </w:rPr>
              <w:t>Exhibit I</w:t>
            </w:r>
            <w:r>
              <w:rPr/>
              <w:t xml:space="preserve"> hereto.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Amendments to the Warrants</w:t>
      </w:r>
      <w:r>
        <w:rPr>
          <w:rFonts w:ascii="Times New Roman;Times;Serif" w:hAnsi="Times New Roman;Times;Serif"/>
          <w:b w:val="false"/>
          <w:i w:val="false"/>
          <w:caps w:val="false"/>
          <w:smallCaps w:val="false"/>
          <w:sz w:val="20"/>
        </w:rPr>
        <w:t xml:space="preserve">. As of the Amendment Effective Date, each Warrant is hereby amended or modified as follows: </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69"/>
        <w:gridCol w:w="9882"/>
      </w:tblGrid>
      <w:tr>
        <w:trPr/>
        <w:tc>
          <w:tcPr>
            <w:tcW w:w="5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a.</w:t>
            </w:r>
          </w:p>
        </w:tc>
        <w:tc>
          <w:tcPr>
            <w:tcW w:w="9882" w:type="dxa"/>
            <w:tcBorders/>
            <w:vAlign w:val="center"/>
          </w:tcPr>
          <w:p>
            <w:pPr>
              <w:pStyle w:val="TableContents"/>
              <w:bidi w:val="0"/>
              <w:spacing w:before="0" w:after="283"/>
              <w:jc w:val="left"/>
              <w:rPr/>
            </w:pPr>
            <w:r>
              <w:rPr/>
              <w:t>Each Warrant is hereby amended by deleting Section 2(e) in its entirety.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 xml:space="preserve">Each Warrant is hereby amended by deleting Sections 3(b) and 3(c) in their entirety and, in lieu thereof, replacing such sections with new Sections 3(b) and 3(c) as set forth in </w:t>
            </w:r>
            <w:r>
              <w:rPr>
                <w:u w:val="single"/>
              </w:rPr>
              <w:t>Exhibit I</w:t>
            </w:r>
            <w:r>
              <w:rPr/>
              <w:t xml:space="preserve"> hereto.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Limited Effect</w:t>
      </w:r>
      <w:r>
        <w:rPr>
          <w:rFonts w:ascii="Times New Roman;Times;Serif" w:hAnsi="Times New Roman;Times;Serif"/>
          <w:b w:val="false"/>
          <w:i w:val="false"/>
          <w:caps w:val="false"/>
          <w:smallCaps w:val="false"/>
          <w:sz w:val="20"/>
        </w:rPr>
        <w:t xml:space="preserve">. The Notes, the Warrants, and the Services Agreement are not amended in any other respect. All other terms and provisions of each Note, each Warrant, and the Services Agreement not herein specifically modified and amended shall remain in full force and effect as originally set forth therein. All references in each Warrant shall be deemed a reference to such Warrant as modified and amended herein. All references in each Note, the related security agreement or any other related document or agreement (collectively, the </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xml:space="preserve">”) shall be deemed a reference to such Note as modified and amended herein. The Company agrees that its obligations under each Warrant, each Note and each other Loan Document are its valid and binding obligations, enforceable in accordance with their terms, subject to no defense, counterclaim, or objection. This Amendment amends each Note, each Warrant and the Services Agreement, and is intended to be a continuation of the obligations set forth therein and in each other Loan Document. Nothing in this Amendment is intended, nor shall be construed, to constitute a novation or an accord or satisfaction of any Note or any other Loan Document.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86" w:right="0" w:firstLine="63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This Amendment shall be governed by and construed under the laws of the State of Delaware, without giving effect to conflicts of laws principles. This Amendment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pStyle w:val="TextBody"/>
        <w:bidi w:val="0"/>
        <w:spacing w:before="0" w:after="0"/>
        <w:ind w:left="86" w:right="0" w:firstLine="634"/>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Amendment, effective as of the Amendment Effective Date set forth above.</w:t>
      </w:r>
    </w:p>
    <w:p>
      <w:pPr>
        <w:pStyle w:val="TextBody"/>
        <w:bidi w:val="0"/>
        <w:spacing w:before="0" w:after="0"/>
        <w:ind w:left="0" w:right="0" w:firstLine="72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75"/>
        <w:gridCol w:w="590"/>
        <w:gridCol w:w="2585"/>
      </w:tblGrid>
      <w:tr>
        <w:trPr/>
        <w:tc>
          <w:tcPr>
            <w:tcW w:w="75" w:type="dxa"/>
            <w:tcBorders/>
            <w:vAlign w:val="center"/>
          </w:tcPr>
          <w:p>
            <w:pPr>
              <w:pStyle w:val="TableContents"/>
              <w:bidi w:val="0"/>
              <w:spacing w:before="0" w:after="283"/>
              <w:jc w:val="both"/>
              <w:rPr/>
            </w:pPr>
            <w:r>
              <w:rPr/>
              <w:t> </w:t>
            </w:r>
          </w:p>
        </w:tc>
        <w:tc>
          <w:tcPr>
            <w:tcW w:w="3175" w:type="dxa"/>
            <w:gridSpan w:val="2"/>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COMPANY</w:t>
            </w:r>
          </w:p>
        </w:tc>
      </w:tr>
      <w:tr>
        <w:trPr/>
        <w:tc>
          <w:tcPr>
            <w:tcW w:w="75" w:type="dxa"/>
            <w:tcBorders/>
            <w:vAlign w:val="center"/>
          </w:tcPr>
          <w:p>
            <w:pPr>
              <w:pStyle w:val="TableContents"/>
              <w:bidi w:val="0"/>
              <w:spacing w:before="0" w:after="283"/>
              <w:jc w:val="both"/>
              <w:rPr/>
            </w:pPr>
            <w:r>
              <w:rPr/>
              <w:t> </w:t>
            </w:r>
          </w:p>
        </w:tc>
        <w:tc>
          <w:tcPr>
            <w:tcW w:w="317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17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RYTHM, INC.</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25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58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Benjamin Kovler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Benjamin Kovler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Interim Chief Executive Officer</w:t>
            </w:r>
          </w:p>
        </w:tc>
      </w:tr>
    </w:tbl>
    <w:p>
      <w:pPr>
        <w:pStyle w:val="TextBody"/>
        <w:bidi w:val="0"/>
        <w:spacing w:before="0" w:after="0"/>
        <w:jc w:val="left"/>
        <w:rPr>
          <w:caps w:val="false"/>
          <w:smallCaps w:val="false"/>
        </w:rPr>
      </w:pPr>
      <w:r>
        <w:rPr>
          <w:caps w:val="false"/>
          <w:smallCaps w:val="false"/>
        </w:rPr>
        <w:t> </w:t>
      </w:r>
    </w:p>
    <w:tbl>
      <w:tblPr>
        <w:tblW w:w="3604" w:type="dxa"/>
        <w:jc w:val="left"/>
        <w:tblInd w:w="0" w:type="dxa"/>
        <w:tblLayout w:type="fixed"/>
        <w:tblCellMar>
          <w:top w:w="0" w:type="dxa"/>
          <w:left w:w="0" w:type="dxa"/>
          <w:bottom w:w="0" w:type="dxa"/>
          <w:right w:w="0" w:type="dxa"/>
        </w:tblCellMar>
      </w:tblPr>
      <w:tblGrid>
        <w:gridCol w:w="75"/>
        <w:gridCol w:w="903"/>
        <w:gridCol w:w="2626"/>
      </w:tblGrid>
      <w:tr>
        <w:trPr/>
        <w:tc>
          <w:tcPr>
            <w:tcW w:w="75" w:type="dxa"/>
            <w:tcBorders/>
            <w:vAlign w:val="center"/>
          </w:tcPr>
          <w:p>
            <w:pPr>
              <w:pStyle w:val="TableContents"/>
              <w:bidi w:val="0"/>
              <w:spacing w:before="0" w:after="283"/>
              <w:jc w:val="both"/>
              <w:rPr/>
            </w:pPr>
            <w:r>
              <w:rPr/>
              <w:t> </w:t>
            </w:r>
          </w:p>
        </w:tc>
        <w:tc>
          <w:tcPr>
            <w:tcW w:w="3529" w:type="dxa"/>
            <w:gridSpan w:val="2"/>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RSLGH</w:t>
            </w:r>
          </w:p>
        </w:tc>
      </w:tr>
      <w:tr>
        <w:trPr/>
        <w:tc>
          <w:tcPr>
            <w:tcW w:w="75" w:type="dxa"/>
            <w:tcBorders/>
            <w:vAlign w:val="center"/>
          </w:tcPr>
          <w:p>
            <w:pPr>
              <w:pStyle w:val="TableContents"/>
              <w:bidi w:val="0"/>
              <w:spacing w:before="0" w:after="283"/>
              <w:jc w:val="both"/>
              <w:rPr/>
            </w:pPr>
            <w:r>
              <w:rPr/>
              <w:t> </w:t>
            </w:r>
          </w:p>
        </w:tc>
        <w:tc>
          <w:tcPr>
            <w:tcW w:w="903" w:type="dxa"/>
            <w:tcBorders/>
            <w:vAlign w:val="center"/>
          </w:tcPr>
          <w:p>
            <w:pPr>
              <w:pStyle w:val="TableContents"/>
              <w:bidi w:val="0"/>
              <w:spacing w:before="0" w:after="283"/>
              <w:jc w:val="both"/>
              <w:rPr/>
            </w:pPr>
            <w:r>
              <w:rPr/>
              <w:t> </w:t>
            </w:r>
          </w:p>
        </w:tc>
        <w:tc>
          <w:tcPr>
            <w:tcW w:w="26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52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RSLGH, LLC</w:t>
            </w:r>
          </w:p>
        </w:tc>
      </w:tr>
      <w:tr>
        <w:trPr/>
        <w:tc>
          <w:tcPr>
            <w:tcW w:w="75" w:type="dxa"/>
            <w:tcBorders/>
            <w:vAlign w:val="center"/>
          </w:tcPr>
          <w:p>
            <w:pPr>
              <w:pStyle w:val="TableContents"/>
              <w:bidi w:val="0"/>
              <w:spacing w:before="0" w:after="283"/>
              <w:jc w:val="both"/>
              <w:rPr/>
            </w:pPr>
            <w:r>
              <w:rPr/>
              <w:t> </w:t>
            </w:r>
          </w:p>
        </w:tc>
        <w:tc>
          <w:tcPr>
            <w:tcW w:w="903" w:type="dxa"/>
            <w:tcBorders/>
            <w:vAlign w:val="center"/>
          </w:tcPr>
          <w:p>
            <w:pPr>
              <w:pStyle w:val="TableContents"/>
              <w:bidi w:val="0"/>
              <w:spacing w:before="0" w:after="283"/>
              <w:jc w:val="both"/>
              <w:rPr/>
            </w:pPr>
            <w:r>
              <w:rPr/>
              <w:t> </w:t>
            </w:r>
          </w:p>
        </w:tc>
        <w:tc>
          <w:tcPr>
            <w:tcW w:w="26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626"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Bret Kravitz</w:t>
            </w:r>
          </w:p>
        </w:tc>
      </w:tr>
      <w:tr>
        <w:trPr/>
        <w:tc>
          <w:tcPr>
            <w:tcW w:w="7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Bret Kravitz</w:t>
            </w:r>
          </w:p>
        </w:tc>
      </w:tr>
      <w:tr>
        <w:trPr/>
        <w:tc>
          <w:tcPr>
            <w:tcW w:w="7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Secretary</w:t>
            </w:r>
          </w:p>
        </w:tc>
      </w:tr>
      <w:tr>
        <w:trPr/>
        <w:tc>
          <w:tcPr>
            <w:tcW w:w="7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pPr>
            <w:r>
              <w:rPr/>
              <w:t> </w:t>
            </w:r>
          </w:p>
        </w:tc>
        <w:tc>
          <w:tcPr>
            <w:tcW w:w="262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VMS</w:t>
            </w:r>
          </w:p>
        </w:tc>
      </w:tr>
      <w:tr>
        <w:trPr/>
        <w:tc>
          <w:tcPr>
            <w:tcW w:w="75" w:type="dxa"/>
            <w:tcBorders/>
            <w:vAlign w:val="center"/>
          </w:tcPr>
          <w:p>
            <w:pPr>
              <w:pStyle w:val="TableContents"/>
              <w:bidi w:val="0"/>
              <w:spacing w:before="0" w:after="283"/>
              <w:jc w:val="both"/>
              <w:rPr/>
            </w:pPr>
            <w:r>
              <w:rPr/>
              <w:t> </w:t>
            </w:r>
          </w:p>
        </w:tc>
        <w:tc>
          <w:tcPr>
            <w:tcW w:w="903" w:type="dxa"/>
            <w:tcBorders/>
            <w:vAlign w:val="center"/>
          </w:tcPr>
          <w:p>
            <w:pPr>
              <w:pStyle w:val="TableContents"/>
              <w:bidi w:val="0"/>
              <w:spacing w:before="0" w:after="283"/>
              <w:jc w:val="both"/>
              <w:rPr/>
            </w:pPr>
            <w:r>
              <w:rPr/>
              <w:t> </w:t>
            </w:r>
          </w:p>
        </w:tc>
        <w:tc>
          <w:tcPr>
            <w:tcW w:w="26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52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VISION MANAGEMENT SERVICES, LLC</w:t>
            </w:r>
          </w:p>
        </w:tc>
      </w:tr>
      <w:tr>
        <w:trPr/>
        <w:tc>
          <w:tcPr>
            <w:tcW w:w="75" w:type="dxa"/>
            <w:tcBorders/>
            <w:vAlign w:val="center"/>
          </w:tcPr>
          <w:p>
            <w:pPr>
              <w:pStyle w:val="TableContents"/>
              <w:bidi w:val="0"/>
              <w:spacing w:before="0" w:after="283"/>
              <w:jc w:val="both"/>
              <w:rPr/>
            </w:pPr>
            <w:r>
              <w:rPr/>
              <w:t> </w:t>
            </w:r>
          </w:p>
        </w:tc>
        <w:tc>
          <w:tcPr>
            <w:tcW w:w="903" w:type="dxa"/>
            <w:tcBorders/>
            <w:vAlign w:val="center"/>
          </w:tcPr>
          <w:p>
            <w:pPr>
              <w:pStyle w:val="TableContents"/>
              <w:bidi w:val="0"/>
              <w:spacing w:before="0" w:after="283"/>
              <w:jc w:val="both"/>
              <w:rPr/>
            </w:pPr>
            <w:r>
              <w:rPr/>
              <w:t> </w:t>
            </w:r>
          </w:p>
        </w:tc>
        <w:tc>
          <w:tcPr>
            <w:tcW w:w="26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626"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Benjamin Kovler</w:t>
            </w:r>
          </w:p>
        </w:tc>
      </w:tr>
      <w:tr>
        <w:trPr/>
        <w:tc>
          <w:tcPr>
            <w:tcW w:w="7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Benjamin Kovler</w:t>
            </w:r>
          </w:p>
        </w:tc>
      </w:tr>
      <w:tr>
        <w:trPr/>
        <w:tc>
          <w:tcPr>
            <w:tcW w:w="7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Manager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AMENDMENT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immediately before the date on which a record is taken for the grant, issuance or sale of such Purchase Rights, or, if no such record is taken, the date as of which the record holders of shares of Common Stock are to be determined for the grant, issue or sale of such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a dividend or other distribution of the type described in Section 3(a) above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immediately before the date of which a record is taken for such Distribution, or, if no such record is taken, the date as of which the record holders of shares of Common Stock are to be determined for the participation in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Payments of Stated Interest</w:t>
      </w:r>
      <w:r>
        <w:rPr>
          <w:rFonts w:ascii="Times New Roman;Times;Serif" w:hAnsi="Times New Roman;Times;Serif"/>
          <w:b w:val="false"/>
          <w:i w:val="false"/>
          <w:caps w:val="false"/>
          <w:smallCaps w:val="false"/>
          <w:sz w:val="20"/>
        </w:rPr>
        <w:t>. Payments of Stated Interest at each Interest Payment Date, including payment of any Stated Interest on the Maturity Date, shall be made, at the election of the Required Holders in their sole discretion, in the form of (i) cash by wire transfer of immediately available funds to an account of the Holder that is provided to the Company on the date hereof, (ii) issuance of shares of Common Stock pursuant to the terms set forth in Section 5(C), or (iii) a Pre-Funded Warrant. The number of shares of Common Stock for any payment of Stated Interest shall be equal to (i) the amount of Stated Interest accrued and outstanding as of such Interest Payment Date divided by (ii) the Conversion Price. The number of warrant shares for each such Pre-Funded Warrant shall be equal to (i) the amount of Stated Interest accrued and outstanding as of such Interest Payment Date divided by (ii) the Warrant Conversion Price. Following an Interest Payment Date, Holder shall notify the Company, with sufficient detail, the Stated Interest accrued and outstanding as of such Interest Payment Date, and the Required Holders shall specify the form of payment of such Stated Interest. No later than ten Business Days following receipt of such notification, the Company shall issue to the Holder the applicable cash payment, shares of Common Stock or Pre-Funded Warrant,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0637/000121390026076533/ea0295890-02.htm" TargetMode="External"/><Relationship Id="rId3" Type="http://schemas.openxmlformats.org/officeDocument/2006/relationships/hyperlink" Target="https://www.sec.gov/ix?doc=/Archives/edgar/data/0001800637/000121390026023069/ea0277197-10k_rythm.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3635</Words>
  <Characters>18818</Characters>
  <CharactersWithSpaces>22499</CharactersWithSpaces>
  <Paragraphs>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