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278-10q_rythm.htm"/>
      <w:bookmarkStart w:id="1" w:name="ksea029927810q_rythm"/>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001-39946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02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1409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RYTHM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30-0943453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2220 Hicks Road Suite 210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Rolling Meadows, IL 60008</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(855) 420-0020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RYM</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4, 2026, the registrant had 2,179,128 shares of Common Stock, $0.001 par value per share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
        <w:gridCol w:w="8887"/>
        <w:gridCol w:w="497"/>
      </w:tblGrid>
      <w:tr>
        <w:trPr/>
        <w:tc>
          <w:tcPr>
            <w:tcW w:w="821"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pPr>
            <w:r>
              <w:rPr/>
              <w:t> </w:t>
            </w:r>
          </w:p>
        </w:tc>
        <w:tc>
          <w:tcPr>
            <w:tcW w:w="49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Page </w:t>
            </w:r>
          </w:p>
        </w:tc>
      </w:tr>
      <w:tr>
        <w:trPr/>
        <w:tc>
          <w:tcPr>
            <w:tcW w:w="9708" w:type="dxa"/>
            <w:gridSpan w:val="2"/>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PART I FINANCIAL INFORMATION</w:t>
            </w:r>
          </w:p>
        </w:tc>
        <w:tc>
          <w:tcPr>
            <w:tcW w:w="497" w:type="dxa"/>
            <w:tcBorders/>
            <w:shd w:fill="CCEEFF" w:val="clear"/>
            <w:vAlign w:val="center"/>
          </w:tcPr>
          <w:p>
            <w:pPr>
              <w:pStyle w:val="TableContents"/>
              <w:bidi w:val="0"/>
              <w:spacing w:before="0" w:after="283"/>
              <w:jc w:val="left"/>
              <w:rPr>
                <w:sz w:val="4"/>
                <w:szCs w:val="4"/>
              </w:rPr>
            </w:pPr>
            <w:r>
              <w:rPr>
                <w:sz w:val="4"/>
                <w:szCs w:val="4"/>
              </w:rPr>
            </w:r>
          </w:p>
        </w:tc>
      </w:tr>
      <w:tr>
        <w:trPr/>
        <w:tc>
          <w:tcPr>
            <w:tcW w:w="821" w:type="dxa"/>
            <w:tcBorders/>
            <w:shd w:fill="FFFFFF" w:val="clear"/>
            <w:vAlign w:val="center"/>
          </w:tcPr>
          <w:p>
            <w:pPr>
              <w:pStyle w:val="TableContents"/>
              <w:bidi w:val="0"/>
              <w:spacing w:before="0" w:after="283"/>
              <w:jc w:val="left"/>
              <w:rPr/>
            </w:pPr>
            <w:r>
              <w:rPr/>
              <w:t> </w:t>
            </w:r>
          </w:p>
        </w:tc>
        <w:tc>
          <w:tcPr>
            <w:tcW w:w="8887"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center"/>
              <w:rPr/>
            </w:pPr>
            <w:r>
              <w:rPr/>
              <w:t> </w:t>
            </w:r>
          </w:p>
        </w:tc>
      </w:tr>
      <w:tr>
        <w:trPr/>
        <w:tc>
          <w:tcPr>
            <w:tcW w:w="82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1.</w:t>
            </w:r>
          </w:p>
        </w:tc>
        <w:tc>
          <w:tcPr>
            <w:tcW w:w="8887"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FINANCIAL STATEMENTS (UNAUDITED)</w:t>
              </w:r>
            </w:hyperlink>
          </w:p>
        </w:tc>
        <w:tc>
          <w:tcPr>
            <w:tcW w:w="49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21" w:type="dxa"/>
            <w:tcBorders/>
            <w:shd w:fill="FFFFFF" w:val="clear"/>
            <w:vAlign w:val="center"/>
          </w:tcPr>
          <w:p>
            <w:pPr>
              <w:pStyle w:val="TableContents"/>
              <w:bidi w:val="0"/>
              <w:spacing w:before="0" w:after="283"/>
              <w:jc w:val="left"/>
              <w:rPr/>
            </w:pPr>
            <w:r>
              <w:rPr/>
              <w:t> </w:t>
            </w:r>
          </w:p>
        </w:tc>
        <w:tc>
          <w:tcPr>
            <w:tcW w:w="8887"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Condensed Consolidated Balance Sheets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sz w:val="20"/>
                </w:rPr>
                <w:t>Condensed Consolidated Statements of Operations</w:t>
              </w:r>
            </w:hyperlink>
          </w:p>
        </w:tc>
        <w:tc>
          <w:tcPr>
            <w:tcW w:w="497" w:type="dxa"/>
            <w:tcBorders/>
            <w:shd w:fill="CCEEFF" w:val="clear"/>
            <w:vAlign w:val="center"/>
          </w:tcPr>
          <w:p>
            <w:pPr>
              <w:pStyle w:val="TableContents"/>
              <w:bidi w:val="0"/>
              <w:spacing w:before="0" w:after="283"/>
              <w:jc w:val="center"/>
              <w:rPr/>
            </w:pPr>
            <w:r>
              <w:rPr/>
              <w:t>2</w:t>
            </w:r>
          </w:p>
        </w:tc>
      </w:tr>
      <w:tr>
        <w:trPr/>
        <w:tc>
          <w:tcPr>
            <w:tcW w:w="821" w:type="dxa"/>
            <w:tcBorders/>
            <w:shd w:fill="FFFFFF" w:val="clear"/>
            <w:vAlign w:val="center"/>
          </w:tcPr>
          <w:p>
            <w:pPr>
              <w:pStyle w:val="TableContents"/>
              <w:bidi w:val="0"/>
              <w:spacing w:before="0" w:after="283"/>
              <w:jc w:val="left"/>
              <w:rPr/>
            </w:pPr>
            <w:r>
              <w:rPr/>
              <w:t> </w:t>
            </w:r>
          </w:p>
        </w:tc>
        <w:tc>
          <w:tcPr>
            <w:tcW w:w="8887"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sz w:val="20"/>
                </w:rPr>
                <w:t xml:space="preserve">Condensed Consolidated Statements of Changes in Stockholders’ Equity </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sz w:val="20"/>
                </w:rPr>
                <w:t>Condensed Consolidated Statements of Cash Flows</w:t>
              </w:r>
            </w:hyperlink>
          </w:p>
        </w:tc>
        <w:tc>
          <w:tcPr>
            <w:tcW w:w="49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821" w:type="dxa"/>
            <w:tcBorders/>
            <w:shd w:fill="FFFFFF" w:val="clear"/>
            <w:vAlign w:val="center"/>
          </w:tcPr>
          <w:p>
            <w:pPr>
              <w:pStyle w:val="TableContents"/>
              <w:bidi w:val="0"/>
              <w:spacing w:before="0" w:after="283"/>
              <w:jc w:val="left"/>
              <w:rPr/>
            </w:pPr>
            <w:r>
              <w:rPr/>
              <w:t> </w:t>
            </w:r>
          </w:p>
        </w:tc>
        <w:tc>
          <w:tcPr>
            <w:tcW w:w="8887"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sz w:val="20"/>
                </w:rPr>
                <w:t>Notes to the Condensed Consolidated Financial Statements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887"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3.</w:t>
            </w:r>
          </w:p>
        </w:tc>
        <w:tc>
          <w:tcPr>
            <w:tcW w:w="8887"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QUANTITATIVE AND QUALITATIVE DISCLOSURES ABOUT MARKET RISK</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ITEM 4.</w:t>
            </w:r>
          </w:p>
        </w:tc>
        <w:tc>
          <w:tcPr>
            <w:tcW w:w="8887"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CONTROLS AND PROCEDURES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9708" w:type="dxa"/>
            <w:gridSpan w:val="2"/>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sz w:val="20"/>
                </w:rPr>
                <w:t>PART II OTHER INFORMATION</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887"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LEGAL PROCEEDINGS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8887"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RISK FACTORS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887"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UNREGISTERED SALES OF EQUITY SECURITIES AND USE OF PROCEEDS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887"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DEFAULTS UPON SENIOR SECURITIES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887"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MINE SAFETY DISCLOSURES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887"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OTHER INFORMATION</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82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887"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EXHIBITS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821" w:type="dxa"/>
            <w:tcBorders/>
            <w:shd w:fill="CCEEFF" w:val="clear"/>
            <w:vAlign w:val="center"/>
          </w:tcPr>
          <w:p>
            <w:pPr>
              <w:pStyle w:val="TableContents"/>
              <w:bidi w:val="0"/>
              <w:spacing w:before="0" w:after="283"/>
              <w:jc w:val="left"/>
              <w:rPr/>
            </w:pPr>
            <w:r>
              <w:rPr/>
              <w:t> </w:t>
            </w:r>
          </w:p>
        </w:tc>
        <w:tc>
          <w:tcPr>
            <w:tcW w:w="8887"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 </w:t>
            </w:r>
          </w:p>
        </w:tc>
      </w:tr>
      <w:tr>
        <w:trPr/>
        <w:tc>
          <w:tcPr>
            <w:tcW w:w="9708" w:type="dxa"/>
            <w:gridSpan w:val="2"/>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SIGNATURES</w:t>
              </w:r>
            </w:hyperlink>
          </w:p>
        </w:tc>
        <w:tc>
          <w:tcPr>
            <w:tcW w:w="4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RYTHM,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0"/>
        <w:gridCol w:w="60"/>
        <w:gridCol w:w="140"/>
        <w:gridCol w:w="875"/>
        <w:gridCol w:w="95"/>
        <w:gridCol w:w="60"/>
        <w:gridCol w:w="166"/>
        <w:gridCol w:w="1049"/>
        <w:gridCol w:w="90"/>
      </w:tblGrid>
      <w:tr>
        <w:trPr/>
        <w:tc>
          <w:tcPr>
            <w:tcW w:w="7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41,915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32,218</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9,317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4,045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FFFFFF" w:val="clear"/>
            <w:tcMar>
              <w:bottom w:w="28" w:type="dxa"/>
            </w:tcMar>
            <w:vAlign w:val="center"/>
          </w:tcPr>
          <w:p>
            <w:pPr>
              <w:pStyle w:val="TableContents"/>
              <w:bidi w:val="0"/>
              <w:spacing w:before="0" w:after="283"/>
              <w:jc w:val="right"/>
              <w:rPr/>
            </w:pPr>
            <w:r>
              <w:rPr/>
              <w:t>1,970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47,550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9,713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Related party prepaid license rights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49,400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Non-current assets associated with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135,381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49" w:type="dxa"/>
            <w:tcBorders>
              <w:bottom w:val="double" w:sz="10" w:space="0" w:color="000000"/>
            </w:tcBorders>
            <w:shd w:fill="FFFFFF" w:val="clear"/>
            <w:tcMar>
              <w:bottom w:w="28" w:type="dxa"/>
            </w:tcMar>
            <w:vAlign w:val="center"/>
          </w:tcPr>
          <w:p>
            <w:pPr>
              <w:pStyle w:val="TableContents"/>
              <w:bidi w:val="0"/>
              <w:spacing w:before="0" w:after="283"/>
              <w:jc w:val="right"/>
              <w:rPr/>
            </w:pPr>
            <w:r>
              <w:rPr/>
              <w:t>106,677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2,340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7,917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Long-term debt,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3,621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Related party debt,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27,000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Current liabilities associated with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2,082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95,470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42,960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liabilities</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697</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Long-term debt, net of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5,000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Related party debt, net of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45,000</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96,294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FFFFFF" w:val="clear"/>
            <w:tcMar>
              <w:bottom w:w="28" w:type="dxa"/>
            </w:tcMar>
            <w:vAlign w:val="center"/>
          </w:tcPr>
          <w:p>
            <w:pPr>
              <w:pStyle w:val="TableContents"/>
              <w:bidi w:val="0"/>
              <w:spacing w:before="0" w:after="283"/>
              <w:jc w:val="right"/>
              <w:rPr/>
            </w:pPr>
            <w:r>
              <w:rPr/>
              <w:t>93,657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Common Stock, $0.001 par value per share, 35,000,000 shares authorized; 2,179,128 and 2,149,128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Preferred Stock, $0.001 par value per share, 2,895,000 shares authorized, no shares issued or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Preferred A Stock, $0.001 par value per share, 105,000 shares authorized, no shares issued or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67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358,779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353,818</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(319,694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center"/>
          </w:tcPr>
          <w:p>
            <w:pPr>
              <w:pStyle w:val="TableContents"/>
              <w:bidi w:val="0"/>
              <w:spacing w:before="0" w:after="283"/>
              <w:jc w:val="right"/>
              <w:rPr/>
            </w:pPr>
            <w:r>
              <w:rPr/>
              <w:t>(340,800</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670"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39,087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12" w:space="0" w:color="000000"/>
            </w:tcBorders>
            <w:shd w:fill="FFFFFF" w:val="clear"/>
            <w:tcMar>
              <w:bottom w:w="28" w:type="dxa"/>
            </w:tcMar>
            <w:vAlign w:val="center"/>
          </w:tcPr>
          <w:p>
            <w:pPr>
              <w:pStyle w:val="TableContents"/>
              <w:bidi w:val="0"/>
              <w:spacing w:before="0" w:after="283"/>
              <w:jc w:val="right"/>
              <w:rPr/>
            </w:pPr>
            <w:r>
              <w:rPr/>
              <w:t>13,020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670"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135,381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10" w:space="0" w:color="000000"/>
            </w:tcBorders>
            <w:shd w:fill="CCEEFF" w:val="clear"/>
            <w:tcMar>
              <w:bottom w:w="28" w:type="dxa"/>
            </w:tcMar>
            <w:vAlign w:val="center"/>
          </w:tcPr>
          <w:p>
            <w:pPr>
              <w:pStyle w:val="TableContents"/>
              <w:bidi w:val="0"/>
              <w:spacing w:before="0" w:after="283"/>
              <w:jc w:val="right"/>
              <w:rPr/>
            </w:pPr>
            <w:r>
              <w:rPr/>
              <w:t>106,677</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245"/>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$5.9 million and $7.0 million from related parties as of June 30, 2026 and December 31,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45"/>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$407 thousand and $392 thousand from a related party as of June 30, 2026 and December 31,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$221 thousand and $152 thousand due to related parties as of June 30, 2026 and December 31,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$4.3 million and $4.7 million due to related parties as of June 30, 2026 and December 31,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2026 and December 31, 2025, the number of outstanding warrants subject to liability classification was 40,017, of which 15,394 were held by RSLGH, LLC (“RSLGH”) a related party.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RYTHM,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1"/>
        <w:gridCol w:w="60"/>
        <w:gridCol w:w="140"/>
        <w:gridCol w:w="980"/>
        <w:gridCol w:w="95"/>
        <w:gridCol w:w="60"/>
        <w:gridCol w:w="140"/>
        <w:gridCol w:w="980"/>
        <w:gridCol w:w="95"/>
        <w:gridCol w:w="60"/>
        <w:gridCol w:w="140"/>
        <w:gridCol w:w="980"/>
        <w:gridCol w:w="95"/>
        <w:gridCol w:w="60"/>
        <w:gridCol w:w="140"/>
        <w:gridCol w:w="980"/>
        <w:gridCol w:w="99"/>
      </w:tblGrid>
      <w:tr>
        <w:trPr/>
        <w:tc>
          <w:tcPr>
            <w:tcW w:w="510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99" w:type="dxa"/>
            <w:tcBorders/>
            <w:vAlign w:val="center"/>
          </w:tcPr>
          <w:p>
            <w:pPr>
              <w:pStyle w:val="TableContents"/>
              <w:bidi w:val="0"/>
              <w:spacing w:before="0" w:after="283"/>
              <w:ind w:left="0" w:right="0" w:hanging="180"/>
              <w:jc w:val="left"/>
              <w:rPr/>
            </w:pPr>
            <w:r>
              <w:rPr/>
              <w:t> </w:t>
            </w:r>
          </w:p>
        </w:tc>
      </w:tr>
      <w:tr>
        <w:trPr/>
        <w:tc>
          <w:tcPr>
            <w:tcW w:w="5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2,580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1,808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772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31,031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11,271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11,271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b/>
              </w:rPr>
            </w:pPr>
            <w:r>
              <w:rPr>
                <w:b/>
              </w:rPr>
              <w:t>Operating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(10,499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(Loss) gain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(10,479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(10,479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(2,041</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(Loss) gain on disposal of Extraction business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3,534</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Loss (income)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1,493</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(8,986</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Net 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Basic income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(5.35</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0.76</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Net income (loss) per share attributable to Common Stockholders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Diluted income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(5.35</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0.76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Net income (loss) per share attributable to Common Stockholders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(4.59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basic</w:t>
            </w:r>
            <w:r>
              <w:rPr>
                <w:rFonts w:ascii="Times New Roman;Times;Serif" w:hAnsi="Times New Roman;Times;Serif"/>
                <w:position w:val="7"/>
                <w:sz w:val="16"/>
                <w:sz w:val="20"/>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2,155,721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1,965,425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2,152,443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1,958,724</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2,283,971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1,965,425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5,252,126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1,958,724</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$17.7 million and $27.7 million for the three and six months ended June 30, 2026, and $264 thousand and $265 thousand for the three and six months ended June 30, 2025, in each case from related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$5.9 million and $10.2 million for the three and six months ended June 30, 2026, and $2.8 million and $4.2 million for the three and six months ended June 30, 2025, in each case from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$1.8 million and $3.6 million of interest expense for the three and six months ended June 30, 2026, and $548 thousand and $798 thousand for the three and six months ended June 30, 2025, in each case from a related party.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RYTHM,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7"/>
        <w:gridCol w:w="60"/>
        <w:gridCol w:w="60"/>
        <w:gridCol w:w="980"/>
        <w:gridCol w:w="95"/>
        <w:gridCol w:w="60"/>
        <w:gridCol w:w="301"/>
        <w:gridCol w:w="559"/>
        <w:gridCol w:w="60"/>
        <w:gridCol w:w="60"/>
        <w:gridCol w:w="163"/>
        <w:gridCol w:w="937"/>
        <w:gridCol w:w="60"/>
        <w:gridCol w:w="60"/>
        <w:gridCol w:w="188"/>
        <w:gridCol w:w="1182"/>
        <w:gridCol w:w="95"/>
        <w:gridCol w:w="60"/>
        <w:gridCol w:w="231"/>
        <w:gridCol w:w="1130"/>
        <w:gridCol w:w="87"/>
      </w:tblGrid>
      <w:tr>
        <w:trPr/>
        <w:tc>
          <w:tcPr>
            <w:tcW w:w="3777"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b/>
              </w:rPr>
              <w:t>Additional</w:t>
            </w:r>
            <w:r>
              <w:rPr/>
              <w:br/>
            </w: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1" w:type="dxa"/>
            <w:gridSpan w:val="2"/>
            <w:tcBorders/>
            <w:vAlign w:val="center"/>
          </w:tcPr>
          <w:p>
            <w:pPr>
              <w:pStyle w:val="TableContents"/>
              <w:bidi w:val="0"/>
              <w:spacing w:before="0" w:after="283"/>
              <w:jc w:val="center"/>
              <w:rPr>
                <w:b/>
              </w:rPr>
            </w:pPr>
            <w:r>
              <w:rPr>
                <w:b/>
              </w:rPr>
              <w:t>Total</w:t>
              <w:br/>
              <w:t>Stockholders’</w:t>
            </w:r>
          </w:p>
        </w:tc>
        <w:tc>
          <w:tcPr>
            <w:tcW w:w="87" w:type="dxa"/>
            <w:tcBorders/>
            <w:vAlign w:val="center"/>
          </w:tcPr>
          <w:p>
            <w:pPr>
              <w:pStyle w:val="TableContents"/>
              <w:bidi w:val="0"/>
              <w:spacing w:before="0" w:after="283"/>
              <w:ind w:left="0" w:right="0" w:hanging="180"/>
              <w:jc w:val="center"/>
              <w:rPr/>
            </w:pPr>
            <w:r>
              <w:rPr/>
              <w:t> </w:t>
            </w:r>
          </w:p>
        </w:tc>
      </w:tr>
      <w:tr>
        <w:trPr/>
        <w:tc>
          <w:tcPr>
            <w:tcW w:w="37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87" w:type="dxa"/>
            <w:tcBorders/>
            <w:vAlign w:val="center"/>
          </w:tcPr>
          <w:p>
            <w:pPr>
              <w:pStyle w:val="TableContents"/>
              <w:bidi w:val="0"/>
              <w:spacing w:before="0" w:after="283"/>
              <w:ind w:left="0" w:right="0" w:hanging="180"/>
              <w:jc w:val="center"/>
              <w:rPr/>
            </w:pPr>
            <w:r>
              <w:rPr/>
              <w:t> </w:t>
            </w:r>
          </w:p>
        </w:tc>
      </w:tr>
      <w:tr>
        <w:trPr/>
        <w:tc>
          <w:tcPr>
            <w:tcW w:w="3777"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1,952,032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335,400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(307,313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28,089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589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777" w:type="dxa"/>
            <w:tcBorders/>
            <w:shd w:fill="CCEEFF" w:val="clear"/>
            <w:vAlign w:val="center"/>
          </w:tcPr>
          <w:p>
            <w:pPr>
              <w:pStyle w:val="TableContents"/>
              <w:bidi w:val="0"/>
              <w:spacing w:before="0" w:after="283"/>
              <w:jc w:val="left"/>
              <w:rPr/>
            </w:pPr>
            <w:r>
              <w:rPr/>
              <w:t>Cancellation of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283"/>
              <w:jc w:val="left"/>
              <w:rPr/>
            </w:pPr>
            <w:r>
              <w:rPr/>
              <w:t>Impairment of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(230</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377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3777"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1,952,014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335,989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(309,169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26,822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777"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283"/>
              <w:jc w:val="left"/>
              <w:rPr/>
            </w:pPr>
            <w:r>
              <w:rPr/>
              <w:t>Issuance of vested RSUs, net of shares held back to offset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777" w:type="dxa"/>
            <w:tcBorders/>
            <w:shd w:fill="CCEEFF" w:val="clear"/>
            <w:vAlign w:val="center"/>
          </w:tcPr>
          <w:p>
            <w:pPr>
              <w:pStyle w:val="TableContents"/>
              <w:bidi w:val="0"/>
              <w:spacing w:before="0" w:after="283"/>
              <w:jc w:val="left"/>
              <w:rPr/>
            </w:pPr>
            <w:r>
              <w:rPr/>
              <w:t>Issuance and accrual of pre-funded warrants in lieu of cash interest payments on related party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777" w:type="dxa"/>
            <w:tcBorders/>
            <w:shd w:fill="FFFFFF" w:val="clear"/>
            <w:vAlign w:val="center"/>
          </w:tcPr>
          <w:p>
            <w:pPr>
              <w:pStyle w:val="TableContents"/>
              <w:bidi w:val="0"/>
              <w:spacing w:before="0" w:after="283"/>
              <w:jc w:val="left"/>
              <w:rPr/>
            </w:pPr>
            <w:r>
              <w:rPr/>
              <w:t>Issuance and accrual of pre-funded warrants in lieu of cash interest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476</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77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(7,360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(7,360</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3777" w:type="dxa"/>
            <w:tcBorders/>
            <w:shd w:fill="FFFFFF" w:val="clear"/>
            <w:vAlign w:val="center"/>
          </w:tcPr>
          <w:p>
            <w:pPr>
              <w:pStyle w:val="TableContents"/>
              <w:bidi w:val="0"/>
              <w:spacing w:before="0" w:after="283"/>
              <w:jc w:val="left"/>
              <w:rPr>
                <w:b/>
              </w:rPr>
            </w:pPr>
            <w:r>
              <w:rPr>
                <w:b/>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2,002,568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337,490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(316,529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20,963</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4"/>
        <w:gridCol w:w="60"/>
        <w:gridCol w:w="60"/>
        <w:gridCol w:w="986"/>
        <w:gridCol w:w="60"/>
        <w:gridCol w:w="60"/>
        <w:gridCol w:w="301"/>
        <w:gridCol w:w="559"/>
        <w:gridCol w:w="60"/>
        <w:gridCol w:w="60"/>
        <w:gridCol w:w="163"/>
        <w:gridCol w:w="937"/>
        <w:gridCol w:w="60"/>
        <w:gridCol w:w="60"/>
        <w:gridCol w:w="188"/>
        <w:gridCol w:w="1182"/>
        <w:gridCol w:w="95"/>
        <w:gridCol w:w="60"/>
        <w:gridCol w:w="231"/>
        <w:gridCol w:w="1131"/>
        <w:gridCol w:w="78"/>
      </w:tblGrid>
      <w:tr>
        <w:trPr/>
        <w:tc>
          <w:tcPr>
            <w:tcW w:w="3814"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0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pPr>
            <w:r>
              <w:rPr>
                <w:b/>
              </w:rPr>
              <w:t>Additional</w:t>
            </w:r>
            <w:r>
              <w:rPr/>
              <w:br/>
            </w:r>
            <w:r>
              <w:rPr>
                <w:b/>
              </w:rPr>
              <w:t>Paid-in-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2" w:type="dxa"/>
            <w:gridSpan w:val="2"/>
            <w:tcBorders/>
            <w:vAlign w:val="center"/>
          </w:tcPr>
          <w:p>
            <w:pPr>
              <w:pStyle w:val="TableContents"/>
              <w:bidi w:val="0"/>
              <w:spacing w:before="0" w:after="283"/>
              <w:jc w:val="center"/>
              <w:rPr>
                <w:b/>
              </w:rPr>
            </w:pPr>
            <w:r>
              <w:rPr>
                <w:b/>
              </w:rPr>
              <w:t>Total</w:t>
              <w:br/>
              <w:t>Stockholders’</w:t>
            </w:r>
          </w:p>
        </w:tc>
        <w:tc>
          <w:tcPr>
            <w:tcW w:w="78" w:type="dxa"/>
            <w:tcBorders/>
            <w:vAlign w:val="center"/>
          </w:tcPr>
          <w:p>
            <w:pPr>
              <w:pStyle w:val="TableContents"/>
              <w:bidi w:val="0"/>
              <w:spacing w:before="0" w:after="283"/>
              <w:ind w:left="0" w:right="0" w:hanging="180"/>
              <w:jc w:val="center"/>
              <w:rPr/>
            </w:pPr>
            <w:r>
              <w:rPr/>
              <w:t> </w:t>
            </w:r>
          </w:p>
        </w:tc>
      </w:tr>
      <w:tr>
        <w:trPr/>
        <w:tc>
          <w:tcPr>
            <w:tcW w:w="38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78" w:type="dxa"/>
            <w:tcBorders/>
            <w:vAlign w:val="center"/>
          </w:tcPr>
          <w:p>
            <w:pPr>
              <w:pStyle w:val="TableContents"/>
              <w:bidi w:val="0"/>
              <w:spacing w:before="0" w:after="283"/>
              <w:ind w:left="0" w:right="0" w:hanging="180"/>
              <w:jc w:val="center"/>
              <w:rPr/>
            </w:pPr>
            <w:r>
              <w:rPr/>
              <w:t> </w:t>
            </w:r>
          </w:p>
        </w:tc>
      </w:tr>
      <w:tr>
        <w:trPr/>
        <w:tc>
          <w:tcPr>
            <w:tcW w:w="3814"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2,149,128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353,818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(340,800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13,020</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814"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570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814" w:type="dxa"/>
            <w:tcBorders/>
            <w:shd w:fill="CCEEFF" w:val="clear"/>
            <w:vAlign w:val="center"/>
          </w:tcPr>
          <w:p>
            <w:pPr>
              <w:pStyle w:val="TableContents"/>
              <w:bidi w:val="0"/>
              <w:spacing w:before="0" w:after="283"/>
              <w:jc w:val="left"/>
              <w:rPr/>
            </w:pPr>
            <w:r>
              <w:rPr/>
              <w:t>Issuance and accrual of pre-funded warrants in lieu of cash interest payments on related party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2,988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814" w:type="dxa"/>
            <w:tcBorders/>
            <w:shd w:fill="FFFFFF" w:val="clear"/>
            <w:vAlign w:val="center"/>
          </w:tcPr>
          <w:p>
            <w:pPr>
              <w:pStyle w:val="TableContents"/>
              <w:bidi w:val="0"/>
              <w:spacing w:before="0" w:after="283"/>
              <w:jc w:val="left"/>
              <w:rPr/>
            </w:pPr>
            <w:r>
              <w:rPr/>
              <w:t>Issuance and accrual of pre-funded warrants in lieu of cash interest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75</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81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19,922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19,922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814"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2,149,128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357,451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(320,878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36,575</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814"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578</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814" w:type="dxa"/>
            <w:tcBorders/>
            <w:shd w:fill="FFFFFF" w:val="clear"/>
            <w:vAlign w:val="center"/>
          </w:tcPr>
          <w:p>
            <w:pPr>
              <w:pStyle w:val="TableContents"/>
              <w:bidi w:val="0"/>
              <w:spacing w:before="0" w:after="283"/>
              <w:jc w:val="left"/>
              <w:rPr/>
            </w:pPr>
            <w:r>
              <w:rPr/>
              <w:t>Issuance of vested RSUs, net of shares held back to offset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814" w:type="dxa"/>
            <w:tcBorders/>
            <w:shd w:fill="CCEEFF" w:val="clear"/>
            <w:vAlign w:val="center"/>
          </w:tcPr>
          <w:p>
            <w:pPr>
              <w:pStyle w:val="TableContents"/>
              <w:bidi w:val="0"/>
              <w:spacing w:before="0" w:after="283"/>
              <w:jc w:val="left"/>
              <w:rPr/>
            </w:pPr>
            <w:r>
              <w:rPr/>
              <w:t>Issuance or accrual of pre-funded warrants in lieu of cash interest payments on related party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675</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814" w:type="dxa"/>
            <w:tcBorders/>
            <w:shd w:fill="FFFFFF" w:val="clear"/>
            <w:vAlign w:val="center"/>
          </w:tcPr>
          <w:p>
            <w:pPr>
              <w:pStyle w:val="TableContents"/>
              <w:bidi w:val="0"/>
              <w:spacing w:before="0" w:after="283"/>
              <w:jc w:val="left"/>
              <w:rPr/>
            </w:pPr>
            <w:r>
              <w:rPr/>
              <w:t>Issuance or accrual of pre-funded warrants in lieu of cash interest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75</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3814"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1,184</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3814" w:type="dxa"/>
            <w:tcBorders/>
            <w:shd w:fill="FFFFFF" w:val="clear"/>
            <w:vAlign w:val="center"/>
          </w:tcPr>
          <w:p>
            <w:pPr>
              <w:pStyle w:val="TableContents"/>
              <w:bidi w:val="0"/>
              <w:spacing w:before="0" w:after="283"/>
              <w:jc w:val="left"/>
              <w:rPr>
                <w:b/>
              </w:rPr>
            </w:pPr>
            <w:r>
              <w:rPr>
                <w:b/>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2,179,128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358,779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(319,694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39,087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RYTHM,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35"/>
        <w:gridCol w:w="60"/>
        <w:gridCol w:w="179"/>
        <w:gridCol w:w="970"/>
        <w:gridCol w:w="122"/>
        <w:gridCol w:w="76"/>
        <w:gridCol w:w="179"/>
        <w:gridCol w:w="970"/>
        <w:gridCol w:w="114"/>
      </w:tblGrid>
      <w:tr>
        <w:trPr/>
        <w:tc>
          <w:tcPr>
            <w:tcW w:w="75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4" w:type="dxa"/>
            <w:tcBorders/>
            <w:vAlign w:val="center"/>
          </w:tcPr>
          <w:p>
            <w:pPr>
              <w:pStyle w:val="TableContents"/>
              <w:bidi w:val="0"/>
              <w:spacing w:before="0" w:after="283"/>
              <w:ind w:left="0" w:right="0" w:hanging="180"/>
              <w:jc w:val="left"/>
              <w:rPr/>
            </w:pPr>
            <w:r>
              <w:rPr/>
              <w:t> </w:t>
            </w:r>
          </w:p>
        </w:tc>
      </w:tr>
      <w:tr>
        <w:trPr/>
        <w:tc>
          <w:tcPr>
            <w:tcW w:w="7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ind w:left="0" w:right="0" w:hanging="180"/>
              <w:jc w:val="left"/>
              <w:rPr/>
            </w:pPr>
            <w:r>
              <w:rPr/>
              <w:t> </w:t>
            </w:r>
          </w:p>
        </w:tc>
      </w:tr>
      <w:tr>
        <w:trPr/>
        <w:tc>
          <w:tcPr>
            <w:tcW w:w="753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21,106</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(8,986</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535" w:type="dxa"/>
            <w:tcBorders/>
            <w:shd w:fill="FFFFFF" w:val="clear"/>
            <w:vAlign w:val="center"/>
          </w:tcPr>
          <w:p>
            <w:pPr>
              <w:pStyle w:val="TableContents"/>
              <w:bidi w:val="0"/>
              <w:spacing w:before="0" w:after="283"/>
              <w:jc w:val="left"/>
              <w:rPr/>
            </w:pPr>
            <w:r>
              <w:rPr/>
              <w:t>Adjustments to reconcile net income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6,925</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735</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7535" w:type="dxa"/>
            <w:tcBorders/>
            <w:shd w:fill="FFFFFF" w:val="clear"/>
            <w:vAlign w:val="center"/>
          </w:tcPr>
          <w:p>
            <w:pPr>
              <w:pStyle w:val="TableContents"/>
              <w:bidi w:val="0"/>
              <w:spacing w:before="0" w:after="283"/>
              <w:jc w:val="left"/>
              <w:rPr/>
            </w:pPr>
            <w:r>
              <w:rPr/>
              <w:t>Non-cash interest expense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1,502</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164</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Non-cash tax benefit from release of valuation allowance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(26,798</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7535" w:type="dxa"/>
            <w:tcBorders/>
            <w:shd w:fill="FFFFFF" w:val="clear"/>
            <w:vAlign w:val="center"/>
          </w:tcPr>
          <w:p>
            <w:pPr>
              <w:pStyle w:val="TableContents"/>
              <w:bidi w:val="0"/>
              <w:spacing w:before="0" w:after="283"/>
              <w:jc w:val="left"/>
              <w:rPr/>
            </w:pPr>
            <w:r>
              <w:rPr/>
              <w:t>Lease expense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14</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85</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Impairment of right-of-use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24</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753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1,148</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1,104</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127</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(292</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Change in provision for credit losses, net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(25</w:t>
            </w:r>
          </w:p>
        </w:tc>
        <w:tc>
          <w:tcPr>
            <w:tcW w:w="12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52</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Change in provision for inventory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137</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112</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7535" w:type="dxa"/>
            <w:tcBorders/>
            <w:shd w:fill="FFFFFF" w:val="clear"/>
            <w:vAlign w:val="center"/>
          </w:tcPr>
          <w:p>
            <w:pPr>
              <w:pStyle w:val="TableContents"/>
              <w:bidi w:val="0"/>
              <w:spacing w:before="0" w:after="283"/>
              <w:jc w:val="left"/>
              <w:rPr/>
            </w:pPr>
            <w:r>
              <w:rPr/>
              <w:t>Gain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w:t>
            </w:r>
          </w:p>
        </w:tc>
        <w:tc>
          <w:tcPr>
            <w:tcW w:w="114" w:type="dxa"/>
            <w:tcBorders/>
            <w:shd w:fill="FFFFFF" w:val="clear"/>
            <w:vAlign w:val="center"/>
          </w:tcPr>
          <w:p>
            <w:pPr>
              <w:pStyle w:val="TableContents"/>
              <w:bidi w:val="0"/>
              <w:spacing w:before="0" w:after="283"/>
              <w:ind w:left="0" w:right="0" w:hanging="0"/>
              <w:jc w:val="left"/>
              <w:rPr/>
            </w:pPr>
            <w:r>
              <w:rPr/>
              <w:t>)</w:t>
            </w:r>
          </w:p>
        </w:tc>
      </w:tr>
      <w:tr>
        <w:trPr/>
        <w:tc>
          <w:tcPr>
            <w:tcW w:w="7535" w:type="dxa"/>
            <w:tcBorders/>
            <w:shd w:fill="CCEEFF" w:val="clear"/>
            <w:vAlign w:val="center"/>
          </w:tcPr>
          <w:p>
            <w:pPr>
              <w:pStyle w:val="TableContents"/>
              <w:bidi w:val="0"/>
              <w:spacing w:before="0" w:after="283"/>
              <w:jc w:val="left"/>
              <w:rPr/>
            </w:pPr>
            <w:r>
              <w:rPr/>
              <w:t>Gain on disposal of Extraction business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(3,534</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230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(812</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Accounts receivable - related party</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1,092</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1,161</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(610</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(1,843</w:t>
            </w:r>
          </w:p>
        </w:tc>
        <w:tc>
          <w:tcPr>
            <w:tcW w:w="122"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(903</w:t>
            </w:r>
          </w:p>
        </w:tc>
        <w:tc>
          <w:tcPr>
            <w:tcW w:w="114" w:type="dxa"/>
            <w:tcBorders/>
            <w:shd w:fill="FFFFFF" w:val="clear"/>
            <w:vAlign w:val="center"/>
          </w:tcPr>
          <w:p>
            <w:pPr>
              <w:pStyle w:val="TableContents"/>
              <w:bidi w:val="0"/>
              <w:spacing w:before="0" w:after="283"/>
              <w:ind w:left="0" w:right="0" w:hanging="0"/>
              <w:jc w:val="left"/>
              <w:rPr/>
            </w:pPr>
            <w:r>
              <w:rPr/>
              <w:t>)</w:t>
            </w:r>
          </w:p>
        </w:tc>
      </w:tr>
      <w:tr>
        <w:trPr/>
        <w:tc>
          <w:tcPr>
            <w:tcW w:w="75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(221</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(324</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Accounts payable - related party</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69</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1,690</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(943</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Accrued expenses and other current liabilities - related party</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3,421</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(38</w:t>
            </w:r>
          </w:p>
        </w:tc>
        <w:tc>
          <w:tcPr>
            <w:tcW w:w="12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(104</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753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(1,167</w:t>
            </w:r>
          </w:p>
        </w:tc>
        <w:tc>
          <w:tcPr>
            <w:tcW w:w="114" w:type="dxa"/>
            <w:tcBorders/>
            <w:shd w:fill="FFFFFF" w:val="clear"/>
            <w:vAlign w:val="center"/>
          </w:tcPr>
          <w:p>
            <w:pPr>
              <w:pStyle w:val="TableContents"/>
              <w:bidi w:val="0"/>
              <w:spacing w:before="0" w:after="283"/>
              <w:ind w:left="0" w:right="0" w:hanging="0"/>
              <w:jc w:val="left"/>
              <w:rPr/>
            </w:pPr>
            <w:r>
              <w:rPr/>
              <w:t>)</w:t>
            </w:r>
          </w:p>
        </w:tc>
      </w:tr>
      <w:tr>
        <w:trPr/>
        <w:tc>
          <w:tcPr>
            <w:tcW w:w="7535"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b/>
              </w:rPr>
            </w:pPr>
            <w:r>
              <w:rPr>
                <w:b/>
              </w:rPr>
              <w:t>Net cash and cash equivalents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9,697</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(15,138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7535" w:type="dxa"/>
            <w:tcBorders/>
            <w:shd w:fill="CCEEFF" w:val="clear"/>
            <w:vAlign w:val="center"/>
          </w:tcPr>
          <w:p>
            <w:pPr>
              <w:pStyle w:val="TableContents"/>
              <w:bidi w:val="0"/>
              <w:spacing w:before="0" w:after="283"/>
              <w:jc w:val="left"/>
              <w:rPr/>
            </w:pPr>
            <w:r>
              <w:rPr/>
              <w:t>Related party acquisition of MC Brands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(5,075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535" w:type="dxa"/>
            <w:tcBorders/>
            <w:shd w:fill="FFFFFF" w:val="clear"/>
            <w:vAlign w:val="center"/>
          </w:tcPr>
          <w:p>
            <w:pPr>
              <w:pStyle w:val="TableContents"/>
              <w:bidi w:val="0"/>
              <w:spacing w:before="0" w:after="283"/>
              <w:jc w:val="left"/>
              <w:rPr>
                <w:b/>
              </w:rPr>
            </w:pPr>
            <w:r>
              <w:rPr>
                <w:b/>
              </w:rPr>
              <w:t>Net cash and cash equivalents used in investing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(5,075</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7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Proceeds from related party notes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27,000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pPr>
            <w:r>
              <w:rPr/>
              <w:t>Proceeds from notes payable</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3,000</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Repayments of notes payable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535" w:type="dxa"/>
            <w:tcBorders/>
            <w:shd w:fill="FFFFFF" w:val="clear"/>
            <w:vAlign w:val="center"/>
          </w:tcPr>
          <w:p>
            <w:pPr>
              <w:pStyle w:val="TableContents"/>
              <w:bidi w:val="0"/>
              <w:spacing w:before="0" w:after="283"/>
              <w:jc w:val="left"/>
              <w:rPr>
                <w:b/>
              </w:rPr>
            </w:pPr>
            <w:r>
              <w:rPr>
                <w:b/>
              </w:rPr>
              <w:t>Net cash and cash equivalents provided by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29,999</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9,697</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9,786</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Cash and cash equivalents at the beginning of period</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32,218</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31,170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b/>
              </w:rPr>
            </w:pPr>
            <w:r>
              <w:rPr>
                <w:b/>
              </w:rPr>
              <w:t>Cash and cash equivalents at the end of period</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pPr>
            <w:r>
              <w:rPr/>
              <w:t>41,915</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pPr>
            <w:r>
              <w:rPr/>
              <w:t>40,956</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b/>
              </w:rPr>
            </w:pPr>
            <w:r>
              <w:rPr>
                <w:b/>
              </w:rPr>
              <w:t>Supplemental disclosures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257</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518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Issuance of pre-funded warrants in lieu of related party cash interest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2,313</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510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535" w:type="dxa"/>
            <w:tcBorders/>
            <w:shd w:fill="FFFFFF" w:val="clear"/>
            <w:vAlign w:val="center"/>
          </w:tcPr>
          <w:p>
            <w:pPr>
              <w:pStyle w:val="TableContents"/>
              <w:bidi w:val="0"/>
              <w:spacing w:before="0" w:after="283"/>
              <w:jc w:val="left"/>
              <w:rPr/>
            </w:pPr>
            <w:r>
              <w:rPr/>
              <w:t>Accrued pre-funded warrants in lieu of cash interest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970" w:type="dxa"/>
            <w:tcBorders/>
            <w:shd w:fill="FFFFFF" w:val="cle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970" w:type="dxa"/>
            <w:tcBorders/>
            <w:shd w:fill="FFFFFF" w:val="clear"/>
            <w:vAlign w:val="center"/>
          </w:tcPr>
          <w:p>
            <w:pPr>
              <w:pStyle w:val="TableContents"/>
              <w:bidi w:val="0"/>
              <w:spacing w:before="0" w:after="283"/>
              <w:jc w:val="right"/>
              <w:rPr/>
            </w:pPr>
            <w:r>
              <w:rPr/>
              <w:t>476</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7535" w:type="dxa"/>
            <w:tcBorders/>
            <w:shd w:fill="CCEEFF" w:val="clear"/>
            <w:vAlign w:val="center"/>
          </w:tcPr>
          <w:p>
            <w:pPr>
              <w:pStyle w:val="TableContents"/>
              <w:bidi w:val="0"/>
              <w:spacing w:before="0" w:after="283"/>
              <w:jc w:val="left"/>
              <w:rPr/>
            </w:pPr>
            <w:r>
              <w:rPr/>
              <w:t>Reclassification of accounts payable to notes payable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970" w:type="dxa"/>
            <w:tcBorders/>
            <w:shd w:fill="CCEEFF" w:val="clear"/>
            <w:vAlign w:val="center"/>
          </w:tcPr>
          <w:p>
            <w:pPr>
              <w:pStyle w:val="TableContents"/>
              <w:bidi w:val="0"/>
              <w:spacing w:before="0" w:after="283"/>
              <w:jc w:val="right"/>
              <w:rPr/>
            </w:pPr>
            <w:r>
              <w:rPr/>
              <w:t>99</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RYTHM,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Overview,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 (formerly Agrify Corporation) (together with its subsidiaries, the “Company” or “RYTHM”) delivers well-being to consumers through its portfolio of hemp-derived tetrahydrocannabinol (“THC”) products and iconic licensed brands. The Company’s portfolio of consumer-packaged goods brands includes RYTHM, incredibles, Dogwalkers, Beboe, &amp;Shine, Doctor Solomon’s, Good Green and Señorita. The Señorita brand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eighteen U.S. states and Canada including at top retailers such as Total Wine, ABC Fine Wine &amp; Spirits, and Binny’s. The RYTHM branded beverage comes in two fruit-driven flavors with effect-based ingredients. Both Señorita and RYTHM hemp-derived beverages are available at Chicago’s iconic United Center, based on a partnership announced in January 2026, establishing the Company as the venue’s official THC sponsor.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 Throughout these unaudited condensed consolidated financial statements, the terms “intellectual property”, “intellectual property rights”, “brands”, “trademarks”, “tradenames”, “brand rights” and “Prepaid License Rights” are used interchangeably.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historically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the State of Nevada on June 6, 2016 as Agrinamics, Inc., and subsequently changed its name to Agrify Corporation. On August 27, 2025, the Company filed a Certificate of Amendment to the Articles of Incorporation of the Company with the Secretary of State of Nevada, to effect a change in the Company’s name from Agrify Corporation to RYTHM, Inc., effective as of September 2, 2025. In connection with the name change, the Company’s trading symbol on the Nasdaq Capital Market changed from “AGFY” to “RYM” effective as of the open of trading on September 2, 2025. The Company is sometimes referred to herein by the words “we,” “us,” “our,” and similar terminology.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thirteen wholly-owned consolidated subsidiaries, which are collectively referred to as the “Subsidiaries,” seven of which are included in discontinued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an Asset Purchase Agreement (the “Purchase Agreement”) with CP Acquisitions, LLC (“CP”), an entity affiliated with Raymond Chang, the Company’s former Chairman and Chief Executive Officer. Under the Purchase Agreement, CP acquired assets from the Company relating to the Company’s VFUs, including the related Agrify total-turnkey (“TTK”) solution assets and Agrify Insights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software solutions (collectively the “Cultivation Business”). The sale of the Cultivation Business occurred following signing on December 31, 2024. The results of the Cultivation Business are presented as discontinued operations in the Condensed Consolidated Statements of Operations and, as such, have been excluded from continuing operations. Further, the Company reclassified the assets and liabilities of the Cultivation Business associated with discontinued operations in the Condensed Consolidated Balance Sheets as of June 30, 2026 and December 31, 2025. For further discussion on the discontinued operations, refer to Note 6 included elsewhere in the notes to the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Condensed Consolidated Statements of Operations and, as such, have been excluded from continuing operations. Further, the Company reclassified the assets and liabilities of the Extraction Business associated with discontinued operations in the Condensed Consolidated Balance Sheets as of June 30, 2026 and December 31, 2025. For further discussion on the discontinued operations, refer to Note 6 included elsewhere in the notes to the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20, 2025, the Company acquired from VCP IP Holdings, LLC (“VCP”) an indirect wholly-owned subsidiary of Green Thumb Industries Inc., a related party (“Green Thumb”), 100% of the equity interests of MC Brands, LLC pursuant to which the Company obtained rights relating to MC Brands, LLC and its wholly-owned subsidiary Core Growth LLC (together referred to as “MC Brands”). The assets of MC Brands consist primarily of intellectual property rights associated with the incredibles brand. Concurrent with the transaction, the Company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The Company began recognizing Licensing Revenue under this agreement in May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27, 2025, the Company acquired from VCP23, LLC an indirect wholly-owned subsidiary of Green Thumb (“VCP23”), 100% of the equity interests of VCP pursuant to which the Company obtained rights relating to VCP. The assets of VCP, consist primarily of intellectual property rights to the RYTHM, Beboe, Dogwalkers, Doctor Solomon’s, &amp; Shine, and Good Green brands (these rights, together with the incredibles brand rights, referred to as “Brand Rights”). Concurrent with the transaction, the Company entered into a license agreement with GTI Core pursuant to which GTI Core was granted the right to use the Brand Rights in connection with its existing businesses. Consideration payable by GTI Core under the license agreement consists of a monthly license fee payable in cash. The Company began recognizing Licensing Revenue under this agreement in November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the Company amended the license agreements with GTI Core described above to replace sales-based royalty consideration with fixed annual fees, effective April 1, 2026. Under the amended terms, the Company is entitled to aggregate fixed payments of $70 million per year, subject to annual escalation based on a 2x multiple of changes in the Consumer Price Index (“CPI”) beginning January 1, 2027, subject to a maximum year-over-year increase of 10%. The Company recognizes this revenue on a ratable basis over the license term as the customer receives continuous access to the intellectual property.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there is currently a growing market for hemp-derived THC products as consumers continue to migrate away from traditional beer and wine products, the regulatory landscape governing such products is becoming increasingly complex and uncertain across multiple dimensions. At the federal level, legislation passed on November 12, 2025 to reopen the U.S. federal government, the Continuing Appropriations and Extensions Act of 2026, contained a provision that would materially alter the federal definition of hemp-derived products. Upon effectiveness (November 12, 2026), such products may not contain more than 0.4 milligrams of total THC per container. Our current hemp-derived THC products exceed these limits and, unless this legislation is amended prior to its effective date, we believe it could require us to significantly reformulate or discontinue our current hemp-derived THC product lines or move to produce the products in Drug Enforcement Administration (“DEA”) registered state-licensed medical marijuana facilities deemed legal under federal law, which would significantly increase our expenses and limit our distribution channels.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cannabis rescheduling developments also introduce additional complexity. The DEA’s April 2026 actions placed certain Federal Drug Administration-approved marijuana products and qualifying state-licensed medical marijuana products in Schedule III of the Controlled Substances Act (“CSA”) but expressly left hemp outside its scope. Ongoing Administrative Law Judge proceedings addressing the broader scheduling status of marijuana, including marijuana products and activities not covered by the April 2026 actions, could further alter the federal regulatory framework in ways that may have downstream implications for hemp-derived THC products that are difficult to predict. Concurrently, states and municipalities are increasingly enacting or enforcing laws governing hemp-derived THC products, including potency caps, labeling requirements, age restrictions, and outright prohibitions, creating additional operational and compliance uncertainty for the Company. The ultimate impact of these federal legislative, regulatory, and state and local developments on the Company’s hemp-derived THC product lines will depend on future legislative and administrative action at each level of government and remains uncertain at this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condensed consolidated financial statements of the Company are unaudited. In the opinion of management, all adjustments (consisting of normal recurring adjustments)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(the “SEC”) and do not include all information and footnotes necessary for a complete presentation of financial statements in conformity with accounting principles generally accepted in the United States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annual consolidated financial statements prepared in accordance with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2025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other assets (Prepaid License Rights), goodwill, and litigation. Management bases their estimates on historical experience and other market-specific or other relevant assumptions that they believe to be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Discontinued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entered into and closed the Purchase Agreement with CP. Under the Purchase Agreement, CP acquired assets from the Company relating to the Cultivation Business. On March 30, 2025, the Company discontinued the Extraction Business (together with the Cultivation Business, the “Discontinued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sale of the Cultivation Business and the exit of the Extraction Business represented strategic shifts that will have a major effect on the Company’s operations and financial results, they have been presented in discontinued operations in accordance with Accounting Standards Codification (“ASC”) 205, </w:t>
      </w:r>
      <w:r>
        <w:rPr>
          <w:rFonts w:ascii="Times New Roman;Times;Serif" w:hAnsi="Times New Roman;Times;Serif"/>
          <w:b w:val="false"/>
          <w:i/>
          <w:caps w:val="false"/>
          <w:smallCaps w:val="false"/>
          <w:sz w:val="20"/>
        </w:rPr>
        <w:t>Presentation of Financial Statements</w:t>
      </w:r>
      <w:r>
        <w:rPr>
          <w:rFonts w:ascii="Times New Roman;Times;Serif" w:hAnsi="Times New Roman;Times;Serif"/>
          <w:b w:val="false"/>
          <w:i w:val="false"/>
          <w:caps w:val="false"/>
          <w:smallCaps w:val="false"/>
          <w:sz w:val="20"/>
        </w:rPr>
        <w:t>, separate from continuing operations for the three months and six months ended June 30, 2026 and 2025, in the Company’s condensed consolidated statement of operations and applicable footnotes, and as of June 30, 2026 and December 31, 2025, in the Company’s condensed consolidated balance sheets, as applicable. For further discussion, refer to Note 6 included elsewhere in the notes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net, primarily consists of amounts for goods and services that are billed and currently due from customers. In accordance with the current expected credit loss (“CECL”) impairment model under Accounting Standards Update (“ASU”) 2016-13, </w:t>
      </w:r>
      <w:r>
        <w:rPr>
          <w:rFonts w:ascii="Times New Roman;Times;Serif" w:hAnsi="Times New Roman;Times;Serif"/>
          <w:b w:val="false"/>
          <w:i/>
          <w:caps w:val="false"/>
          <w:smallCaps w:val="false"/>
          <w:sz w:val="20"/>
        </w:rPr>
        <w:t>Financial Instruments - Credit Losses (Topic 326)</w:t>
      </w:r>
      <w:r>
        <w:rPr>
          <w:rFonts w:ascii="Times New Roman;Times;Serif" w:hAnsi="Times New Roman;Times;Serif"/>
          <w:b w:val="false"/>
          <w:i w:val="false"/>
          <w:caps w:val="false"/>
          <w:smallCaps w:val="false"/>
          <w:sz w:val="20"/>
        </w:rPr>
        <w:t>,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of Credit Risk and Significant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a concentration of credit risk primarily consist of cash, cash equivalents,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the Company had one related party customer that accounted for 77% of the total revenue from continuing operations. For the three months ended June 30, 2025, one related-party customer and one third-party customer each accounted for 10% or more of total revenue from continuing operations, representing 13% and 38% of total revenue from continuing operations,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one related-party customer accounted for 76% of total revenue from continuing operations. For the six months ended June 30, 2025, three third-party customers each accounted for 10% or more of total revenue from continuing operations, representing between 11% and 30% of total revenue from continuing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one related-party customer accounted for 73% and 75% of the Company’s accounts receivable,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all its inventories, which consist primarily of finished goods and raw materials, at the lower of cost or net realizable value, with cost principally determined by the weighted-average cost method. Write-offs of potentially slow-moving or damaged inventory are recorded through specific identification of obsolete or damaged material. The Company takes a physical inventory count at least once annually at all significant inventory 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Impairment of Long-Lived Assets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evaluated for impairment whenever events or changes in circumstances indicate the carrying value may not be recoverable. Examples include a significant adverse change in the extent or manner in which we use the asset, or an unexpected change in financial performance. When evaluating long-lived assets for impairment, we compare the carrying value of the asset to the asset’s estimated undiscounted future cash flows. An impairment is indicated if the estimated future cash flows are less than the carrying value of the asset. The impairment is the excess of the carrying value over the fair value of the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including issued private placement stock purchase warrants, to determine if such instruments are derivatives or contain features that qualify as embedded derivatives, pursuant to Accounting Standards Codification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or modified warrants that meet all of the criteria for equity classification are recorded as a component of additional paid-in capital at the time of issuance. Issued or modified warrants that are precluded from equity classification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convertible instruments to determine if those contracts or embedded components of those contracts qualify as derivative financial instruments to be separately accounted for in accordance with ASC 815. ASC 815 requires that the Company identify and record certain embedded conversion options,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of cash and cash equivalents, accounts receivable, operating lease liabilities, long-term debt, related-party debt, and warrant liabilities. Refer to Note 4 - Fair Value Measures, included elsewhere in the notes to the unaudited condensed consolidated financial statements for details of the Company’s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restricted stock units and stock options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restricted stock units and stock options to employees, directors and consultants with only service-based vesting conditions and records the expense for these awards using the straight-line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 within the unaudited condensed consolidated statements of operations based on the function performed by the award recipient, consistent with the classification of the recipient’s other compensation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 and Asset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in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for determining the appropriate accounting treatment for asset acquisitions. ASU 2017-01, </w:t>
      </w:r>
      <w:r>
        <w:rPr>
          <w:rFonts w:ascii="Times New Roman;Times;Serif" w:hAnsi="Times New Roman;Times;Serif"/>
          <w:b w:val="false"/>
          <w:i/>
          <w:caps w:val="false"/>
          <w:smallCaps w:val="false"/>
          <w:sz w:val="20"/>
        </w:rPr>
        <w:t>Clarifying the Definition of a Business</w:t>
      </w:r>
      <w:r>
        <w:rPr>
          <w:rFonts w:ascii="Times New Roman;Times;Serif" w:hAnsi="Times New Roman;Times;Serif"/>
          <w:b w:val="false"/>
          <w:i w:val="false"/>
          <w:caps w:val="false"/>
          <w:smallCaps w:val="false"/>
          <w:sz w:val="20"/>
        </w:rPr>
        <w:t>, provides an initial fair value screen to determine if substantially all of the fair value of the assets acquired is concentrated in a single asset or group of similar assets. If the initial screening test is not met, the set is considered a business based on whether there are inputs and substantive processes in place. Based on the results of this analysis and conclusion on an acquisition’s classification of a business combination or an asset acquisition, the accounting treatment is derived.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acquisition is deemed to be a business, the purchase method of accounting is applied. The estimated fair value of net assets acquired, including the allocation of the fair value to identifiable assets and liabilities, is determined using established valuation techniques. A fair value measurement is determined as the price received to sell an asset or pay to transfer a liability in an orderly transaction between market participants at the measurement date. In the context of purchase accounting, the determination of fair value often involves significant judgments and estimates by management, including the selection of valuation methodologies, estimates of future revenues, costs and cash flows, discount rates, and selection of comparable companies. The estimated fair values reflected in the purchase accounting rely on management’s judgment and the expertise of a third-party valuation firm engaged to assist in concluding on the fair value measurements. In determining the fair value of all identifiable assets and liabilities acquired, the most significant estimates relate to intangible assets. For the intangible assets identified, depending on the type of intangible asset and the complexity of determining its fair value, the fair value is developed using appropriate valuation techniques, taking into account assumptions such as the expected future revenue, expected use of the asset, market conditions, uncertainty factors, the estimated useful life, and discount rate, among other factors. These assumptions may vary based on future events, perceptions of different market participants and other factors outside the control of management, and such variations may be significant to estimated values.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deemed to be an asset acquisition, the cost accumulation and allocation model is used whereby the assets and liabilities are recorded based on the purchase price and allocated to the individual assets and liabilities based on relative fair values. For the allocation of intangible assets identified, depending on the type of intangible asset and the complexity of determining its relative fair value, an independent valuation expert or management may allocate the relative fair value, using appropriate valuation techniques, which are generally based on a forecast of the total expected future net cash flows and takes into consideration other significant assumptions such as the expected use, market uncertainty, marketing or sales support requirements and the intangible asset useful lives.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License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sale arrangement includes terms—such as repurchase features or other provisions—that prevent the buyer from obtaining control of the business or assets, the Company concludes that control has not transferred. In those circumstances, the arrangement is accounted for based on its substance under other applicable GAAP. In connection with such arrangements, amounts paid for licensing rights are deferred and recorded as prepaid licensing rights on the Company’s unaudited condensed consolidated balance sheets. These amounts are recognized in expense over the period in which the related rights are utilized or otherwise as the underlying economic benefit is consumed.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generates revenue from continuing operations through the sale of hemp-derived THC products (Non-licensing Revenue) and Licensing Revenue. The Company licenses intellectual property to a related party. Prior to April 1, 2026, these arrangements provided for sales-based royalties and licensing revenue was recognized in accordance with ASC Topic 606 </w:t>
      </w:r>
      <w:r>
        <w:rPr>
          <w:rFonts w:ascii="Times New Roman;Times;Serif" w:hAnsi="Times New Roman;Times;Serif"/>
          <w:b w:val="false"/>
          <w:i/>
          <w:caps w:val="false"/>
          <w:smallCaps w:val="false"/>
          <w:sz w:val="20"/>
        </w:rPr>
        <w:t xml:space="preserve">Revenue Recognition </w:t>
      </w:r>
      <w:r>
        <w:rPr>
          <w:rFonts w:ascii="Times New Roman;Times;Serif" w:hAnsi="Times New Roman;Times;Serif"/>
          <w:b w:val="false"/>
          <w:i w:val="false"/>
          <w:caps w:val="false"/>
          <w:smallCaps w:val="false"/>
          <w:sz w:val="20"/>
        </w:rPr>
        <w:t>(“ASC 606”), specifically, the sales-based royalty exception, through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March 31, 2026, 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April 1, 2026, the Company amended its licensing agreements with subsidiaries of Green Thumb to replace sales-based royalty consideration with fixed annual fees. Under the amended terms, the Company is entitled to aggregate fixed payments of $70 million per year, subject to annual escalation based on a two times multiple of changes in the CPI beginning January 1, 2027, subject to a maximum year-over-year increase of 10%. The Company recognizes this revenue on a ratable basis over the license term as the licensees receive continuous access to the intellectual property.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ASC 606, the transaction price for these arrangements includes fixed consideration and variable consideration related to CPI-based adjustments. Per ASC 606, variable consideration is included in the transaction price only to the extent that it is probable that a significant reversal of cumulative revenue will not occur. As of June 30, 2026, CPI-based adjustments are considered constrained and are therefore excluded from the transaction price and will be recognized as revenue in the period in which the uncertainty is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2026, in accordance with ASC 606-10-50-13, the Company is required to include disclosure on its remaining performance obligations as of the end of the current reporting period. The Company excluded variable consideration related to CPI-based fee escalators from the total remaining performance obligations, as such amounts are not included in the transaction price due to the application of the constraint. The Company expects to recognize such variable consideration in the period in which the related uncertainty is resolved. Actual amounts and timing of revenue recognition may differ from these estimates due to contract modifications, CPI-based price increases, or the exercise of contractual repurchase rights by Green Thumb.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revenue for hemp-derived THC products (non-licensing) is recognized through a five-step model, as outlined below: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Identify the customer contract:</w:t>
            </w:r>
            <w:r>
              <w:rPr>
                <w:rFonts w:ascii="Times New Roman;Times;Serif" w:hAnsi="Times New Roman;Times;Serif"/>
              </w:rPr>
              <w:t xml:space="preserve"> A customer contract is identified when there is mutual approval and commitment between the Company and its 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Identify performance obligations that are distinct:</w:t>
            </w:r>
            <w:r>
              <w:rPr>
                <w:rFonts w:ascii="Times New Roman;Times;Serif" w:hAnsi="Times New Roman;Times;Serif"/>
              </w:rPr>
              <w:t xml:space="preserve"> The Company identifies distinct performance obligations in each contract. A performance 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Determine the transaction price</w:t>
            </w:r>
            <w:r>
              <w:rPr>
                <w:rFonts w:ascii="Times New Roman;Times;Serif" w:hAnsi="Times New Roman;Times;Serif"/>
              </w:rPr>
              <w:t>: The transaction price is the amount of consideration the Company expects to receive in exchange for the sale of the product. This amount is determined excluding sales taxes collected on behalf of government agencies and net of any sales discounts, incentives, and returns.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Allocate the transaction price to distinct performance obligations</w:t>
            </w:r>
            <w:r>
              <w:rPr>
                <w:rFonts w:ascii="Times New Roman;Times;Serif" w:hAnsi="Times New Roman;Times;Serif"/>
              </w:rPr>
              <w:t>: The transaction price is allocated to each distinct performance obligation 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Recognize revenue as the performance obligations are satisfied: </w:t>
            </w:r>
            <w:r>
              <w:rPr>
                <w:rFonts w:ascii="Times New Roman;Times;Serif" w:hAnsi="Times New Roman;Times;Serif"/>
              </w:rPr>
              <w:t>Revenue from the sale of hemp-derived THC products (non-licensing)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Payments for slotting, listing fees, or other marketing or promotional activities, where legally permitted, are recorded as a reduction in revenue unless a distinct good or service is received in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pending federal ban on hemp-derived THC products effective November 12, 2026, the Company is monitoring the potential effect on its distribution agreements. Under the Company’s distribution agreements, distributors retain the contractual right to require the Company to repurchase product in the event of a regulatory recall or product ban, which represents variable consideration under ASC 606. Consistent with ASC 606-10-55-23, the Company recognizes revenue only to the extent it is probable that a significant reversal in cumulative revenue recognized will not occur. The Company recognizes a refund liability representing the portion of consideration received that it expects to refund. Management is currently evaluating the timing and measurement of expected repurchases under these contractual provisions. Management evaluated the timing and measurement of expected repurchases under these contractual provisions and determined that no liability was required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income taxes pursuant to the provisions of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has recorded liabilities for unrecognized tax benefits related to research and development tax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represents federal, state and local income taxes. The effective rate differs from statutory rates due to the Company’s release of valuation allowance during the six months ended June 30, 2026 that was previously offsetting deferred tax assets. Our effective tax rate may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(Loss) Per Share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presents basic and diluted net income (loss) per share in accordance with ASC 260, </w:t>
      </w:r>
      <w:r>
        <w:rPr>
          <w:rFonts w:ascii="Times New Roman;Times;Serif" w:hAnsi="Times New Roman;Times;Serif"/>
          <w:b w:val="false"/>
          <w:i/>
          <w:caps w:val="false"/>
          <w:smallCaps w:val="false"/>
          <w:sz w:val="20"/>
        </w:rPr>
        <w:t xml:space="preserve">Earnings Per Share </w:t>
      </w:r>
      <w:r>
        <w:rPr>
          <w:rFonts w:ascii="Times New Roman;Times;Serif" w:hAnsi="Times New Roman;Times;Serif"/>
          <w:b w:val="false"/>
          <w:i w:val="false"/>
          <w:caps w:val="false"/>
          <w:smallCaps w:val="false"/>
          <w:sz w:val="20"/>
        </w:rPr>
        <w:t>(“ASC 260”). Basic income (loss) per share is computed using the two-class method, under which net income is allocated to common stockholders and participating securities based on their respective rights to receive dividends. The Company’s participating securities consist of pre-funded warrants. Accordingly, net income attributable to its Common Stockholders may differ from reported net income in periods of net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share is calculated by dividing net income (loss) attributable to Common Stockholders by the weighted-average number of shares of Common Stock outstanding during the period. Diluted income (loss) per share reflects the potential dilution that could occur if securities or other contracts to issue Common Stock were exercised or converted into common stock. The Company determines diluted income (loss) per share by applying the most dilutive method for each class of potentially dilutive securities. The treasury stock method is applied to stock options and restricted stock units, the if-converted method is applied to convertible notes, and the two-class method is applied to participating securities. For instruments subject to the two-class method, the Company applies a hybrid approach in which income is allocated after giving effect to adjustments from other dilutive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of net income, a portion of income is allocated to participating securities and deducted in determining income attributable to Common Stockholders. In periods of net loss, losses are not allocated to participating securities, as they do not have a contractual obligation to share in losses. In such periods, basic and diluted net loss per share are the same, as potentially dilutive securities are anti-dilutive. See Note 14 – Net Income (Loss) Per Share for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Financial Accounting Standards Board (“FASB”) issued Accounting Standards Update (“ASU”) 2024-04, </w:t>
      </w:r>
      <w:r>
        <w:rPr>
          <w:rFonts w:ascii="Times New Roman;Times;Serif" w:hAnsi="Times New Roman;Times;Serif"/>
          <w:b w:val="false"/>
          <w:i/>
          <w:caps w:val="false"/>
          <w:smallCaps w:val="false"/>
          <w:sz w:val="20"/>
        </w:rPr>
        <w:t>Debt with Conversion and Other Options</w:t>
      </w:r>
      <w:r>
        <w:rPr>
          <w:rFonts w:ascii="Times New Roman;Times;Serif" w:hAnsi="Times New Roman;Times;Serif"/>
          <w:b w:val="false"/>
          <w:i w:val="false"/>
          <w:caps w:val="false"/>
          <w:smallCaps w:val="false"/>
          <w:sz w:val="20"/>
        </w:rPr>
        <w:t xml:space="preserve">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ASU 2020-06, </w:t>
      </w:r>
      <w:r>
        <w:rPr>
          <w:rFonts w:ascii="Times New Roman;Times;Serif" w:hAnsi="Times New Roman;Times;Serif"/>
          <w:b w:val="false"/>
          <w:i/>
          <w:caps w:val="false"/>
          <w:smallCaps w:val="false"/>
          <w:sz w:val="20"/>
        </w:rPr>
        <w:t>Debt - Debt with Conversion and Other Options and Derivatives and Hedging – Contracts in Entity’s Own Equity</w:t>
      </w:r>
      <w:r>
        <w:rPr>
          <w:rFonts w:ascii="Times New Roman;Times;Serif" w:hAnsi="Times New Roman;Times;Serif"/>
          <w:b w:val="false"/>
          <w:i w:val="false"/>
          <w:caps w:val="false"/>
          <w:smallCaps w:val="false"/>
          <w:sz w:val="20"/>
        </w:rPr>
        <w:t>. The Company adopted this new standard on January 1, 2026 on a prospective basis and the adoption of ASU 2024-04 did not have a material impact on the Company’s unaudited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Announced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xml:space="preserve"> (Topic 220): Disaggregation of Income Statement Expenses. This guidance requires additional disclosure of certain amounts included in the expense captions presented on the Statement of Operations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condensed consolidated financial statements and related disclosures.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Interim Reporting</w:t>
      </w:r>
      <w:r>
        <w:rPr>
          <w:rFonts w:ascii="Times New Roman;Times;Serif" w:hAnsi="Times New Roman;Times;Serif"/>
          <w:b w:val="false"/>
          <w:i w:val="false"/>
          <w:caps w:val="false"/>
          <w:smallCaps w:val="false"/>
          <w:sz w:val="20"/>
        </w:rPr>
        <w:t xml:space="preserve"> (Topic 270) (“ASU 2025-11”), Narrow-Scope Improvements, to provide clarity about the current requirements, rather than evaluate whether to expand or reduce interim disclosure requirements. The amendments in ASU 2025-11 result in a comprehensive list of interim disclosures that are required by GAAP. The amendments in ASU 2025-11 also include a disclosure principle that requires entities to disclose events since the end of the last annual reporting period that have a material impact on the entity. The amendments in ASU 2025-11 are effective for interim reporting periods within annual reporting periods beginning after December 15, 2027 and early adoption is permitted. The amendments in ASU 2025-11 can be applied either prospectively or retrospectively to any or all prior periods presented in the financial statements. The Company is currently evaluating the disclosure impact that ASU 2025-11 may have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xml:space="preserve"> (“ASU 2025-12”), which includes various amendments to the FASB Accounting Standards Codification intended to clarify, correct, and improve existing guidance. ASU 2025-12 is effective for annual reporting periods beginning after December 15, 2026, and interim reporting periods within those annual reporting periods. Early adoption is permitted. The Company is currently evaluating the impact that ASU 2025-12 may have on its financial statement presentation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did not or are not believed by management to have a material impact on the Company’s present or future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condensed consolidated financial statements are issued.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 history of recurring net losses and negative cash flow in operating activities. However, for the six months ended June 30, 2026, the Company generated positive cash flow from operating activities and reported net income primarily as a result of a non-cash income tax benefit. Management believes that the Company’s $41.9 million of cash and cash equivalents, anticipated contractual Licensing Revenue and ability to address outstanding Convertible Notes will be sufficient to meet its cash requirements through at least the 12-month period following the date that these condensed consolidated financial statements were issued. </w:t>
      </w:r>
    </w:p>
    <w:p>
      <w:pPr>
        <w:pStyle w:val="TextBody"/>
        <w:bidi w:val="0"/>
        <w:spacing w:before="0" w:after="0"/>
        <w:ind w:left="45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Convertible Notes maturities of $80 million exist through February 2027, with $72.0 million held by Green Thumb, a related party. The ability for the holders of these notes to elect to be repaid in cash upon maturity could raise substantial doubt about the Company’s ability to continue as a going concern. However, while these contractual maturities require management attention, management believes it is probable that the obligations will be addressed through extension or conversion consistent with historical practice. As such, the Company’s financial statements have been prepared on a going concern basis.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2 —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from continuing operations from Non-licensing Revenue and Licensing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generated revenue from continuing operations from hemp-derived product sales (Non-licensing Revenue) and Licensing Revenue. Hemp-derived product sales revenue is recognized at a point-in-time when control transfers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Revenue prior to April 1, 2026 was sales-based and recognized over time as the underlying sales occurred in accordance with the terms of the related party license agreements, which commenced in May 2025. Effective April 1, 2026, the licensing arrangements were amended to provide for a fixed annual fee and Licensing Revenue is recognized on a ratable basis over the license term. For the three and six months ended June 30, 2025, Non-Licensing Revenue from continuing operations is transferred at a point-in-time and relates to hemp-derived beverages.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Company’s revenue from continuing operations disaggregated by revenue type:</w:t>
      </w:r>
    </w:p>
    <w:p>
      <w:pPr>
        <w:pStyle w:val="TextBody"/>
        <w:bidi w:val="0"/>
        <w:spacing w:before="0" w:after="0"/>
        <w:ind w:left="0" w:right="0" w:hanging="0"/>
        <w:jc w:val="both"/>
        <w:rPr>
          <w:caps w:val="false"/>
          <w:smallCaps w:val="false"/>
        </w:rPr>
      </w:pPr>
      <w:r>
        <w:rPr>
          <w:caps w:val="false"/>
          <w:smallCaps w:val="false"/>
        </w:rPr>
        <w:t> </w:t>
      </w:r>
    </w:p>
    <w:tbl>
      <w:tblPr>
        <w:tblW w:w="8492" w:type="dxa"/>
        <w:jc w:val="left"/>
        <w:tblInd w:w="0" w:type="dxa"/>
        <w:tblLayout w:type="fixed"/>
        <w:tblCellMar>
          <w:top w:w="0" w:type="dxa"/>
          <w:left w:w="0" w:type="dxa"/>
          <w:bottom w:w="0" w:type="dxa"/>
          <w:right w:w="0" w:type="dxa"/>
        </w:tblCellMar>
      </w:tblPr>
      <w:tblGrid>
        <w:gridCol w:w="2270"/>
        <w:gridCol w:w="60"/>
        <w:gridCol w:w="259"/>
        <w:gridCol w:w="1258"/>
        <w:gridCol w:w="111"/>
        <w:gridCol w:w="111"/>
        <w:gridCol w:w="259"/>
        <w:gridCol w:w="1036"/>
        <w:gridCol w:w="60"/>
        <w:gridCol w:w="60"/>
        <w:gridCol w:w="233"/>
        <w:gridCol w:w="1134"/>
        <w:gridCol w:w="100"/>
        <w:gridCol w:w="100"/>
        <w:gridCol w:w="233"/>
        <w:gridCol w:w="933"/>
        <w:gridCol w:w="27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275"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5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Non-licensing Revenue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5,521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8,832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933" w:type="dxa"/>
            <w:tcBorders/>
            <w:shd w:fill="CCEEFF" w:val="clear"/>
            <w:vAlign w:val="center"/>
          </w:tcPr>
          <w:p>
            <w:pPr>
              <w:pStyle w:val="TableContents"/>
              <w:bidi w:val="0"/>
              <w:spacing w:before="0" w:after="283"/>
              <w:jc w:val="right"/>
              <w:rPr/>
            </w:pPr>
            <w:r>
              <w:rPr/>
              <w:t>2,332</w:t>
            </w:r>
          </w:p>
        </w:tc>
        <w:tc>
          <w:tcPr>
            <w:tcW w:w="2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Licensing Revenue</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FFFFFF" w:val="clear"/>
            <w:tcMar>
              <w:bottom w:w="28" w:type="dxa"/>
            </w:tcMar>
            <w:vAlign w:val="center"/>
          </w:tcPr>
          <w:p>
            <w:pPr>
              <w:pStyle w:val="TableContents"/>
              <w:bidi w:val="0"/>
              <w:spacing w:before="0" w:after="283"/>
              <w:jc w:val="right"/>
              <w:rPr/>
            </w:pPr>
            <w:r>
              <w:rPr/>
              <w:t>17,500</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27,475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22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CCEEFF" w:val="clear"/>
            <w:tcMar>
              <w:bottom w:w="28" w:type="dxa"/>
            </w:tcMar>
            <w:vAlign w:val="center"/>
          </w:tcPr>
          <w:p>
            <w:pPr>
              <w:pStyle w:val="TableContents"/>
              <w:bidi w:val="0"/>
              <w:spacing w:before="0" w:after="283"/>
              <w:jc w:val="right"/>
              <w:rPr/>
            </w:pPr>
            <w:r>
              <w:rPr/>
              <w:t>23,021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CCEEFF" w:val="clear"/>
            <w:tcMar>
              <w:bottom w:w="28" w:type="dxa"/>
            </w:tcMar>
            <w:vAlign w:val="center"/>
          </w:tcPr>
          <w:p>
            <w:pPr>
              <w:pStyle w:val="TableContents"/>
              <w:bidi w:val="0"/>
              <w:spacing w:before="0" w:after="283"/>
              <w:jc w:val="right"/>
              <w:rPr/>
            </w:pPr>
            <w:r>
              <w:rPr/>
              <w:t>2,042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pPr>
            <w:r>
              <w:rPr/>
              <w:t>36,307</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pPr>
            <w:r>
              <w:rPr/>
              <w:t>2,580</w:t>
            </w:r>
          </w:p>
        </w:tc>
        <w:tc>
          <w:tcPr>
            <w:tcW w:w="2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aggregate amount of contractual Licensing Revenue allocated to remaining performance obligations is approximately $290.9 million. This represents fixed fees through August 27, 2030, reflecting the period prior to which neither party may terminate unilaterally; mutual termination remains available throughout the term. The Company expects to recognize this amount as revenue ratably over that period. The Company excluded variable consideration related to CPI-based fee escalators from the total remaining performance obligations.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Supplemental Condensed Consolidated Balance Sheet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 as of June 30, 2026 and December 31, 2025:</w:t>
      </w:r>
    </w:p>
    <w:p>
      <w:pPr>
        <w:pStyle w:val="TextBody"/>
        <w:bidi w:val="0"/>
        <w:spacing w:before="0" w:after="0"/>
        <w:ind w:left="0" w:right="0" w:firstLine="360"/>
        <w:jc w:val="center"/>
        <w:rPr>
          <w:caps w:val="false"/>
          <w:smallCaps w:val="false"/>
        </w:rPr>
      </w:pPr>
      <w:r>
        <w:rPr>
          <w:caps w:val="false"/>
          <w:smallCaps w:val="false"/>
        </w:rPr>
        <w:t> </w:t>
      </w:r>
    </w:p>
    <w:tbl>
      <w:tblPr>
        <w:tblW w:w="5920" w:type="dxa"/>
        <w:jc w:val="left"/>
        <w:tblInd w:w="0" w:type="dxa"/>
        <w:tblLayout w:type="fixed"/>
        <w:tblCellMar>
          <w:top w:w="0" w:type="dxa"/>
          <w:left w:w="0" w:type="dxa"/>
          <w:bottom w:w="28" w:type="dxa"/>
          <w:right w:w="0" w:type="dxa"/>
        </w:tblCellMar>
      </w:tblPr>
      <w:tblGrid>
        <w:gridCol w:w="3020"/>
        <w:gridCol w:w="60"/>
        <w:gridCol w:w="187"/>
        <w:gridCol w:w="748"/>
        <w:gridCol w:w="95"/>
        <w:gridCol w:w="60"/>
        <w:gridCol w:w="295"/>
        <w:gridCol w:w="1180"/>
        <w:gridCol w:w="275"/>
      </w:tblGrid>
      <w:tr>
        <w:trPr/>
        <w:tc>
          <w:tcPr>
            <w:tcW w:w="3020"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275" w:type="dxa"/>
            <w:tcBorders/>
            <w:tcMar>
              <w:bottom w:w="0" w:type="dxa"/>
            </w:tcMar>
            <w:vAlign w:val="center"/>
          </w:tcPr>
          <w:p>
            <w:pPr>
              <w:pStyle w:val="TableContents"/>
              <w:bidi w:val="0"/>
              <w:spacing w:before="0" w:after="283"/>
              <w:jc w:val="left"/>
              <w:rPr/>
            </w:pPr>
            <w:r>
              <w:rPr/>
              <w:t> </w:t>
            </w:r>
          </w:p>
        </w:tc>
      </w:tr>
      <w:tr>
        <w:trPr/>
        <w:tc>
          <w:tcPr>
            <w:tcW w:w="3020" w:type="dxa"/>
            <w:tcBorders/>
            <w:shd w:fill="CCEEFF" w:val="clear"/>
            <w:tcMar>
              <w:bottom w:w="0" w:type="dxa"/>
            </w:tcMar>
            <w:vAlign w:val="center"/>
          </w:tcPr>
          <w:p>
            <w:pPr>
              <w:pStyle w:val="TableContents"/>
              <w:bidi w:val="0"/>
              <w:spacing w:before="0" w:after="283"/>
              <w:jc w:val="left"/>
              <w:rPr/>
            </w:pPr>
            <w:r>
              <w:rPr/>
              <w:t>Accounts receivable, gross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748" w:type="dxa"/>
            <w:tcBorders/>
            <w:shd w:fill="CCEEFF" w:val="clear"/>
            <w:tcMar>
              <w:bottom w:w="0" w:type="dxa"/>
            </w:tcMar>
            <w:vAlign w:val="center"/>
          </w:tcPr>
          <w:p>
            <w:pPr>
              <w:pStyle w:val="TableContents"/>
              <w:bidi w:val="0"/>
              <w:spacing w:before="0" w:after="283"/>
              <w:jc w:val="right"/>
              <w:rPr/>
            </w:pPr>
            <w:r>
              <w:rPr/>
              <w:t>8,277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1180" w:type="dxa"/>
            <w:tcBorders/>
            <w:shd w:fill="CCEEFF" w:val="clear"/>
            <w:tcMar>
              <w:bottom w:w="0" w:type="dxa"/>
            </w:tcMar>
            <w:vAlign w:val="center"/>
          </w:tcPr>
          <w:p>
            <w:pPr>
              <w:pStyle w:val="TableContents"/>
              <w:bidi w:val="0"/>
              <w:spacing w:before="0" w:after="283"/>
              <w:jc w:val="right"/>
              <w:rPr/>
            </w:pPr>
            <w:r>
              <w:rPr/>
              <w:t>9,699</w:t>
            </w:r>
          </w:p>
        </w:tc>
        <w:tc>
          <w:tcPr>
            <w:tcW w:w="27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3020" w:type="dxa"/>
            <w:tcBorders/>
            <w:shd w:fill="FFFFFF" w:val="clear"/>
            <w:tcMar>
              <w:bottom w:w="0" w:type="dxa"/>
            </w:tcMar>
            <w:vAlign w:val="center"/>
          </w:tcPr>
          <w:p>
            <w:pPr>
              <w:pStyle w:val="TableContents"/>
              <w:bidi w:val="0"/>
              <w:spacing w:before="0" w:after="283"/>
              <w:jc w:val="left"/>
              <w:rPr/>
            </w:pPr>
            <w:r>
              <w:rPr/>
              <w:t>Less allowance for credit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748" w:type="dxa"/>
            <w:tcBorders>
              <w:bottom w:val="single" w:sz="12" w:space="0" w:color="000000"/>
            </w:tcBorders>
            <w:shd w:fill="FFFFFF" w:val="clear"/>
            <w:vAlign w:val="center"/>
          </w:tcPr>
          <w:p>
            <w:pPr>
              <w:pStyle w:val="TableContents"/>
              <w:bidi w:val="0"/>
              <w:spacing w:before="0" w:after="283"/>
              <w:jc w:val="right"/>
              <w:rPr/>
            </w:pPr>
            <w:r>
              <w:rPr/>
              <w:t>(357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bottom w:val="single" w:sz="12" w:space="0" w:color="000000"/>
            </w:tcBorders>
            <w:shd w:fill="FFFFFF" w:val="clear"/>
            <w:vAlign w:val="center"/>
          </w:tcPr>
          <w:p>
            <w:pPr>
              <w:pStyle w:val="TableContents"/>
              <w:bidi w:val="0"/>
              <w:spacing w:before="0" w:after="283"/>
              <w:jc w:val="left"/>
              <w:rPr/>
            </w:pPr>
            <w:r>
              <w:rPr/>
              <w:t> </w:t>
            </w:r>
          </w:p>
        </w:tc>
        <w:tc>
          <w:tcPr>
            <w:tcW w:w="1180" w:type="dxa"/>
            <w:tcBorders>
              <w:bottom w:val="single" w:sz="12" w:space="0" w:color="000000"/>
            </w:tcBorders>
            <w:shd w:fill="FFFFFF" w:val="clear"/>
            <w:vAlign w:val="center"/>
          </w:tcPr>
          <w:p>
            <w:pPr>
              <w:pStyle w:val="TableContents"/>
              <w:bidi w:val="0"/>
              <w:spacing w:before="0" w:after="283"/>
              <w:jc w:val="right"/>
              <w:rPr/>
            </w:pPr>
            <w:r>
              <w:rPr/>
              <w:t>(382</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020" w:type="dxa"/>
            <w:tcBorders/>
            <w:shd w:fill="CCEEFF" w:val="clear"/>
            <w:tcMar>
              <w:bottom w:w="0" w:type="dxa"/>
            </w:tcMar>
            <w:vAlign w:val="center"/>
          </w:tcPr>
          <w:p>
            <w:pPr>
              <w:pStyle w:val="TableContents"/>
              <w:bidi w:val="0"/>
              <w:spacing w:before="0" w:after="283"/>
              <w:jc w:val="left"/>
              <w:rPr/>
            </w:pPr>
            <w:r>
              <w:rPr/>
              <w:t>Accounts receivable,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CCEEFF" w:val="clear"/>
            <w:vAlign w:val="center"/>
          </w:tcPr>
          <w:p>
            <w:pPr>
              <w:pStyle w:val="TableContents"/>
              <w:bidi w:val="0"/>
              <w:spacing w:before="0" w:after="283"/>
              <w:jc w:val="left"/>
              <w:rPr/>
            </w:pPr>
            <w:r>
              <w:rPr/>
              <w:t>$</w:t>
            </w:r>
          </w:p>
        </w:tc>
        <w:tc>
          <w:tcPr>
            <w:tcW w:w="748" w:type="dxa"/>
            <w:tcBorders>
              <w:bottom w:val="double" w:sz="10" w:space="0" w:color="000000"/>
            </w:tcBorders>
            <w:shd w:fill="CCEEFF" w:val="clear"/>
            <w:vAlign w:val="center"/>
          </w:tcPr>
          <w:p>
            <w:pPr>
              <w:pStyle w:val="TableContents"/>
              <w:bidi w:val="0"/>
              <w:spacing w:before="0" w:after="283"/>
              <w:jc w:val="right"/>
              <w:rPr/>
            </w:pPr>
            <w:r>
              <w:rPr/>
              <w:t>7,920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10" w:space="0" w:color="000000"/>
            </w:tcBorders>
            <w:shd w:fill="CCEEFF" w:val="clear"/>
            <w:vAlign w:val="center"/>
          </w:tcPr>
          <w:p>
            <w:pPr>
              <w:pStyle w:val="TableContents"/>
              <w:bidi w:val="0"/>
              <w:spacing w:before="0" w:after="283"/>
              <w:jc w:val="left"/>
              <w:rPr/>
            </w:pPr>
            <w:r>
              <w:rPr/>
              <w:t>$</w:t>
            </w:r>
          </w:p>
        </w:tc>
        <w:tc>
          <w:tcPr>
            <w:tcW w:w="1180" w:type="dxa"/>
            <w:tcBorders>
              <w:bottom w:val="double" w:sz="10" w:space="0" w:color="000000"/>
            </w:tcBorders>
            <w:shd w:fill="CCEEFF" w:val="clear"/>
            <w:vAlign w:val="center"/>
          </w:tcPr>
          <w:p>
            <w:pPr>
              <w:pStyle w:val="TableContents"/>
              <w:bidi w:val="0"/>
              <w:spacing w:before="0" w:after="283"/>
              <w:jc w:val="right"/>
              <w:rPr/>
            </w:pPr>
            <w:r>
              <w:rPr/>
              <w:t>9,317</w:t>
            </w:r>
          </w:p>
        </w:tc>
        <w:tc>
          <w:tcPr>
            <w:tcW w:w="2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Company’s credit losses accounts were as follows:</w:t>
      </w:r>
    </w:p>
    <w:p>
      <w:pPr>
        <w:pStyle w:val="TextBody"/>
        <w:bidi w:val="0"/>
        <w:spacing w:before="0" w:after="0"/>
        <w:ind w:left="0" w:right="0" w:firstLine="360"/>
        <w:jc w:val="center"/>
        <w:rPr>
          <w:caps w:val="false"/>
          <w:smallCaps w:val="false"/>
        </w:rPr>
      </w:pPr>
      <w:r>
        <w:rPr>
          <w:caps w:val="false"/>
          <w:smallCaps w:val="false"/>
        </w:rPr>
        <w:t> </w:t>
      </w:r>
    </w:p>
    <w:tbl>
      <w:tblPr>
        <w:tblW w:w="8648" w:type="dxa"/>
        <w:jc w:val="left"/>
        <w:tblInd w:w="0" w:type="dxa"/>
        <w:tblLayout w:type="fixed"/>
        <w:tblCellMar>
          <w:top w:w="0" w:type="dxa"/>
          <w:left w:w="0" w:type="dxa"/>
          <w:bottom w:w="28" w:type="dxa"/>
          <w:right w:w="0" w:type="dxa"/>
        </w:tblCellMar>
      </w:tblPr>
      <w:tblGrid>
        <w:gridCol w:w="4865"/>
        <w:gridCol w:w="60"/>
        <w:gridCol w:w="505"/>
        <w:gridCol w:w="1374"/>
        <w:gridCol w:w="95"/>
        <w:gridCol w:w="60"/>
        <w:gridCol w:w="380"/>
        <w:gridCol w:w="1034"/>
        <w:gridCol w:w="275"/>
      </w:tblGrid>
      <w:tr>
        <w:trPr/>
        <w:tc>
          <w:tcPr>
            <w:tcW w:w="486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12" w:space="0" w:color="000000"/>
            </w:tcBorders>
            <w:vAlign w:val="center"/>
          </w:tcPr>
          <w:p>
            <w:pPr>
              <w:pStyle w:val="TableContents"/>
              <w:bidi w:val="0"/>
              <w:spacing w:before="0" w:after="283"/>
              <w:jc w:val="center"/>
              <w:rPr>
                <w:b/>
              </w:rPr>
            </w:pPr>
            <w:r>
              <w:rPr>
                <w:b/>
              </w:rPr>
              <w:t xml:space="preserve">Six months ended </w:t>
              <w:b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Year</w:t>
              <w:br/>
              <w:t xml:space="preserve">ended </w:t>
              <w:br/>
              <w:t>December 31,</w:t>
              <w:br/>
              <w:t>2025</w:t>
            </w:r>
          </w:p>
        </w:tc>
        <w:tc>
          <w:tcPr>
            <w:tcW w:w="275" w:type="dxa"/>
            <w:tcBorders/>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left"/>
              <w:rPr/>
            </w:pPr>
            <w:r>
              <w:rPr/>
              <w:t>Allowance for credit losses -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 w:type="dxa"/>
            <w:tcBorders/>
            <w:shd w:fill="CCEEFF" w:val="clear"/>
            <w:tcMar>
              <w:bottom w:w="0" w:type="dxa"/>
            </w:tcMar>
            <w:vAlign w:val="center"/>
          </w:tcPr>
          <w:p>
            <w:pPr>
              <w:pStyle w:val="TableContents"/>
              <w:bidi w:val="0"/>
              <w:spacing w:before="0" w:after="283"/>
              <w:jc w:val="left"/>
              <w:rPr/>
            </w:pPr>
            <w:r>
              <w:rPr/>
              <w:t>$</w:t>
            </w:r>
          </w:p>
        </w:tc>
        <w:tc>
          <w:tcPr>
            <w:tcW w:w="1374" w:type="dxa"/>
            <w:tcBorders/>
            <w:shd w:fill="CCEEFF" w:val="clear"/>
            <w:tcMar>
              <w:bottom w:w="0" w:type="dxa"/>
            </w:tcMar>
            <w:vAlign w:val="center"/>
          </w:tcPr>
          <w:p>
            <w:pPr>
              <w:pStyle w:val="TableContents"/>
              <w:bidi w:val="0"/>
              <w:spacing w:before="0" w:after="283"/>
              <w:jc w:val="right"/>
              <w:rPr/>
            </w:pPr>
            <w:r>
              <w:rPr/>
              <w:t>382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left"/>
              <w:rPr/>
            </w:pPr>
            <w:r>
              <w:rPr/>
              <w:t>$</w:t>
            </w:r>
          </w:p>
        </w:tc>
        <w:tc>
          <w:tcPr>
            <w:tcW w:w="1034" w:type="dxa"/>
            <w:tcBorders/>
            <w:shd w:fill="CCEEFF" w:val="clear"/>
            <w:tcMar>
              <w:bottom w:w="0" w:type="dxa"/>
            </w:tcMar>
            <w:vAlign w:val="center"/>
          </w:tcPr>
          <w:p>
            <w:pPr>
              <w:pStyle w:val="TableContents"/>
              <w:bidi w:val="0"/>
              <w:spacing w:before="0" w:after="283"/>
              <w:jc w:val="right"/>
              <w:rPr/>
            </w:pPr>
            <w:r>
              <w:rPr/>
              <w:t>—</w:t>
            </w:r>
          </w:p>
        </w:tc>
        <w:tc>
          <w:tcPr>
            <w:tcW w:w="275"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4865" w:type="dxa"/>
            <w:tcBorders/>
            <w:shd w:fill="FFFFFF" w:val="clear"/>
            <w:tcMar>
              <w:bottom w:w="0" w:type="dxa"/>
            </w:tcMar>
            <w:vAlign w:val="center"/>
          </w:tcPr>
          <w:p>
            <w:pPr>
              <w:pStyle w:val="TableContents"/>
              <w:bidi w:val="0"/>
              <w:spacing w:before="0" w:after="283"/>
              <w:jc w:val="left"/>
              <w:rPr/>
            </w:pPr>
            <w:r>
              <w:rPr/>
              <w:t>(Recovery of) Provision allowance for credit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shd w:fill="FFFFFF" w:val="clear"/>
            <w:tcMar>
              <w:bottom w:w="0" w:type="dxa"/>
            </w:tcMar>
            <w:vAlign w:val="center"/>
          </w:tcPr>
          <w:p>
            <w:pPr>
              <w:pStyle w:val="TableContents"/>
              <w:bidi w:val="0"/>
              <w:spacing w:before="0" w:after="283"/>
              <w:jc w:val="left"/>
              <w:rPr/>
            </w:pPr>
            <w:r>
              <w:rPr/>
              <w:t> </w:t>
            </w:r>
          </w:p>
        </w:tc>
        <w:tc>
          <w:tcPr>
            <w:tcW w:w="1374" w:type="dxa"/>
            <w:tcBorders/>
            <w:shd w:fill="FFFFFF" w:val="clear"/>
            <w:tcMar>
              <w:bottom w:w="0" w:type="dxa"/>
            </w:tcMar>
            <w:vAlign w:val="center"/>
          </w:tcPr>
          <w:p>
            <w:pPr>
              <w:pStyle w:val="TableContents"/>
              <w:bidi w:val="0"/>
              <w:spacing w:before="0" w:after="283"/>
              <w:jc w:val="right"/>
              <w:rPr/>
            </w:pPr>
            <w:r>
              <w:rPr/>
              <w:t>(25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382</w:t>
            </w:r>
          </w:p>
        </w:tc>
        <w:tc>
          <w:tcPr>
            <w:tcW w:w="275" w:type="dxa"/>
            <w:tcBorders/>
            <w:shd w:fill="FFFFFF" w:val="clear"/>
            <w:tcMar>
              <w:bottom w:w="0" w:type="dxa"/>
            </w:tcMar>
            <w:vAlign w:val="center"/>
          </w:tcPr>
          <w:p>
            <w:pPr>
              <w:pStyle w:val="TableContents"/>
              <w:bidi w:val="0"/>
              <w:spacing w:before="0" w:after="283"/>
              <w:ind w:left="0" w:right="0" w:firstLine="200"/>
              <w:jc w:val="left"/>
              <w:rPr/>
            </w:pPr>
            <w:r>
              <w:rPr/>
              <w:t> </w:t>
            </w:r>
          </w:p>
        </w:tc>
      </w:tr>
      <w:tr>
        <w:trPr/>
        <w:tc>
          <w:tcPr>
            <w:tcW w:w="4865" w:type="dxa"/>
            <w:tcBorders/>
            <w:shd w:fill="CCEEFF" w:val="clear"/>
            <w:tcMar>
              <w:bottom w:w="0" w:type="dxa"/>
            </w:tcMar>
            <w:vAlign w:val="center"/>
          </w:tcPr>
          <w:p>
            <w:pPr>
              <w:pStyle w:val="TableContents"/>
              <w:bidi w:val="0"/>
              <w:spacing w:before="0" w:after="283"/>
              <w:jc w:val="left"/>
              <w:rPr/>
            </w:pPr>
            <w:r>
              <w:rPr/>
              <w:t>Write-offs of uncollectible accounts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 w:type="dxa"/>
            <w:tcBorders>
              <w:bottom w:val="single" w:sz="12" w:space="0" w:color="000000"/>
            </w:tcBorders>
            <w:shd w:fill="CCEEFF" w:val="clear"/>
            <w:vAlign w:val="center"/>
          </w:tcPr>
          <w:p>
            <w:pPr>
              <w:pStyle w:val="TableContents"/>
              <w:bidi w:val="0"/>
              <w:spacing w:before="0" w:after="283"/>
              <w:jc w:val="left"/>
              <w:rPr/>
            </w:pPr>
            <w:r>
              <w:rPr/>
              <w:t> </w:t>
            </w:r>
          </w:p>
        </w:tc>
        <w:tc>
          <w:tcPr>
            <w:tcW w:w="1374"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vAlign w:val="center"/>
          </w:tcPr>
          <w:p>
            <w:pPr>
              <w:pStyle w:val="TableContents"/>
              <w:bidi w:val="0"/>
              <w:spacing w:before="0" w:after="283"/>
              <w:jc w:val="left"/>
              <w:rPr/>
            </w:pPr>
            <w:r>
              <w:rPr/>
              <w:t> </w:t>
            </w:r>
          </w:p>
        </w:tc>
        <w:tc>
          <w:tcPr>
            <w:tcW w:w="1034" w:type="dxa"/>
            <w:tcBorders>
              <w:bottom w:val="single" w:sz="12" w:space="0" w:color="000000"/>
            </w:tcBorders>
            <w:shd w:fill="CCEEFF" w:val="clear"/>
            <w:vAlign w:val="center"/>
          </w:tcPr>
          <w:p>
            <w:pPr>
              <w:pStyle w:val="TableContents"/>
              <w:bidi w:val="0"/>
              <w:spacing w:before="0" w:after="283"/>
              <w:jc w:val="right"/>
              <w:rPr/>
            </w:pPr>
            <w:r>
              <w:rPr/>
              <w:t>—</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left"/>
              <w:rPr/>
            </w:pPr>
            <w:r>
              <w:rPr/>
              <w:t>Allowance for credit losses -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 w:type="dxa"/>
            <w:tcBorders>
              <w:bottom w:val="double" w:sz="10" w:space="0" w:color="000000"/>
            </w:tcBorders>
            <w:shd w:fill="FFFFFF" w:val="clear"/>
            <w:vAlign w:val="center"/>
          </w:tcPr>
          <w:p>
            <w:pPr>
              <w:pStyle w:val="TableContents"/>
              <w:bidi w:val="0"/>
              <w:spacing w:before="0" w:after="283"/>
              <w:jc w:val="left"/>
              <w:rPr/>
            </w:pPr>
            <w:r>
              <w:rPr/>
              <w:t>$</w:t>
            </w:r>
          </w:p>
        </w:tc>
        <w:tc>
          <w:tcPr>
            <w:tcW w:w="1374" w:type="dxa"/>
            <w:tcBorders>
              <w:bottom w:val="double" w:sz="10" w:space="0" w:color="000000"/>
            </w:tcBorders>
            <w:shd w:fill="FFFFFF" w:val="clear"/>
            <w:vAlign w:val="center"/>
          </w:tcPr>
          <w:p>
            <w:pPr>
              <w:pStyle w:val="TableContents"/>
              <w:bidi w:val="0"/>
              <w:spacing w:before="0" w:after="283"/>
              <w:jc w:val="right"/>
              <w:rPr/>
            </w:pPr>
            <w:r>
              <w:rPr/>
              <w:t>357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bottom w:val="double" w:sz="10" w:space="0" w:color="000000"/>
            </w:tcBorders>
            <w:shd w:fill="FFFFFF" w:val="clear"/>
            <w:vAlign w:val="center"/>
          </w:tcPr>
          <w:p>
            <w:pPr>
              <w:pStyle w:val="TableContents"/>
              <w:bidi w:val="0"/>
              <w:spacing w:before="0" w:after="283"/>
              <w:jc w:val="left"/>
              <w:rPr/>
            </w:pPr>
            <w:r>
              <w:rPr/>
              <w:t>$</w:t>
            </w:r>
          </w:p>
        </w:tc>
        <w:tc>
          <w:tcPr>
            <w:tcW w:w="1034" w:type="dxa"/>
            <w:tcBorders>
              <w:bottom w:val="double" w:sz="10" w:space="0" w:color="000000"/>
            </w:tcBorders>
            <w:shd w:fill="FFFFFF" w:val="clear"/>
            <w:vAlign w:val="center"/>
          </w:tcPr>
          <w:p>
            <w:pPr>
              <w:pStyle w:val="TableContents"/>
              <w:bidi w:val="0"/>
              <w:spacing w:before="0" w:after="283"/>
              <w:jc w:val="right"/>
              <w:rPr/>
            </w:pPr>
            <w:r>
              <w:rPr/>
              <w:t>382</w:t>
            </w:r>
          </w:p>
        </w:tc>
        <w:tc>
          <w:tcPr>
            <w:tcW w:w="2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4475"/>
        <w:gridCol w:w="60"/>
        <w:gridCol w:w="187"/>
        <w:gridCol w:w="748"/>
        <w:gridCol w:w="60"/>
        <w:gridCol w:w="60"/>
        <w:gridCol w:w="295"/>
        <w:gridCol w:w="1180"/>
        <w:gridCol w:w="75"/>
      </w:tblGrid>
      <w:tr>
        <w:trPr/>
        <w:tc>
          <w:tcPr>
            <w:tcW w:w="447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5"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75" w:type="dxa"/>
            <w:tcBorders/>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Prepaid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748" w:type="dxa"/>
            <w:tcBorders/>
            <w:shd w:fill="CCEEFF" w:val="clear"/>
            <w:tcMar>
              <w:bottom w:w="0" w:type="dxa"/>
            </w:tcMar>
            <w:vAlign w:val="center"/>
          </w:tcPr>
          <w:p>
            <w:pPr>
              <w:pStyle w:val="TableContents"/>
              <w:bidi w:val="0"/>
              <w:spacing w:before="0" w:after="283"/>
              <w:jc w:val="right"/>
              <w:rPr/>
            </w:pPr>
            <w:r>
              <w:rPr/>
              <w:t>3,057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1180" w:type="dxa"/>
            <w:tcBorders/>
            <w:shd w:fill="CCEEFF" w:val="clear"/>
            <w:tcMar>
              <w:bottom w:w="0" w:type="dxa"/>
            </w:tcMar>
            <w:vAlign w:val="center"/>
          </w:tcPr>
          <w:p>
            <w:pPr>
              <w:pStyle w:val="TableContents"/>
              <w:bidi w:val="0"/>
              <w:spacing w:before="0" w:after="283"/>
              <w:jc w:val="right"/>
              <w:rPr/>
            </w:pPr>
            <w:r>
              <w:rPr/>
              <w:t>1,259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shd w:fill="FFFFFF" w:val="clear"/>
            <w:tcMar>
              <w:bottom w:w="0" w:type="dxa"/>
            </w:tcMar>
            <w:vAlign w:val="center"/>
          </w:tcPr>
          <w:p>
            <w:pPr>
              <w:pStyle w:val="TableContents"/>
              <w:bidi w:val="0"/>
              <w:spacing w:before="0" w:after="283"/>
              <w:jc w:val="left"/>
              <w:rPr/>
            </w:pPr>
            <w:r>
              <w:rPr/>
              <w:t>Prepaid expenses, 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572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180" w:type="dxa"/>
            <w:tcBorders/>
            <w:shd w:fill="FFFFFF" w:val="clear"/>
            <w:tcMar>
              <w:bottom w:w="0" w:type="dxa"/>
            </w:tcMar>
            <w:vAlign w:val="center"/>
          </w:tcPr>
          <w:p>
            <w:pPr>
              <w:pStyle w:val="TableContents"/>
              <w:bidi w:val="0"/>
              <w:spacing w:before="0" w:after="283"/>
              <w:jc w:val="right"/>
              <w:rPr/>
            </w:pPr>
            <w:r>
              <w:rPr/>
              <w:t>589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Income tax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 </w:t>
            </w:r>
          </w:p>
        </w:tc>
        <w:tc>
          <w:tcPr>
            <w:tcW w:w="11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5" w:type="dxa"/>
            <w:tcBorders/>
            <w:shd w:fill="FFFFFF" w:val="clear"/>
            <w:tcMar>
              <w:bottom w:w="0" w:type="dxa"/>
            </w:tcMar>
            <w:vAlign w:val="center"/>
          </w:tcPr>
          <w:p>
            <w:pPr>
              <w:pStyle w:val="TableContents"/>
              <w:bidi w:val="0"/>
              <w:spacing w:before="0" w:after="283"/>
              <w:jc w:val="left"/>
              <w:rPr/>
            </w:pPr>
            <w:r>
              <w:rPr/>
              <w:t>Prepaid 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FFFFFF" w:val="clear"/>
            <w:vAlign w:val="center"/>
          </w:tcPr>
          <w:p>
            <w:pPr>
              <w:pStyle w:val="TableContents"/>
              <w:bidi w:val="0"/>
              <w:spacing w:before="0" w:after="283"/>
              <w:jc w:val="left"/>
              <w:rPr/>
            </w:pPr>
            <w:r>
              <w:rPr/>
              <w:t> </w:t>
            </w:r>
          </w:p>
        </w:tc>
        <w:tc>
          <w:tcPr>
            <w:tcW w:w="748" w:type="dxa"/>
            <w:tcBorders>
              <w:bottom w:val="single" w:sz="12" w:space="0" w:color="000000"/>
            </w:tcBorders>
            <w:shd w:fill="FFFFFF" w:val="clear"/>
            <w:vAlign w:val="center"/>
          </w:tcPr>
          <w:p>
            <w:pPr>
              <w:pStyle w:val="TableContents"/>
              <w:bidi w:val="0"/>
              <w:spacing w:before="0" w:after="283"/>
              <w:jc w:val="right"/>
              <w:rPr/>
            </w:pPr>
            <w:r>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bottom w:val="single" w:sz="12" w:space="0" w:color="000000"/>
            </w:tcBorders>
            <w:shd w:fill="FFFFFF" w:val="clear"/>
            <w:vAlign w:val="center"/>
          </w:tcPr>
          <w:p>
            <w:pPr>
              <w:pStyle w:val="TableContents"/>
              <w:bidi w:val="0"/>
              <w:spacing w:before="0" w:after="283"/>
              <w:jc w:val="left"/>
              <w:rPr/>
            </w:pPr>
            <w:r>
              <w:rPr/>
              <w:t> </w:t>
            </w:r>
          </w:p>
        </w:tc>
        <w:tc>
          <w:tcPr>
            <w:tcW w:w="1180" w:type="dxa"/>
            <w:tcBorders>
              <w:bottom w:val="single" w:sz="12" w:space="0" w:color="000000"/>
            </w:tcBorders>
            <w:shd w:fill="FFFFFF" w:val="clear"/>
            <w:vAlign w:val="center"/>
          </w:tcPr>
          <w:p>
            <w:pPr>
              <w:pStyle w:val="TableContents"/>
              <w:bidi w:val="0"/>
              <w:spacing w:before="0" w:after="283"/>
              <w:jc w:val="right"/>
              <w:rPr/>
            </w:pPr>
            <w:r>
              <w:rPr/>
              <w:t>122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75" w:type="dxa"/>
            <w:tcBorders/>
            <w:shd w:fill="CCEEFF" w:val="clear"/>
            <w:tcMar>
              <w:bottom w:w="0" w:type="dxa"/>
            </w:tcMar>
            <w:vAlign w:val="center"/>
          </w:tcPr>
          <w:p>
            <w:pPr>
              <w:pStyle w:val="TableContents"/>
              <w:bidi w:val="0"/>
              <w:spacing w:before="0" w:after="283"/>
              <w:jc w:val="left"/>
              <w:rPr/>
            </w:pPr>
            <w:r>
              <w:rPr/>
              <w:t>Total prepaid expenses and 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CCEEFF" w:val="clear"/>
            <w:vAlign w:val="center"/>
          </w:tcPr>
          <w:p>
            <w:pPr>
              <w:pStyle w:val="TableContents"/>
              <w:bidi w:val="0"/>
              <w:spacing w:before="0" w:after="283"/>
              <w:jc w:val="left"/>
              <w:rPr/>
            </w:pPr>
            <w:r>
              <w:rPr/>
              <w:t>$</w:t>
            </w:r>
          </w:p>
        </w:tc>
        <w:tc>
          <w:tcPr>
            <w:tcW w:w="748" w:type="dxa"/>
            <w:tcBorders>
              <w:bottom w:val="double" w:sz="10" w:space="0" w:color="000000"/>
            </w:tcBorders>
            <w:shd w:fill="CCEEFF" w:val="clear"/>
            <w:vAlign w:val="center"/>
          </w:tcPr>
          <w:p>
            <w:pPr>
              <w:pStyle w:val="TableContents"/>
              <w:bidi w:val="0"/>
              <w:spacing w:before="0" w:after="283"/>
              <w:jc w:val="right"/>
              <w:rPr/>
            </w:pPr>
            <w:r>
              <w:rPr/>
              <w:t>3,813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10" w:space="0" w:color="000000"/>
            </w:tcBorders>
            <w:shd w:fill="CCEEFF" w:val="clear"/>
            <w:vAlign w:val="center"/>
          </w:tcPr>
          <w:p>
            <w:pPr>
              <w:pStyle w:val="TableContents"/>
              <w:bidi w:val="0"/>
              <w:spacing w:before="0" w:after="283"/>
              <w:jc w:val="left"/>
              <w:rPr/>
            </w:pPr>
            <w:r>
              <w:rPr/>
              <w:t>$</w:t>
            </w:r>
          </w:p>
        </w:tc>
        <w:tc>
          <w:tcPr>
            <w:tcW w:w="1180" w:type="dxa"/>
            <w:tcBorders>
              <w:bottom w:val="double" w:sz="10" w:space="0" w:color="000000"/>
            </w:tcBorders>
            <w:shd w:fill="CCEEFF" w:val="clear"/>
            <w:vAlign w:val="center"/>
          </w:tcPr>
          <w:p>
            <w:pPr>
              <w:pStyle w:val="TableContents"/>
              <w:bidi w:val="0"/>
              <w:spacing w:before="0" w:after="283"/>
              <w:jc w:val="right"/>
              <w:rPr/>
            </w:pPr>
            <w:r>
              <w:rPr/>
              <w:t>1,970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June 30, 2026 and December 31, 2025:   </w:t>
      </w:r>
    </w:p>
    <w:p>
      <w:pPr>
        <w:pStyle w:val="TextBody"/>
        <w:bidi w:val="0"/>
        <w:spacing w:before="0" w:after="0"/>
        <w:ind w:left="0" w:right="0" w:firstLine="360"/>
        <w:jc w:val="left"/>
        <w:rPr>
          <w:caps w:val="false"/>
          <w:smallCaps w:val="false"/>
        </w:rPr>
      </w:pPr>
      <w:r>
        <w:rPr>
          <w:caps w:val="false"/>
          <w:smallCaps w:val="false"/>
        </w:rPr>
        <w:t> </w:t>
      </w:r>
    </w:p>
    <w:tbl>
      <w:tblPr>
        <w:tblW w:w="7469" w:type="dxa"/>
        <w:jc w:val="left"/>
        <w:tblInd w:w="0" w:type="dxa"/>
        <w:tblLayout w:type="fixed"/>
        <w:tblCellMar>
          <w:top w:w="0" w:type="dxa"/>
          <w:left w:w="0" w:type="dxa"/>
          <w:bottom w:w="0" w:type="dxa"/>
          <w:right w:w="0" w:type="dxa"/>
        </w:tblCellMar>
      </w:tblPr>
      <w:tblGrid>
        <w:gridCol w:w="4925"/>
        <w:gridCol w:w="60"/>
        <w:gridCol w:w="149"/>
        <w:gridCol w:w="725"/>
        <w:gridCol w:w="60"/>
        <w:gridCol w:w="60"/>
        <w:gridCol w:w="283"/>
        <w:gridCol w:w="1132"/>
        <w:gridCol w:w="75"/>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92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Accrued consulting fee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3,118</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Accrued marketing fee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1,021</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Accrued interest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1,736</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Compensation related fees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522</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Accrued professional fees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248</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Litigation reserve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570</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Accrued distributor termination fee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Accrued fulfillment and manufacturing related costs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342</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360</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92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FFFFFF" w:val="clear"/>
            <w:tcMar>
              <w:bottom w:w="28" w:type="dxa"/>
            </w:tcMar>
            <w:vAlign w:val="center"/>
          </w:tcPr>
          <w:p>
            <w:pPr>
              <w:pStyle w:val="TableContents"/>
              <w:bidi w:val="0"/>
              <w:spacing w:before="0" w:after="283"/>
              <w:jc w:val="right"/>
              <w:rPr/>
            </w:pPr>
            <w:r>
              <w:rPr/>
              <w:t>10,133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7,917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Values of Assets and Liabilities</w:t>
      </w:r>
    </w:p>
    <w:p>
      <w:pPr>
        <w:pStyle w:val="TextBody"/>
        <w:bidi w:val="0"/>
        <w:spacing w:before="0" w:after="0"/>
        <w:ind w:left="45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Topic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for identical assets or liabilities in active markets.</w:t>
      </w:r>
    </w:p>
    <w:p>
      <w:pPr>
        <w:pStyle w:val="TextBody"/>
        <w:bidi w:val="0"/>
        <w:spacing w:before="0" w:after="0"/>
        <w:ind w:left="45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Other inputs that are observable directly or indirectly, such as quoted prices for similar instruments in active markets or for similar markets that are not active.</w:t>
      </w:r>
    </w:p>
    <w:p>
      <w:pPr>
        <w:pStyle w:val="TextBody"/>
        <w:bidi w:val="0"/>
        <w:spacing w:before="0" w:after="0"/>
        <w:ind w:left="45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there is little or no market data which require the Company to develop its own assumptions about how market participants would price the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financial instruments which consist of cash and cash equivalents, accounts receivable, accounts payable, accrued expenses, operating lease liabilities, long-term debt, related party debt, and warrant liabilities. Fair value information for each of these instruments as well as other balances of the Company are as follows: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accounts payable, and accrued expenses approximate their fair value based on the short-term nature of these instruments.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 are presented net of an allowance for estimated credit losses, which approximates fair value.   </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Times;Serif" w:hAnsi="Times New Roman;Times;Serif"/>
                <w:i/>
              </w:rPr>
              <w:t>Debt</w:t>
            </w:r>
            <w:r>
              <w:rPr>
                <w:rFonts w:ascii="Times New Roman;Times;Serif" w:hAnsi="Times New Roman;Times;Serif"/>
              </w:rPr>
              <w:t xml:space="preserve"> (“ASC 470”).</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Company’s warrant liabilities are marked-to-market for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and December 31, 2025, the Company’s assets and liabilities measured at fair value on a recurring basis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7"/>
        <w:gridCol w:w="60"/>
        <w:gridCol w:w="293"/>
        <w:gridCol w:w="488"/>
        <w:gridCol w:w="111"/>
        <w:gridCol w:w="111"/>
        <w:gridCol w:w="293"/>
        <w:gridCol w:w="488"/>
        <w:gridCol w:w="111"/>
        <w:gridCol w:w="111"/>
        <w:gridCol w:w="272"/>
        <w:gridCol w:w="708"/>
        <w:gridCol w:w="111"/>
        <w:gridCol w:w="111"/>
        <w:gridCol w:w="269"/>
        <w:gridCol w:w="708"/>
        <w:gridCol w:w="60"/>
        <w:gridCol w:w="60"/>
        <w:gridCol w:w="293"/>
        <w:gridCol w:w="488"/>
        <w:gridCol w:w="111"/>
        <w:gridCol w:w="111"/>
        <w:gridCol w:w="293"/>
        <w:gridCol w:w="488"/>
        <w:gridCol w:w="111"/>
        <w:gridCol w:w="111"/>
        <w:gridCol w:w="272"/>
        <w:gridCol w:w="708"/>
        <w:gridCol w:w="111"/>
        <w:gridCol w:w="111"/>
        <w:gridCol w:w="269"/>
        <w:gridCol w:w="708"/>
        <w:gridCol w:w="88"/>
      </w:tblGrid>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8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Measurements Using Input Types</w:t>
            </w:r>
          </w:p>
        </w:tc>
        <w:tc>
          <w:tcPr>
            <w:tcW w:w="88" w:type="dxa"/>
            <w:tcBorders/>
            <w:vAlign w:val="center"/>
          </w:tcPr>
          <w:p>
            <w:pPr>
              <w:pStyle w:val="TableContents"/>
              <w:bidi w:val="0"/>
              <w:spacing w:before="0" w:after="283"/>
              <w:jc w:val="left"/>
              <w:rPr/>
            </w:pPr>
            <w:r>
              <w:rPr/>
              <w:t> </w:t>
            </w:r>
          </w:p>
        </w:tc>
      </w:tr>
      <w:tr>
        <w:trPr/>
        <w:tc>
          <w:tcPr>
            <w:tcW w:w="1567"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7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8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1567"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pPr>
            <w:r>
              <w:rPr/>
              <w:t>824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pPr>
            <w:r>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pPr>
            <w:r>
              <w:rPr/>
              <w:t>697</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pPr>
            <w:r>
              <w:rPr/>
              <w:t>697</w:t>
            </w:r>
          </w:p>
        </w:tc>
        <w:tc>
          <w:tcPr>
            <w:tcW w:w="88" w:type="dxa"/>
            <w:tcBorders/>
            <w:shd w:fill="CCEEFF" w:val="clear"/>
            <w:vAlign w:val="center"/>
          </w:tcPr>
          <w:p>
            <w:pPr>
              <w:pStyle w:val="TableContents"/>
              <w:bidi w:val="0"/>
              <w:spacing w:before="0" w:after="283"/>
              <w:jc w:val="left"/>
              <w:rPr/>
            </w:pPr>
            <w:r>
              <w:rPr/>
              <w:t> </w:t>
            </w:r>
          </w:p>
        </w:tc>
      </w:tr>
      <w:tr>
        <w:trPr/>
        <w:tc>
          <w:tcPr>
            <w:tcW w:w="156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29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8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9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8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pPr>
            <w:r>
              <w:rPr/>
              <w:t>824</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pPr>
            <w:r>
              <w:rPr/>
              <w:t>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8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9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8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pPr>
            <w:r>
              <w:rPr/>
              <w:t>697</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6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pPr>
            <w:r>
              <w:rPr/>
              <w:t>697</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warrant liabilities on June 30, 2026 and December 31, 2025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 However, inherent uncertainties are involved. If factors or assumptions change, the estimated fair values could be materially different.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assumptions used in the valuations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2765"/>
        <w:gridCol w:w="60"/>
        <w:gridCol w:w="1535"/>
        <w:gridCol w:w="60"/>
        <w:gridCol w:w="155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1550" w:type="dxa"/>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r>
      <w:tr>
        <w:trPr/>
        <w:tc>
          <w:tcPr>
            <w:tcW w:w="276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$25.48</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$21.34</w:t>
            </w:r>
          </w:p>
        </w:tc>
      </w:tr>
      <w:tr>
        <w:trPr/>
        <w:tc>
          <w:tcPr>
            <w:tcW w:w="276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pPr>
            <w:r>
              <w:rPr/>
              <w:t>$0.14 - $22,440</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$0.14 - $22,440</w:t>
            </w:r>
          </w:p>
        </w:tc>
      </w:tr>
      <w:tr>
        <w:trPr/>
        <w:tc>
          <w:tcPr>
            <w:tcW w:w="2765" w:type="dxa"/>
            <w:tcBorders/>
            <w:shd w:fill="CCEEFF" w:val="clear"/>
            <w:vAlign w:val="center"/>
          </w:tcPr>
          <w:p>
            <w:pPr>
              <w:pStyle w:val="TableContents"/>
              <w:bidi w:val="0"/>
              <w:spacing w:before="0" w:after="283"/>
              <w:jc w:val="left"/>
              <w:rPr/>
            </w:pPr>
            <w:r>
              <w:rPr/>
              <w:t>Expected term (in Years)</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0.58 - 1.64</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1.08 - 2.14</w:t>
            </w:r>
          </w:p>
        </w:tc>
      </w:tr>
      <w:tr>
        <w:trPr/>
        <w:tc>
          <w:tcPr>
            <w:tcW w:w="276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center"/>
              <w:rPr/>
            </w:pPr>
            <w:r>
              <w:rPr/>
              <w:t>159.4%</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center"/>
              <w:rPr/>
            </w:pPr>
            <w:r>
              <w:rPr/>
              <w:t>163.0%</w:t>
            </w:r>
          </w:p>
        </w:tc>
      </w:tr>
      <w:tr>
        <w:trPr/>
        <w:tc>
          <w:tcPr>
            <w:tcW w:w="2765" w:type="dxa"/>
            <w:tcBorders/>
            <w:shd w:fill="CCEEFF" w:val="clear"/>
            <w:vAlign w:val="center"/>
          </w:tcPr>
          <w:p>
            <w:pPr>
              <w:pStyle w:val="TableContents"/>
              <w:bidi w:val="0"/>
              <w:spacing w:before="0" w:after="283"/>
              <w:jc w:val="left"/>
              <w:rPr/>
            </w:pPr>
            <w:r>
              <w:rPr/>
              <w:t>Discount rate - treasury yield</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3.98 - 4.06%</w:t>
            </w:r>
          </w:p>
        </w:tc>
        <w:tc>
          <w:tcPr>
            <w:tcW w:w="6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center"/>
              <w:rPr/>
            </w:pPr>
            <w:r>
              <w:rPr/>
              <w:t>3.47 - 3.48%</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changes in the fair value of the Level 3 warrant liabilities for the six months ended June 30, 2026 and for the year ended December 31, 2025:</w:t>
      </w:r>
    </w:p>
    <w:p>
      <w:pPr>
        <w:pStyle w:val="TextBody"/>
        <w:bidi w:val="0"/>
        <w:spacing w:before="0" w:after="0"/>
        <w:ind w:left="0" w:right="0" w:firstLine="36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755"/>
        <w:gridCol w:w="60"/>
        <w:gridCol w:w="505"/>
        <w:gridCol w:w="1374"/>
        <w:gridCol w:w="60"/>
        <w:gridCol w:w="60"/>
        <w:gridCol w:w="459"/>
        <w:gridCol w:w="1495"/>
        <w:gridCol w:w="2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December 31,</w:t>
              <w:br/>
              <w:t>2025</w:t>
            </w:r>
          </w:p>
        </w:tc>
        <w:tc>
          <w:tcPr>
            <w:tcW w:w="2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Warrant liabilities - beginning of period</w:t>
            </w:r>
          </w:p>
        </w:tc>
        <w:tc>
          <w:tcPr>
            <w:tcW w:w="6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w:t>
            </w:r>
          </w:p>
        </w:tc>
        <w:tc>
          <w:tcPr>
            <w:tcW w:w="1374" w:type="dxa"/>
            <w:tcBorders/>
            <w:shd w:fill="CCEEFF" w:val="clear"/>
            <w:vAlign w:val="center"/>
          </w:tcPr>
          <w:p>
            <w:pPr>
              <w:pStyle w:val="TableContents"/>
              <w:bidi w:val="0"/>
              <w:spacing w:before="0" w:after="283"/>
              <w:jc w:val="right"/>
              <w:rPr/>
            </w:pPr>
            <w:r>
              <w:rPr/>
              <w:t>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w:t>
            </w:r>
          </w:p>
        </w:tc>
        <w:tc>
          <w:tcPr>
            <w:tcW w:w="1495" w:type="dxa"/>
            <w:tcBorders/>
            <w:shd w:fill="CCEEFF" w:val="clear"/>
            <w:vAlign w:val="center"/>
          </w:tcPr>
          <w:p>
            <w:pPr>
              <w:pStyle w:val="TableContents"/>
              <w:bidi w:val="0"/>
              <w:spacing w:before="0" w:after="283"/>
              <w:jc w:val="right"/>
              <w:rPr/>
            </w:pPr>
            <w:r>
              <w:rPr/>
              <w:t>996</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3755" w:type="dxa"/>
            <w:tcBorders/>
            <w:shd w:fill="FFFFFF" w:val="clear"/>
            <w:vAlign w:val="center"/>
          </w:tcPr>
          <w:p>
            <w:pPr>
              <w:pStyle w:val="TableContents"/>
              <w:bidi w:val="0"/>
              <w:spacing w:before="0" w:after="283"/>
              <w:jc w:val="left"/>
              <w:rPr/>
            </w:pPr>
            <w:r>
              <w:rPr/>
              <w:t>Change in estimated fair value</w:t>
            </w:r>
          </w:p>
        </w:tc>
        <w:tc>
          <w:tcPr>
            <w:tcW w:w="60" w:type="dxa"/>
            <w:tcBorders/>
            <w:shd w:fill="FFFFFF" w:val="clear"/>
            <w:vAlign w:val="center"/>
          </w:tcPr>
          <w:p>
            <w:pPr>
              <w:pStyle w:val="TableContents"/>
              <w:bidi w:val="0"/>
              <w:spacing w:before="0" w:after="283"/>
              <w:jc w:val="left"/>
              <w:rPr/>
            </w:pPr>
            <w:r>
              <w:rPr/>
              <w:t> </w:t>
            </w:r>
          </w:p>
        </w:tc>
        <w:tc>
          <w:tcPr>
            <w:tcW w:w="5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74" w:type="dxa"/>
            <w:tcBorders>
              <w:bottom w:val="single" w:sz="12" w:space="0" w:color="000000"/>
            </w:tcBorders>
            <w:shd w:fill="FFFFFF" w:val="clear"/>
            <w:tcMar>
              <w:bottom w:w="28" w:type="dxa"/>
            </w:tcMar>
            <w:vAlign w:val="center"/>
          </w:tcPr>
          <w:p>
            <w:pPr>
              <w:pStyle w:val="TableContents"/>
              <w:bidi w:val="0"/>
              <w:spacing w:before="0" w:after="283"/>
              <w:jc w:val="right"/>
              <w:rPr/>
            </w:pPr>
            <w:r>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12" w:space="0" w:color="000000"/>
            </w:tcBorders>
            <w:shd w:fill="FFFFFF" w:val="clear"/>
            <w:tcMar>
              <w:bottom w:w="28" w:type="dxa"/>
            </w:tcMar>
            <w:vAlign w:val="center"/>
          </w:tcPr>
          <w:p>
            <w:pPr>
              <w:pStyle w:val="TableContents"/>
              <w:bidi w:val="0"/>
              <w:spacing w:before="0" w:after="283"/>
              <w:jc w:val="right"/>
              <w:rPr/>
            </w:pPr>
            <w:r>
              <w:rPr/>
              <w:t>(299</w:t>
            </w:r>
          </w:p>
        </w:tc>
        <w:tc>
          <w:tcPr>
            <w:tcW w:w="275" w:type="dxa"/>
            <w:tcBorders/>
            <w:shd w:fill="FFFFFF" w:val="clear"/>
            <w:vAlign w:val="center"/>
          </w:tcPr>
          <w:p>
            <w:pPr>
              <w:pStyle w:val="TableContents"/>
              <w:bidi w:val="0"/>
              <w:spacing w:before="0" w:after="283"/>
              <w:jc w:val="left"/>
              <w:rPr/>
            </w:pPr>
            <w:r>
              <w:rPr/>
              <w:t>)</w:t>
            </w:r>
          </w:p>
        </w:tc>
      </w:tr>
      <w:tr>
        <w:trPr/>
        <w:tc>
          <w:tcPr>
            <w:tcW w:w="3755" w:type="dxa"/>
            <w:tcBorders/>
            <w:shd w:fill="CCEEFF" w:val="clear"/>
            <w:vAlign w:val="center"/>
          </w:tcPr>
          <w:p>
            <w:pPr>
              <w:pStyle w:val="TableContents"/>
              <w:bidi w:val="0"/>
              <w:spacing w:before="0" w:after="283"/>
              <w:jc w:val="left"/>
              <w:rPr/>
            </w:pPr>
            <w:r>
              <w:rPr/>
              <w:t>Warrant liabilities end of period</w:t>
            </w:r>
          </w:p>
        </w:tc>
        <w:tc>
          <w:tcPr>
            <w:tcW w:w="60" w:type="dxa"/>
            <w:tcBorders/>
            <w:shd w:fill="CCEEFF" w:val="clear"/>
            <w:vAlign w:val="center"/>
          </w:tcPr>
          <w:p>
            <w:pPr>
              <w:pStyle w:val="TableContents"/>
              <w:bidi w:val="0"/>
              <w:spacing w:before="0" w:after="283"/>
              <w:jc w:val="left"/>
              <w:rPr/>
            </w:pPr>
            <w:r>
              <w:rPr/>
              <w:t> </w:t>
            </w:r>
          </w:p>
        </w:tc>
        <w:tc>
          <w:tcPr>
            <w:tcW w:w="5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4" w:type="dxa"/>
            <w:tcBorders>
              <w:bottom w:val="double" w:sz="10" w:space="0" w:color="000000"/>
            </w:tcBorders>
            <w:shd w:fill="CCEEFF" w:val="clear"/>
            <w:tcMar>
              <w:bottom w:w="28" w:type="dxa"/>
            </w:tcMar>
            <w:vAlign w:val="center"/>
          </w:tcPr>
          <w:p>
            <w:pPr>
              <w:pStyle w:val="TableContents"/>
              <w:bidi w:val="0"/>
              <w:spacing w:before="0" w:after="283"/>
              <w:jc w:val="right"/>
              <w:rPr/>
            </w:pPr>
            <w:r>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95" w:type="dxa"/>
            <w:tcBorders>
              <w:bottom w:val="double" w:sz="10" w:space="0" w:color="000000"/>
            </w:tcBorders>
            <w:shd w:fill="CCEEFF" w:val="clear"/>
            <w:tcMar>
              <w:bottom w:w="28" w:type="dxa"/>
            </w:tcMar>
            <w:vAlign w:val="center"/>
          </w:tcPr>
          <w:p>
            <w:pPr>
              <w:pStyle w:val="TableContents"/>
              <w:bidi w:val="0"/>
              <w:spacing w:before="0" w:after="283"/>
              <w:jc w:val="right"/>
              <w:rPr/>
            </w:pPr>
            <w:r>
              <w:rPr/>
              <w:t>697</w:t>
            </w:r>
          </w:p>
        </w:tc>
        <w:tc>
          <w:tcPr>
            <w:tcW w:w="2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number of outstanding warrants subject to liability classification was 40,017, of which 15,394 are held by RSLGH, LLC (“RSLGH”), a related party and wholly-owned subsidiary of Green Thumb.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Inventory,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with cost principally determined by the weighted-average cost method. Such costs include the acquisition cost for raw materials and operating supplies. The Company’s standard payment terms with suppliers may require making payments in advance of delivery of the Company’s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consisted of the following related to hemp-derived THC products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4800" w:type="dxa"/>
        <w:jc w:val="left"/>
        <w:tblInd w:w="0" w:type="dxa"/>
        <w:tblLayout w:type="fixed"/>
        <w:tblCellMar>
          <w:top w:w="0" w:type="dxa"/>
          <w:left w:w="0" w:type="dxa"/>
          <w:bottom w:w="28" w:type="dxa"/>
          <w:right w:w="0" w:type="dxa"/>
        </w:tblCellMar>
      </w:tblPr>
      <w:tblGrid>
        <w:gridCol w:w="1925"/>
        <w:gridCol w:w="60"/>
        <w:gridCol w:w="187"/>
        <w:gridCol w:w="748"/>
        <w:gridCol w:w="95"/>
        <w:gridCol w:w="60"/>
        <w:gridCol w:w="283"/>
        <w:gridCol w:w="1132"/>
        <w:gridCol w:w="310"/>
      </w:tblGrid>
      <w:tr>
        <w:trPr/>
        <w:tc>
          <w:tcPr>
            <w:tcW w:w="1925"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 xml:space="preserve">June 30, </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12" w:space="0" w:color="000000"/>
            </w:tcBorders>
            <w:vAlign w:val="center"/>
          </w:tcPr>
          <w:p>
            <w:pPr>
              <w:pStyle w:val="TableContents"/>
              <w:bidi w:val="0"/>
              <w:spacing w:before="0" w:after="283"/>
              <w:jc w:val="center"/>
              <w:rPr>
                <w:b/>
              </w:rPr>
            </w:pPr>
            <w:r>
              <w:rPr>
                <w:b/>
              </w:rPr>
              <w:t>December 31,</w:t>
              <w:br/>
              <w:t>2025</w:t>
            </w:r>
          </w:p>
        </w:tc>
        <w:tc>
          <w:tcPr>
            <w:tcW w:w="310" w:type="dxa"/>
            <w:tcBorders/>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Finished goods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w:t>
            </w:r>
          </w:p>
        </w:tc>
        <w:tc>
          <w:tcPr>
            <w:tcW w:w="748" w:type="dxa"/>
            <w:tcBorders/>
            <w:shd w:fill="CCEEFF" w:val="clear"/>
            <w:tcMar>
              <w:bottom w:w="0" w:type="dxa"/>
            </w:tcMar>
            <w:vAlign w:val="center"/>
          </w:tcPr>
          <w:p>
            <w:pPr>
              <w:pStyle w:val="TableContents"/>
              <w:bidi w:val="0"/>
              <w:spacing w:before="0" w:after="283"/>
              <w:jc w:val="right"/>
              <w:rPr/>
            </w:pPr>
            <w:r>
              <w:rPr/>
              <w:t>2,267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3,108</w:t>
            </w:r>
          </w:p>
        </w:tc>
        <w:tc>
          <w:tcPr>
            <w:tcW w:w="31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Raw materials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662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947</w:t>
            </w:r>
          </w:p>
        </w:tc>
        <w:tc>
          <w:tcPr>
            <w:tcW w:w="31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Packaging materials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748" w:type="dxa"/>
            <w:tcBorders>
              <w:bottom w:val="single" w:sz="12" w:space="0" w:color="000000"/>
            </w:tcBorders>
            <w:shd w:fill="CCEEFF" w:val="clear"/>
            <w:vAlign w:val="center"/>
          </w:tcPr>
          <w:p>
            <w:pPr>
              <w:pStyle w:val="TableContents"/>
              <w:bidi w:val="0"/>
              <w:spacing w:before="0" w:after="283"/>
              <w:jc w:val="right"/>
              <w:rPr/>
            </w:pPr>
            <w:r>
              <w:rPr/>
              <w:t>507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shd w:fill="CCEEFF" w:val="clear"/>
            <w:vAlign w:val="center"/>
          </w:tcPr>
          <w:p>
            <w:pPr>
              <w:pStyle w:val="TableContents"/>
              <w:bidi w:val="0"/>
              <w:spacing w:before="0" w:after="283"/>
              <w:jc w:val="left"/>
              <w:rPr/>
            </w:pPr>
            <w:r>
              <w:rPr/>
              <w:t> </w:t>
            </w:r>
          </w:p>
        </w:tc>
        <w:tc>
          <w:tcPr>
            <w:tcW w:w="1132" w:type="dxa"/>
            <w:tcBorders>
              <w:bottom w:val="single" w:sz="12" w:space="0" w:color="000000"/>
            </w:tcBorders>
            <w:shd w:fill="CCEEFF" w:val="clear"/>
            <w:vAlign w:val="center"/>
          </w:tcPr>
          <w:p>
            <w:pPr>
              <w:pStyle w:val="TableContents"/>
              <w:bidi w:val="0"/>
              <w:spacing w:before="0" w:after="283"/>
              <w:jc w:val="right"/>
              <w:rPr/>
            </w:pPr>
            <w:r>
              <w:rPr/>
              <w:t>542</w:t>
            </w:r>
          </w:p>
        </w:tc>
        <w:tc>
          <w:tcPr>
            <w:tcW w:w="310" w:type="dxa"/>
            <w:tcBorders/>
            <w:shd w:fill="CCEEFF" w:val="clear"/>
            <w:tcMar>
              <w:bottom w:w="0" w:type="dxa"/>
            </w:tcMar>
            <w:vAlign w:val="center"/>
          </w:tcPr>
          <w:p>
            <w:pPr>
              <w:pStyle w:val="TableContents"/>
              <w:bidi w:val="0"/>
              <w:spacing w:before="0" w:after="283"/>
              <w:ind w:left="0" w:right="0" w:firstLine="200"/>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Inventory, gross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3,436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132" w:type="dxa"/>
            <w:tcBorders/>
            <w:shd w:fill="FFFFFF" w:val="clear"/>
            <w:tcMar>
              <w:bottom w:w="0" w:type="dxa"/>
            </w:tcMar>
            <w:vAlign w:val="center"/>
          </w:tcPr>
          <w:p>
            <w:pPr>
              <w:pStyle w:val="TableContents"/>
              <w:bidi w:val="0"/>
              <w:spacing w:before="0" w:after="283"/>
              <w:jc w:val="right"/>
              <w:rPr/>
            </w:pPr>
            <w:r>
              <w:rPr/>
              <w:t>4,597</w:t>
            </w:r>
          </w:p>
        </w:tc>
        <w:tc>
          <w:tcPr>
            <w:tcW w:w="31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283"/>
              <w:jc w:val="left"/>
              <w:rPr/>
            </w:pPr>
            <w:r>
              <w:rPr/>
              <w:t>Inventory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bottom w:val="single" w:sz="12" w:space="0" w:color="000000"/>
            </w:tcBorders>
            <w:shd w:fill="CCEEFF" w:val="clear"/>
            <w:vAlign w:val="center"/>
          </w:tcPr>
          <w:p>
            <w:pPr>
              <w:pStyle w:val="TableContents"/>
              <w:bidi w:val="0"/>
              <w:spacing w:before="0" w:after="283"/>
              <w:jc w:val="left"/>
              <w:rPr/>
            </w:pPr>
            <w:r>
              <w:rPr/>
              <w:t> </w:t>
            </w:r>
          </w:p>
        </w:tc>
        <w:tc>
          <w:tcPr>
            <w:tcW w:w="748" w:type="dxa"/>
            <w:tcBorders>
              <w:bottom w:val="single" w:sz="12" w:space="0" w:color="000000"/>
            </w:tcBorders>
            <w:shd w:fill="CCEEFF" w:val="clear"/>
            <w:vAlign w:val="center"/>
          </w:tcPr>
          <w:p>
            <w:pPr>
              <w:pStyle w:val="TableContents"/>
              <w:bidi w:val="0"/>
              <w:spacing w:before="0" w:after="283"/>
              <w:jc w:val="right"/>
              <w:rPr/>
            </w:pPr>
            <w:r>
              <w:rPr/>
              <w:t>(689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shd w:fill="CCEEFF" w:val="clear"/>
            <w:vAlign w:val="center"/>
          </w:tcPr>
          <w:p>
            <w:pPr>
              <w:pStyle w:val="TableContents"/>
              <w:bidi w:val="0"/>
              <w:spacing w:before="0" w:after="283"/>
              <w:jc w:val="left"/>
              <w:rPr/>
            </w:pPr>
            <w:r>
              <w:rPr/>
              <w:t> </w:t>
            </w:r>
          </w:p>
        </w:tc>
        <w:tc>
          <w:tcPr>
            <w:tcW w:w="1132" w:type="dxa"/>
            <w:tcBorders>
              <w:bottom w:val="single" w:sz="12" w:space="0" w:color="000000"/>
            </w:tcBorders>
            <w:shd w:fill="CCEEFF" w:val="clear"/>
            <w:vAlign w:val="center"/>
          </w:tcPr>
          <w:p>
            <w:pPr>
              <w:pStyle w:val="TableContents"/>
              <w:bidi w:val="0"/>
              <w:spacing w:before="0" w:after="283"/>
              <w:jc w:val="right"/>
              <w:rPr/>
            </w:pPr>
            <w:r>
              <w:rPr/>
              <w:t>(552</w:t>
            </w:r>
          </w:p>
        </w:tc>
        <w:tc>
          <w:tcPr>
            <w:tcW w:w="310" w:type="dxa"/>
            <w:tcBorders/>
            <w:shd w:fill="CCEEFF" w:val="clear"/>
            <w:tcMar>
              <w:bottom w:w="0" w:type="dxa"/>
            </w:tcMar>
            <w:vAlign w:val="center"/>
          </w:tcPr>
          <w:p>
            <w:pPr>
              <w:pStyle w:val="TableContents"/>
              <w:bidi w:val="0"/>
              <w:spacing w:before="0" w:after="283"/>
              <w:ind w:left="0" w:right="0" w:firstLine="200"/>
              <w:jc w:val="left"/>
              <w:rPr/>
            </w:pPr>
            <w:r>
              <w:rPr/>
              <w:t>)</w:t>
            </w:r>
          </w:p>
        </w:tc>
      </w:tr>
      <w:tr>
        <w:trPr/>
        <w:tc>
          <w:tcPr>
            <w:tcW w:w="1925" w:type="dxa"/>
            <w:tcBorders/>
            <w:shd w:fill="FFFFFF" w:val="clear"/>
            <w:tcMar>
              <w:bottom w:w="0" w:type="dxa"/>
            </w:tcMar>
            <w:vAlign w:val="center"/>
          </w:tcPr>
          <w:p>
            <w:pPr>
              <w:pStyle w:val="TableContents"/>
              <w:bidi w:val="0"/>
              <w:spacing w:before="0" w:after="283"/>
              <w:jc w:val="left"/>
              <w:rPr/>
            </w:pPr>
            <w:r>
              <w:rPr/>
              <w:t>Total inventory,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bottom w:val="double" w:sz="10" w:space="0" w:color="000000"/>
            </w:tcBorders>
            <w:shd w:fill="FFFFFF" w:val="clear"/>
            <w:vAlign w:val="center"/>
          </w:tcPr>
          <w:p>
            <w:pPr>
              <w:pStyle w:val="TableContents"/>
              <w:bidi w:val="0"/>
              <w:spacing w:before="0" w:after="283"/>
              <w:jc w:val="left"/>
              <w:rPr/>
            </w:pPr>
            <w:r>
              <w:rPr/>
              <w:t>$</w:t>
            </w:r>
          </w:p>
        </w:tc>
        <w:tc>
          <w:tcPr>
            <w:tcW w:w="748" w:type="dxa"/>
            <w:tcBorders>
              <w:bottom w:val="double" w:sz="10" w:space="0" w:color="000000"/>
            </w:tcBorders>
            <w:shd w:fill="FFFFFF" w:val="clear"/>
            <w:vAlign w:val="center"/>
          </w:tcPr>
          <w:p>
            <w:pPr>
              <w:pStyle w:val="TableContents"/>
              <w:bidi w:val="0"/>
              <w:spacing w:before="0" w:after="283"/>
              <w:jc w:val="right"/>
              <w:rPr/>
            </w:pPr>
            <w:r>
              <w:rPr/>
              <w:t>2,747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bottom w:val="double" w:sz="10" w:space="0" w:color="000000"/>
            </w:tcBorders>
            <w:shd w:fill="FFFFFF" w:val="clear"/>
            <w:vAlign w:val="center"/>
          </w:tcPr>
          <w:p>
            <w:pPr>
              <w:pStyle w:val="TableContents"/>
              <w:bidi w:val="0"/>
              <w:spacing w:before="0" w:after="283"/>
              <w:jc w:val="left"/>
              <w:rPr/>
            </w:pPr>
            <w:r>
              <w:rPr/>
              <w:t>$</w:t>
            </w:r>
          </w:p>
        </w:tc>
        <w:tc>
          <w:tcPr>
            <w:tcW w:w="1132" w:type="dxa"/>
            <w:tcBorders>
              <w:bottom w:val="double" w:sz="10" w:space="0" w:color="000000"/>
            </w:tcBorders>
            <w:shd w:fill="FFFFFF" w:val="clear"/>
            <w:vAlign w:val="center"/>
          </w:tcPr>
          <w:p>
            <w:pPr>
              <w:pStyle w:val="TableContents"/>
              <w:bidi w:val="0"/>
              <w:spacing w:before="0" w:after="283"/>
              <w:jc w:val="right"/>
              <w:rPr/>
            </w:pPr>
            <w:r>
              <w:rPr/>
              <w:t>4,045</w:t>
            </w:r>
          </w:p>
        </w:tc>
        <w:tc>
          <w:tcPr>
            <w:tcW w:w="3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Cultivation Business Discontinued Operations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2024, the Company entered into an Asset Purchase Agreement (the “Purchase Agreement”) with CP, an entity affiliated with Raymond Chang, the Company’s former Chairman and Chief Executive Officer. Under the Purchase Agreement, CP acquired assets from the Company relating to the Company’s vertical farming unit business, including the related “Cultivation Business”. The consideration for the sale included the assumption by CP of certain secured indebtedness and other liabilities related to the Cultivation Business. The disposition resulted in a loss on sale of $11.9 million, which was recorded in net loss from discontinued operations for the year ended December 31, 2024. As of June 30, 2026, the Company has no material remaining assets or liabilities, nor any ongoing involvement related to the Cultivation Business. For the three and six months ended June 30, 2026, the Company has no material results of operations related to the Cultivation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Extraction Business Discontinued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30, 2025, the Company approved the discontinuation and wind down of its extraction product line, which included hydrocarbon, alcohol, solventless, post-processing, and lab equipment (the “Extraction Business”). The wind down was completed during 2025 and included the cessation of operations, termination of contracts, and disposal of related assets. The Company recognized a gain of approximately $3.5 million in income from discontinued operations for the year ended December 31, 2025. The operating results of the Extraction Business were reported as discontinued operations in the condensed consolidated financial statements for all prior periods presented.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discontinuation of its legacy Extraction Business, the Company continues to carry certain liabilities, including accounts payable and other current liabilities of $0.6 million and $1.5 million, respectively, as of June 30, 2026. These balances represent historical obligations for which there has been limited collection activity. The Company believes the amounts may be owed and therefore has classified them as current liabilities; however, the timing and likelihood of settlement remain uncertain. The Company evaluates these balances periodically and will derecognize such obligations when it determines that settlement is no longer probable, including consideration of applicable statutes of limitations, which may extend for several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has no material results of operations related to the Extraction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assets associated with Discontinued Operations consisted of operating lease right-of-use assets of $14 thousand. Liabilities associated with Discontinued Operations totaled $2.1 million, consisting of accounts payable of $0.6 million, accrued expenses and other current liabilities of $1.5 million, and current operating lease liabilities of $38 thousand.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income from Discontinued Operations for the three and six months ended June 30, 2025:</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7"/>
        <w:gridCol w:w="60"/>
        <w:gridCol w:w="496"/>
        <w:gridCol w:w="1618"/>
        <w:gridCol w:w="95"/>
        <w:gridCol w:w="60"/>
        <w:gridCol w:w="329"/>
        <w:gridCol w:w="1498"/>
        <w:gridCol w:w="112"/>
      </w:tblGrid>
      <w:tr>
        <w:trPr/>
        <w:tc>
          <w:tcPr>
            <w:tcW w:w="593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 xml:space="preserve">June 30,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 xml:space="preserve">June 30, </w:t>
              <w:br/>
              <w:t>2025</w:t>
            </w:r>
          </w:p>
        </w:tc>
        <w:tc>
          <w:tcPr>
            <w:tcW w:w="112" w:type="dxa"/>
            <w:tcBorders/>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w:t>
            </w:r>
          </w:p>
        </w:tc>
        <w:tc>
          <w:tcPr>
            <w:tcW w:w="1618"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498" w:type="dxa"/>
            <w:tcBorders/>
            <w:shd w:fill="CCEEFF" w:val="clear"/>
            <w:vAlign w:val="center"/>
          </w:tcPr>
          <w:p>
            <w:pPr>
              <w:pStyle w:val="TableContents"/>
              <w:bidi w:val="0"/>
              <w:spacing w:before="0" w:after="283"/>
              <w:jc w:val="right"/>
              <w:rPr/>
            </w:pPr>
            <w:r>
              <w:rPr/>
              <w:t>1,187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4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FFFFFF" w:val="clear"/>
            <w:tcMar>
              <w:bottom w:w="28" w:type="dxa"/>
            </w:tcMar>
            <w:vAlign w:val="center"/>
          </w:tcPr>
          <w:p>
            <w:pPr>
              <w:pStyle w:val="TableContents"/>
              <w:bidi w:val="0"/>
              <w:spacing w:before="0" w:after="283"/>
              <w:jc w:val="right"/>
              <w:rPr/>
            </w:pPr>
            <w:r>
              <w:rPr/>
              <w:t>1,835</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Gross profit (loss)</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(648</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5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1,371</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pPr>
            <w:r>
              <w:rPr/>
              <w:t>Impairment of right-of-use assets</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24</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Gain on disposal on property and equipment</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593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1,393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b/>
              </w:rPr>
            </w:pPr>
            <w:r>
              <w:rPr>
                <w:b/>
              </w:rPr>
              <w:t>Operating loss from discontinued operations</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(2,041</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5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b/>
              </w:rPr>
            </w:pPr>
            <w:r>
              <w:rPr>
                <w:b/>
              </w:rPr>
              <w:t>Other (Expense) Income</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(Loss) gain on disposal of Extraction business</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3,534</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pPr>
            <w:r>
              <w:rPr/>
              <w:t>Total other (expense) income</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3,534</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pPr>
            <w:r>
              <w:rPr/>
              <w:t>Net (loss) income from discontinued operations</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1,493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5937" w:type="dxa"/>
            <w:tcBorders/>
            <w:shd w:fill="CCEEFF" w:val="clear"/>
            <w:vAlign w:val="center"/>
          </w:tcPr>
          <w:p>
            <w:pPr>
              <w:pStyle w:val="TableContents"/>
              <w:bidi w:val="0"/>
              <w:spacing w:before="0" w:after="283"/>
              <w:jc w:val="left"/>
              <w:rPr/>
            </w:pPr>
            <w:r>
              <w:rPr/>
              <w:t>Income tax effect on discontinued operations</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5937" w:type="dxa"/>
            <w:tcBorders/>
            <w:shd w:fill="FFFFFF" w:val="clear"/>
            <w:vAlign w:val="center"/>
          </w:tcPr>
          <w:p>
            <w:pPr>
              <w:pStyle w:val="TableContents"/>
              <w:bidi w:val="0"/>
              <w:spacing w:before="0" w:after="283"/>
              <w:jc w:val="left"/>
              <w:rPr/>
            </w:pPr>
            <w:r>
              <w:rPr/>
              <w:t>Loss (Income)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498" w:type="dxa"/>
            <w:tcBorders/>
            <w:shd w:fill="FFFFFF" w:val="clear"/>
            <w:vAlign w:val="center"/>
          </w:tcPr>
          <w:p>
            <w:pPr>
              <w:pStyle w:val="TableContents"/>
              <w:bidi w:val="0"/>
              <w:spacing w:before="0" w:after="283"/>
              <w:jc w:val="right"/>
              <w:rPr/>
            </w:pPr>
            <w:r>
              <w:rPr/>
              <w:t>1,493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cash flows include continuing operations and discontinued operations. The following table summarizes the depreciation and amortization of long-lived assets and change in provision for credit losses related to Discontinued Operations for the three and six months ended June 30, 2025:</w:t>
      </w:r>
    </w:p>
    <w:p>
      <w:pPr>
        <w:pStyle w:val="TextBody"/>
        <w:bidi w:val="0"/>
        <w:spacing w:before="0" w:after="0"/>
        <w:ind w:left="0" w:right="0" w:firstLine="360"/>
        <w:jc w:val="left"/>
        <w:rPr>
          <w:caps w:val="false"/>
          <w:smallCaps w:val="false"/>
        </w:rPr>
      </w:pPr>
      <w:r>
        <w:rPr>
          <w:caps w:val="false"/>
          <w:smallCaps w:val="false"/>
        </w:rPr>
        <w:t> </w:t>
      </w:r>
    </w:p>
    <w:tbl>
      <w:tblPr>
        <w:tblW w:w="5904" w:type="dxa"/>
        <w:jc w:val="left"/>
        <w:tblInd w:w="0" w:type="dxa"/>
        <w:tblLayout w:type="fixed"/>
        <w:tblCellMar>
          <w:top w:w="0" w:type="dxa"/>
          <w:left w:w="0" w:type="dxa"/>
          <w:bottom w:w="0" w:type="dxa"/>
          <w:right w:w="0" w:type="dxa"/>
        </w:tblCellMar>
      </w:tblPr>
      <w:tblGrid>
        <w:gridCol w:w="3890"/>
        <w:gridCol w:w="60"/>
        <w:gridCol w:w="656"/>
        <w:gridCol w:w="1223"/>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 xml:space="preserve">June 30, </w:t>
              <w:br/>
              <w:t>2025</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Change in provision for credit losses, net</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Prepaid License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transactions involving the acquisition of intellectual property and other assets to determine the appropriate accounting treatment based on applicable GAAP, including ASC 805, and ASC Topic 340 –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xml:space="preserve"> (“ASC 340”). Certain transactions may not meet the criteria for either a business combination or an asset acquisition and are accounted for under other applicable GAAP.</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License Rights relate to arrangements entered into in 2025 with affiliates of Green Thumb, as further described in Note 8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prepaid license rights were comprised of the following:</w:t>
      </w:r>
    </w:p>
    <w:p>
      <w:pPr>
        <w:pStyle w:val="TextBody"/>
        <w:bidi w:val="0"/>
        <w:spacing w:before="0" w:after="0"/>
        <w:ind w:left="0" w:right="0" w:firstLine="360"/>
        <w:jc w:val="both"/>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3515"/>
        <w:gridCol w:w="60"/>
        <w:gridCol w:w="1130"/>
        <w:gridCol w:w="60"/>
        <w:gridCol w:w="164"/>
        <w:gridCol w:w="801"/>
        <w:gridCol w:w="60"/>
        <w:gridCol w:w="60"/>
        <w:gridCol w:w="214"/>
        <w:gridCol w:w="1156"/>
        <w:gridCol w:w="95"/>
        <w:gridCol w:w="60"/>
        <w:gridCol w:w="164"/>
        <w:gridCol w:w="801"/>
        <w:gridCol w:w="7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0" w:type="dxa"/>
            <w:gridSpan w:val="13"/>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Carrying</w:t>
            </w:r>
          </w:p>
        </w:tc>
        <w:tc>
          <w:tcPr>
            <w:tcW w:w="75" w:type="dxa"/>
            <w:tcBorders/>
            <w:vAlign w:val="center"/>
          </w:tcPr>
          <w:p>
            <w:pPr>
              <w:pStyle w:val="TableContents"/>
              <w:bidi w:val="0"/>
              <w:spacing w:before="0" w:after="283"/>
              <w:jc w:val="left"/>
              <w:rPr/>
            </w:pPr>
            <w:r>
              <w:rPr/>
              <w:t> </w:t>
            </w:r>
          </w:p>
        </w:tc>
      </w:tr>
      <w:tr>
        <w:trPr/>
        <w:tc>
          <w:tcPr>
            <w:tcW w:w="351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Prepaid License Rights, related party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2 - 5</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54,500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(12,025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42,475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3515"/>
        <w:gridCol w:w="60"/>
        <w:gridCol w:w="1130"/>
        <w:gridCol w:w="60"/>
        <w:gridCol w:w="164"/>
        <w:gridCol w:w="801"/>
        <w:gridCol w:w="60"/>
        <w:gridCol w:w="60"/>
        <w:gridCol w:w="247"/>
        <w:gridCol w:w="1123"/>
        <w:gridCol w:w="95"/>
        <w:gridCol w:w="60"/>
        <w:gridCol w:w="164"/>
        <w:gridCol w:w="801"/>
        <w:gridCol w:w="7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0" w:type="dxa"/>
            <w:gridSpan w:val="13"/>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Carrying</w:t>
            </w:r>
          </w:p>
        </w:tc>
        <w:tc>
          <w:tcPr>
            <w:tcW w:w="75" w:type="dxa"/>
            <w:tcBorders/>
            <w:vAlign w:val="center"/>
          </w:tcPr>
          <w:p>
            <w:pPr>
              <w:pStyle w:val="TableContents"/>
              <w:bidi w:val="0"/>
              <w:spacing w:before="0" w:after="283"/>
              <w:jc w:val="left"/>
              <w:rPr/>
            </w:pPr>
            <w:r>
              <w:rPr/>
              <w:t> </w:t>
            </w:r>
          </w:p>
        </w:tc>
      </w:tr>
      <w:tr>
        <w:trPr/>
        <w:tc>
          <w:tcPr>
            <w:tcW w:w="351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Prepaid License Rights, related party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2 - 5</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54,500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(5,100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49,400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recognized amortization expense of $3.5 million and $6.9 million, respectively, related to Prepaid License Rights.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future amortization expense for the next five years and thereafter is as follows: </w:t>
      </w:r>
    </w:p>
    <w:p>
      <w:pPr>
        <w:pStyle w:val="TextBody"/>
        <w:bidi w:val="0"/>
        <w:spacing w:before="0" w:after="0"/>
        <w:ind w:left="36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28" w:type="dxa"/>
          <w:right w:w="0" w:type="dxa"/>
        </w:tblCellMar>
      </w:tblPr>
      <w:tblGrid>
        <w:gridCol w:w="4310"/>
        <w:gridCol w:w="60"/>
        <w:gridCol w:w="233"/>
        <w:gridCol w:w="1137"/>
        <w:gridCol w:w="75"/>
      </w:tblGrid>
      <w:tr>
        <w:trPr/>
        <w:tc>
          <w:tcPr>
            <w:tcW w:w="4310" w:type="dxa"/>
            <w:tcBorders>
              <w:bottom w:val="single" w:sz="12" w:space="0" w:color="000000"/>
            </w:tcBorders>
            <w:vAlign w:val="center"/>
          </w:tcPr>
          <w:p>
            <w:pPr>
              <w:pStyle w:val="TableContents"/>
              <w:bidi w:val="0"/>
              <w:spacing w:before="0" w:after="283"/>
              <w:jc w:val="left"/>
              <w:rPr>
                <w:b/>
              </w:rPr>
            </w:pPr>
            <w:r>
              <w:rPr>
                <w:b/>
              </w:rPr>
              <w:t>Years ending December 31 (In thousands)</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Future</w:t>
              <w:br/>
              <w:t>Amortization</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Remaining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w:t>
            </w:r>
          </w:p>
        </w:tc>
        <w:tc>
          <w:tcPr>
            <w:tcW w:w="1137" w:type="dxa"/>
            <w:tcBorders/>
            <w:shd w:fill="CCEEFF" w:val="clear"/>
            <w:tcMar>
              <w:bottom w:w="0" w:type="dxa"/>
            </w:tcMar>
            <w:vAlign w:val="center"/>
          </w:tcPr>
          <w:p>
            <w:pPr>
              <w:pStyle w:val="TableContents"/>
              <w:bidi w:val="0"/>
              <w:spacing w:before="0" w:after="283"/>
              <w:jc w:val="right"/>
              <w:rPr/>
            </w:pPr>
            <w:r>
              <w:rPr/>
              <w:t>7,038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1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13,964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12,346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1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1137" w:type="dxa"/>
            <w:tcBorders/>
            <w:shd w:fill="FFFFFF" w:val="clear"/>
            <w:tcMar>
              <w:bottom w:w="0" w:type="dxa"/>
            </w:tcMar>
            <w:vAlign w:val="center"/>
          </w:tcPr>
          <w:p>
            <w:pPr>
              <w:pStyle w:val="TableContents"/>
              <w:bidi w:val="0"/>
              <w:spacing w:before="0" w:after="283"/>
              <w:jc w:val="right"/>
              <w:rPr/>
            </w:pPr>
            <w:r>
              <w:rPr/>
              <w:t>8,784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bottom w:val="single" w:sz="12" w:space="0" w:color="000000"/>
            </w:tcBorders>
            <w:shd w:fill="CCEEFF" w:val="clear"/>
            <w:vAlign w:val="center"/>
          </w:tcPr>
          <w:p>
            <w:pPr>
              <w:pStyle w:val="TableContents"/>
              <w:bidi w:val="0"/>
              <w:spacing w:before="0" w:after="283"/>
              <w:jc w:val="left"/>
              <w:rPr/>
            </w:pPr>
            <w:r>
              <w:rPr/>
              <w:t> </w:t>
            </w:r>
          </w:p>
        </w:tc>
        <w:tc>
          <w:tcPr>
            <w:tcW w:w="1137" w:type="dxa"/>
            <w:tcBorders>
              <w:bottom w:val="single" w:sz="12" w:space="0" w:color="000000"/>
            </w:tcBorders>
            <w:shd w:fill="CCEEFF" w:val="clear"/>
            <w:vAlign w:val="center"/>
          </w:tcPr>
          <w:p>
            <w:pPr>
              <w:pStyle w:val="TableContents"/>
              <w:bidi w:val="0"/>
              <w:spacing w:before="0" w:after="283"/>
              <w:jc w:val="right"/>
              <w:rPr/>
            </w:pPr>
            <w:r>
              <w:rPr/>
              <w:t>343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1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bottom w:val="double" w:sz="10" w:space="0" w:color="000000"/>
            </w:tcBorders>
            <w:shd w:fill="FFFFFF" w:val="clear"/>
            <w:vAlign w:val="center"/>
          </w:tcPr>
          <w:p>
            <w:pPr>
              <w:pStyle w:val="TableContents"/>
              <w:bidi w:val="0"/>
              <w:spacing w:before="0" w:after="283"/>
              <w:jc w:val="left"/>
              <w:rPr/>
            </w:pPr>
            <w:r>
              <w:rPr/>
              <w:t>$</w:t>
            </w:r>
          </w:p>
        </w:tc>
        <w:tc>
          <w:tcPr>
            <w:tcW w:w="1137" w:type="dxa"/>
            <w:tcBorders>
              <w:bottom w:val="double" w:sz="10" w:space="0" w:color="000000"/>
            </w:tcBorders>
            <w:shd w:fill="FFFFFF" w:val="clear"/>
            <w:vAlign w:val="center"/>
          </w:tcPr>
          <w:p>
            <w:pPr>
              <w:pStyle w:val="TableContents"/>
              <w:bidi w:val="0"/>
              <w:spacing w:before="0" w:after="283"/>
              <w:jc w:val="right"/>
              <w:rPr/>
            </w:pPr>
            <w:r>
              <w:rPr/>
              <w:t>42,475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Prepaid License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VCP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27, 2025, the Company entered into a purchase agreement with VCP23, an indirect wholly-owned subsidiary of Green Thumb, a related party, pursuant to which the Company obtained access to and use of certain intellectual property rights (the “VCP Transaction”) in exchange for cash consideration of $50.0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Green Thumb holds a call option to repurchase some or all of the VCP Transaction intellectual property rights for up to five years from the transaction date upon the occurrence of certain specified eligibility conditions, which are outside of the control of both parties but with a likelihood of eligibility greater than remote. Due to changes in legislation around hemp-derived products enacted in November 2025, which are currently expected to become effective in November 2026, one of the eligibility conditions that would permit the repurchase right to become exercisable is likely to be satisfied upon effectiveness in November 2026. However, satisfaction of such conditions does not obligate Green Thumb or its affiliates to exercise the repurchase option, which remains within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call option represents a substantive repurchase right, the arrangement includes terms that preclude the transfer of control and therefore does not meet the criteria for a completed sale and is not accounted for as an asset acquisition under ASC 805. The Company accounts for the arrangement as a prepaid executory contract under ASC 340. The related Prepaid License Rights are amortized on a straight-line basis over their estimated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MC Brands Transaction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20, 2025, the Company entered into a purchase agreement with VCP, an indirect wholly-owned subsidiary of Green Thumb, a related party, pursuant to which the Company obtained access to and use of certain intellectual property rights associated with the “MC Brands Transaction” in exchange for cash consideration of $5.1 million.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Green Thumb holds a call option to repurchase some or all of the MC Brands intellectual property rights for up to five years from the transaction date upon the occurrence of certain specified eligibility conditions. Due to changes in legislation around hemp-derived products enacted in November 2025, which are currently expected to become effective in November 2026, one of the eligibility conditions that would permit the repurchase right to become exercisable is likely to be satisfied upon effectiveness in November 2026. However, satisfaction of such conditions does not obligate Green Thumb or its affiliates to exercise the repurchase option, which remains within their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VCP Transaction, this arrangement is not accounted for as an asset acquisition under ASC 805 and is instead accounted for as a prepaid executory contract under ASC 340.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continues to evaluate the impact of regulatory developments related to hemp-derived products on this arrangement. As of June 30, 2026, no additional impairment or changes in accounting conclusions have been recognized.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consisted of:</w:t>
      </w:r>
    </w:p>
    <w:p>
      <w:pPr>
        <w:pStyle w:val="TextBody"/>
        <w:bidi w:val="0"/>
        <w:spacing w:before="0" w:after="0"/>
        <w:ind w:left="360" w:right="0" w:hanging="0"/>
        <w:jc w:val="left"/>
        <w:rPr>
          <w:caps w:val="false"/>
          <w:smallCaps w:val="false"/>
        </w:rPr>
      </w:pPr>
      <w:r>
        <w:rPr>
          <w:caps w:val="false"/>
          <w:smallCaps w:val="false"/>
        </w:rPr>
        <w:t> </w:t>
      </w:r>
    </w:p>
    <w:tbl>
      <w:tblPr>
        <w:tblW w:w="5834" w:type="dxa"/>
        <w:jc w:val="left"/>
        <w:tblInd w:w="0" w:type="dxa"/>
        <w:tblLayout w:type="fixed"/>
        <w:tblCellMar>
          <w:top w:w="0" w:type="dxa"/>
          <w:left w:w="0" w:type="dxa"/>
          <w:bottom w:w="28" w:type="dxa"/>
          <w:right w:w="0" w:type="dxa"/>
        </w:tblCellMar>
      </w:tblPr>
      <w:tblGrid>
        <w:gridCol w:w="3140"/>
        <w:gridCol w:w="60"/>
        <w:gridCol w:w="140"/>
        <w:gridCol w:w="755"/>
        <w:gridCol w:w="95"/>
        <w:gridCol w:w="60"/>
        <w:gridCol w:w="230"/>
        <w:gridCol w:w="1244"/>
        <w:gridCol w:w="110"/>
      </w:tblGrid>
      <w:tr>
        <w:trPr/>
        <w:tc>
          <w:tcPr>
            <w:tcW w:w="3140" w:type="dxa"/>
            <w:tcBorders>
              <w:bottom w:val="single" w:sz="12"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June 30,</w:t>
              <w:b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2025</w:t>
            </w:r>
          </w:p>
        </w:tc>
        <w:tc>
          <w:tcPr>
            <w:tcW w:w="110" w:type="dxa"/>
            <w:tcBorders/>
            <w:tcMar>
              <w:bottom w:w="0" w:type="dxa"/>
            </w:tcMar>
            <w:vAlign w:val="center"/>
          </w:tcPr>
          <w:p>
            <w:pPr>
              <w:pStyle w:val="TableContents"/>
              <w:bidi w:val="0"/>
              <w:spacing w:before="0" w:after="283"/>
              <w:jc w:val="left"/>
              <w:rPr/>
            </w:pPr>
            <w:r>
              <w:rPr/>
              <w:t> </w:t>
            </w:r>
          </w:p>
        </w:tc>
      </w:tr>
      <w:tr>
        <w:trPr/>
        <w:tc>
          <w:tcPr>
            <w:tcW w:w="3140" w:type="dxa"/>
            <w:tcBorders/>
            <w:tcMar>
              <w:bottom w:w="0" w:type="dxa"/>
            </w:tcMar>
            <w:vAlign w:val="center"/>
          </w:tcPr>
          <w:p>
            <w:pPr>
              <w:pStyle w:val="TableContents"/>
              <w:bidi w:val="0"/>
              <w:spacing w:before="0" w:after="283"/>
              <w:jc w:val="left"/>
              <w:rPr>
                <w:b/>
              </w:rPr>
            </w:pPr>
            <w:r>
              <w:rPr>
                <w:b/>
              </w:rPr>
              <w:t>Related party debt:</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755" w:type="dxa"/>
            <w:tcBorders>
              <w:bottom w:val="single" w:sz="12" w:space="0" w:color="000000"/>
            </w:tcBorders>
            <w:shd w:fill="CCEEFF" w:val="clear"/>
            <w:vAlign w:val="center"/>
          </w:tcPr>
          <w:p>
            <w:pPr>
              <w:pStyle w:val="TableContents"/>
              <w:bidi w:val="0"/>
              <w:spacing w:before="0" w:after="283"/>
              <w:jc w:val="right"/>
              <w:rPr/>
            </w:pPr>
            <w:r>
              <w:rPr/>
              <w:t>72,000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CCEEFF" w:val="clear"/>
            <w:vAlign w:val="center"/>
          </w:tcPr>
          <w:p>
            <w:pPr>
              <w:pStyle w:val="TableContents"/>
              <w:bidi w:val="0"/>
              <w:spacing w:before="0" w:after="283"/>
              <w:jc w:val="left"/>
              <w:rPr/>
            </w:pPr>
            <w:r>
              <w:rPr/>
              <w:t>$</w:t>
            </w:r>
          </w:p>
        </w:tc>
        <w:tc>
          <w:tcPr>
            <w:tcW w:w="1244" w:type="dxa"/>
            <w:tcBorders>
              <w:bottom w:val="single" w:sz="12" w:space="0" w:color="000000"/>
            </w:tcBorders>
            <w:shd w:fill="CCEEFF" w:val="clear"/>
            <w:vAlign w:val="center"/>
          </w:tcPr>
          <w:p>
            <w:pPr>
              <w:pStyle w:val="TableContents"/>
              <w:bidi w:val="0"/>
              <w:spacing w:before="0" w:after="283"/>
              <w:jc w:val="right"/>
              <w:rPr/>
            </w:pPr>
            <w:r>
              <w:rPr/>
              <w:t>72,000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Total related party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72,000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72,000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Less: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(72,000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CCEEFF" w:val="clear"/>
            <w:vAlign w:val="center"/>
          </w:tcPr>
          <w:p>
            <w:pPr>
              <w:pStyle w:val="TableContents"/>
              <w:bidi w:val="0"/>
              <w:spacing w:before="0" w:after="283"/>
              <w:jc w:val="left"/>
              <w:rPr/>
            </w:pPr>
            <w:r>
              <w:rPr/>
              <w:t> </w:t>
            </w:r>
          </w:p>
        </w:tc>
        <w:tc>
          <w:tcPr>
            <w:tcW w:w="1244" w:type="dxa"/>
            <w:tcBorders>
              <w:bottom w:val="single" w:sz="12" w:space="0" w:color="000000"/>
            </w:tcBorders>
            <w:shd w:fill="CCEEFF" w:val="clear"/>
            <w:vAlign w:val="center"/>
          </w:tcPr>
          <w:p>
            <w:pPr>
              <w:pStyle w:val="TableContents"/>
              <w:bidi w:val="0"/>
              <w:spacing w:before="0" w:after="283"/>
              <w:jc w:val="right"/>
              <w:rPr/>
            </w:pPr>
            <w:r>
              <w:rPr/>
              <w:t>(27,000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140" w:type="dxa"/>
            <w:tcBorders/>
            <w:shd w:fill="FFFFFF" w:val="clear"/>
            <w:tcMar>
              <w:bottom w:w="0" w:type="dxa"/>
            </w:tcMar>
            <w:vAlign w:val="center"/>
          </w:tcPr>
          <w:p>
            <w:pPr>
              <w:pStyle w:val="TableContents"/>
              <w:bidi w:val="0"/>
              <w:spacing w:before="0" w:after="283"/>
              <w:jc w:val="left"/>
              <w:rPr/>
            </w:pPr>
            <w:r>
              <w:rPr/>
              <w:t>Related party debt, net of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755" w:type="dxa"/>
            <w:tcBorders>
              <w:bottom w:val="double" w:sz="10"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bottom w:val="double" w:sz="10" w:space="0" w:color="000000"/>
            </w:tcBorders>
            <w:shd w:fill="FFFFFF" w:val="clear"/>
            <w:vAlign w:val="center"/>
          </w:tcPr>
          <w:p>
            <w:pPr>
              <w:pStyle w:val="TableContents"/>
              <w:bidi w:val="0"/>
              <w:spacing w:before="0" w:after="283"/>
              <w:jc w:val="left"/>
              <w:rPr/>
            </w:pPr>
            <w:r>
              <w:rPr/>
              <w:t>$</w:t>
            </w:r>
          </w:p>
        </w:tc>
        <w:tc>
          <w:tcPr>
            <w:tcW w:w="1244" w:type="dxa"/>
            <w:tcBorders>
              <w:bottom w:val="double" w:sz="10" w:space="0" w:color="000000"/>
            </w:tcBorders>
            <w:shd w:fill="FFFFFF" w:val="clear"/>
            <w:vAlign w:val="center"/>
          </w:tcPr>
          <w:p>
            <w:pPr>
              <w:pStyle w:val="TableContents"/>
              <w:bidi w:val="0"/>
              <w:spacing w:before="0" w:after="283"/>
              <w:jc w:val="right"/>
              <w:rPr/>
            </w:pPr>
            <w:r>
              <w:rPr/>
              <w:t>45,000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b/>
              </w:rPr>
            </w:pPr>
            <w:r>
              <w:rPr>
                <w:b/>
              </w:rPr>
              <w:t>Short-term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PPP Loan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623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w:t>
            </w:r>
          </w:p>
        </w:tc>
        <w:tc>
          <w:tcPr>
            <w:tcW w:w="1244" w:type="dxa"/>
            <w:tcBorders/>
            <w:shd w:fill="CCEEFF" w:val="clear"/>
            <w:tcMar>
              <w:bottom w:w="0" w:type="dxa"/>
            </w:tcMar>
            <w:vAlign w:val="center"/>
          </w:tcPr>
          <w:p>
            <w:pPr>
              <w:pStyle w:val="TableContents"/>
              <w:bidi w:val="0"/>
              <w:spacing w:before="0" w:after="283"/>
              <w:jc w:val="right"/>
              <w:rPr/>
            </w:pPr>
            <w:r>
              <w:rPr/>
              <w:t>620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Convertible Note -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FFFFFF" w:val="clear"/>
            <w:vAlign w:val="center"/>
          </w:tcPr>
          <w:p>
            <w:pPr>
              <w:pStyle w:val="TableContents"/>
              <w:bidi w:val="0"/>
              <w:spacing w:before="0" w:after="283"/>
              <w:jc w:val="left"/>
              <w:rPr/>
            </w:pPr>
            <w:r>
              <w:rPr/>
              <w:t> </w:t>
            </w:r>
          </w:p>
        </w:tc>
        <w:tc>
          <w:tcPr>
            <w:tcW w:w="1244" w:type="dxa"/>
            <w:tcBorders>
              <w:bottom w:val="single" w:sz="12" w:space="0" w:color="000000"/>
            </w:tcBorders>
            <w:shd w:fill="FFFFFF" w:val="clear"/>
            <w:vAlign w:val="center"/>
          </w:tcPr>
          <w:p>
            <w:pPr>
              <w:pStyle w:val="TableContents"/>
              <w:bidi w:val="0"/>
              <w:spacing w:before="0" w:after="283"/>
              <w:jc w:val="right"/>
              <w:rPr/>
            </w:pPr>
            <w:r>
              <w:rPr/>
              <w:t>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Total short-term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755" w:type="dxa"/>
            <w:tcBorders>
              <w:bottom w:val="single" w:sz="12" w:space="0" w:color="000000"/>
            </w:tcBorders>
            <w:shd w:fill="CCEEFF" w:val="clear"/>
            <w:vAlign w:val="center"/>
          </w:tcPr>
          <w:p>
            <w:pPr>
              <w:pStyle w:val="TableContents"/>
              <w:bidi w:val="0"/>
              <w:spacing w:before="0" w:after="283"/>
              <w:jc w:val="right"/>
              <w:rPr/>
            </w:pPr>
            <w:r>
              <w:rPr/>
              <w:t>623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CCEEFF" w:val="clear"/>
            <w:vAlign w:val="center"/>
          </w:tcPr>
          <w:p>
            <w:pPr>
              <w:pStyle w:val="TableContents"/>
              <w:bidi w:val="0"/>
              <w:spacing w:before="0" w:after="283"/>
              <w:jc w:val="left"/>
              <w:rPr/>
            </w:pPr>
            <w:r>
              <w:rPr/>
              <w:t>$</w:t>
            </w:r>
          </w:p>
        </w:tc>
        <w:tc>
          <w:tcPr>
            <w:tcW w:w="1244" w:type="dxa"/>
            <w:tcBorders>
              <w:bottom w:val="single" w:sz="12" w:space="0" w:color="000000"/>
            </w:tcBorders>
            <w:shd w:fill="CCEEFF" w:val="clear"/>
            <w:vAlign w:val="center"/>
          </w:tcPr>
          <w:p>
            <w:pPr>
              <w:pStyle w:val="TableContents"/>
              <w:bidi w:val="0"/>
              <w:spacing w:before="0" w:after="283"/>
              <w:jc w:val="right"/>
              <w:rPr/>
            </w:pPr>
            <w:r>
              <w:rPr/>
              <w:t>621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c>
          <w:tcPr>
            <w:tcW w:w="124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b/>
              </w:rPr>
            </w:pPr>
            <w:r>
              <w:rPr>
                <w:b/>
              </w:rPr>
              <w:t>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c>
          <w:tcPr>
            <w:tcW w:w="1244"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Convertible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755" w:type="dxa"/>
            <w:tcBorders>
              <w:bottom w:val="single" w:sz="12" w:space="0" w:color="000000"/>
            </w:tcBorders>
            <w:shd w:fill="FFFFFF" w:val="clear"/>
            <w:vAlign w:val="center"/>
          </w:tcPr>
          <w:p>
            <w:pPr>
              <w:pStyle w:val="TableContents"/>
              <w:bidi w:val="0"/>
              <w:spacing w:before="0" w:after="283"/>
              <w:jc w:val="right"/>
              <w:rPr/>
            </w:pPr>
            <w:r>
              <w:rPr/>
              <w:t>8,000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FFFFFF" w:val="clear"/>
            <w:vAlign w:val="center"/>
          </w:tcPr>
          <w:p>
            <w:pPr>
              <w:pStyle w:val="TableContents"/>
              <w:bidi w:val="0"/>
              <w:spacing w:before="0" w:after="283"/>
              <w:jc w:val="left"/>
              <w:rPr/>
            </w:pPr>
            <w:r>
              <w:rPr/>
              <w:t> </w:t>
            </w:r>
          </w:p>
        </w:tc>
        <w:tc>
          <w:tcPr>
            <w:tcW w:w="1244" w:type="dxa"/>
            <w:tcBorders>
              <w:bottom w:val="single" w:sz="12" w:space="0" w:color="000000"/>
            </w:tcBorders>
            <w:shd w:fill="FFFFFF" w:val="clear"/>
            <w:vAlign w:val="center"/>
          </w:tcPr>
          <w:p>
            <w:pPr>
              <w:pStyle w:val="TableContents"/>
              <w:bidi w:val="0"/>
              <w:spacing w:before="0" w:after="283"/>
              <w:jc w:val="right"/>
              <w:rPr/>
            </w:pPr>
            <w:r>
              <w:rPr/>
              <w:t>8,000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140" w:type="dxa"/>
            <w:tcBorders/>
            <w:shd w:fill="CCEEFF" w:val="clear"/>
            <w:tcMar>
              <w:bottom w:w="0" w:type="dxa"/>
            </w:tcMar>
            <w:vAlign w:val="center"/>
          </w:tcPr>
          <w:p>
            <w:pPr>
              <w:pStyle w:val="TableContents"/>
              <w:bidi w:val="0"/>
              <w:spacing w:before="0" w:after="283"/>
              <w:jc w:val="left"/>
              <w:rPr/>
            </w:pPr>
            <w:r>
              <w:rPr/>
              <w:t>Total 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8,000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CCEEFF" w:val="clear"/>
            <w:vAlign w:val="center"/>
          </w:tcPr>
          <w:p>
            <w:pPr>
              <w:pStyle w:val="TableContents"/>
              <w:bidi w:val="0"/>
              <w:spacing w:before="0" w:after="283"/>
              <w:jc w:val="left"/>
              <w:rPr/>
            </w:pPr>
            <w:r>
              <w:rPr/>
              <w:t> </w:t>
            </w:r>
          </w:p>
        </w:tc>
        <w:tc>
          <w:tcPr>
            <w:tcW w:w="1244" w:type="dxa"/>
            <w:tcBorders>
              <w:bottom w:val="single" w:sz="12" w:space="0" w:color="000000"/>
            </w:tcBorders>
            <w:shd w:fill="CCEEFF" w:val="clear"/>
            <w:vAlign w:val="center"/>
          </w:tcPr>
          <w:p>
            <w:pPr>
              <w:pStyle w:val="TableContents"/>
              <w:bidi w:val="0"/>
              <w:spacing w:before="0" w:after="283"/>
              <w:jc w:val="right"/>
              <w:rPr/>
            </w:pPr>
            <w:r>
              <w:rPr/>
              <w:t>8,000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140" w:type="dxa"/>
            <w:tcBorders/>
            <w:shd w:fill="FFFFFF" w:val="clear"/>
            <w:tcMar>
              <w:bottom w:w="0" w:type="dxa"/>
            </w:tcMar>
            <w:vAlign w:val="center"/>
          </w:tcPr>
          <w:p>
            <w:pPr>
              <w:pStyle w:val="TableContents"/>
              <w:bidi w:val="0"/>
              <w:spacing w:before="0" w:after="283"/>
              <w:jc w:val="left"/>
              <w:rPr/>
            </w:pPr>
            <w:r>
              <w:rPr/>
              <w:t>Less: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vAlign w:val="center"/>
          </w:tcPr>
          <w:p>
            <w:pPr>
              <w:pStyle w:val="TableContents"/>
              <w:bidi w:val="0"/>
              <w:spacing w:before="0" w:after="283"/>
              <w:jc w:val="right"/>
              <w:rPr/>
            </w:pPr>
            <w:r>
              <w:rPr/>
              <w:t>(8,000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 w:type="dxa"/>
            <w:tcBorders>
              <w:bottom w:val="single" w:sz="12" w:space="0" w:color="000000"/>
            </w:tcBorders>
            <w:shd w:fill="FFFFFF" w:val="clear"/>
            <w:vAlign w:val="center"/>
          </w:tcPr>
          <w:p>
            <w:pPr>
              <w:pStyle w:val="TableContents"/>
              <w:bidi w:val="0"/>
              <w:spacing w:before="0" w:after="283"/>
              <w:jc w:val="left"/>
              <w:rPr/>
            </w:pPr>
            <w:r>
              <w:rPr/>
              <w:t> </w:t>
            </w:r>
          </w:p>
        </w:tc>
        <w:tc>
          <w:tcPr>
            <w:tcW w:w="1244" w:type="dxa"/>
            <w:tcBorders>
              <w:bottom w:val="single" w:sz="12" w:space="0" w:color="000000"/>
            </w:tcBorders>
            <w:shd w:fill="FFFFFF" w:val="clear"/>
            <w:vAlign w:val="center"/>
          </w:tcPr>
          <w:p>
            <w:pPr>
              <w:pStyle w:val="TableContents"/>
              <w:bidi w:val="0"/>
              <w:spacing w:before="0" w:after="283"/>
              <w:jc w:val="right"/>
              <w:rPr/>
            </w:pPr>
            <w:r>
              <w:rPr/>
              <w:t>(3,000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3140" w:type="dxa"/>
            <w:tcBorders/>
            <w:shd w:fill="CCEEFF" w:val="clear"/>
            <w:tcMar>
              <w:bottom w:w="0" w:type="dxa"/>
            </w:tcMar>
            <w:vAlign w:val="center"/>
          </w:tcPr>
          <w:p>
            <w:pPr>
              <w:pStyle w:val="TableContents"/>
              <w:bidi w:val="0"/>
              <w:spacing w:before="0" w:after="283"/>
              <w:jc w:val="left"/>
              <w:rPr/>
            </w:pPr>
            <w:r>
              <w:rPr/>
              <w:t>Long-term debt, net of 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755" w:type="dxa"/>
            <w:tcBorders>
              <w:bottom w:val="double" w:sz="10"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 w:type="dxa"/>
            <w:tcBorders>
              <w:bottom w:val="double" w:sz="10" w:space="0" w:color="000000"/>
            </w:tcBorders>
            <w:shd w:fill="CCEEFF" w:val="clear"/>
            <w:vAlign w:val="center"/>
          </w:tcPr>
          <w:p>
            <w:pPr>
              <w:pStyle w:val="TableContents"/>
              <w:bidi w:val="0"/>
              <w:spacing w:before="0" w:after="283"/>
              <w:jc w:val="left"/>
              <w:rPr/>
            </w:pPr>
            <w:r>
              <w:rPr/>
              <w:t>$</w:t>
            </w:r>
          </w:p>
        </w:tc>
        <w:tc>
          <w:tcPr>
            <w:tcW w:w="1244" w:type="dxa"/>
            <w:tcBorders>
              <w:bottom w:val="double" w:sz="10" w:space="0" w:color="000000"/>
            </w:tcBorders>
            <w:shd w:fill="CCEEFF" w:val="clear"/>
            <w:vAlign w:val="center"/>
          </w:tcPr>
          <w:p>
            <w:pPr>
              <w:pStyle w:val="TableContents"/>
              <w:bidi w:val="0"/>
              <w:spacing w:before="0" w:after="283"/>
              <w:jc w:val="right"/>
              <w:rPr/>
            </w:pPr>
            <w:r>
              <w:rPr/>
              <w:t>5,000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the $0.001 exercise price of the warrant. The conversion of the May 2025 Notes into Common Stock and/or pre-funded warrants is subject to certain customary conditions and, to the extent necessary, the receipt of stockholder approval under Nasdaq listing rules.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25, 2025, the Company issued secured convertible notes with an aggregate original principal amount of $50.0 million (collectively the “August 2025 Notes” and, together with the May 2025 Notes, the “Convertible Notes”) to RSLGH and to certain other third-party accredited investors. The August 2025 Notes are secured obligations of the Company and rank senior to all indebtedness of the Company except for the May 2025,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the $0.001 exercise price of the warrant. The conversion of the August 2025 Notes into Common Stock and/or pre-funded warrants is subject to certain customary conditions and, to the extent necessary, the receipt of stockholder approval under Nasdaq listing rules.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filed with the SEC a proxy statement with respect to a special meeting of stockholders to be held on August 10, 2026 for a vote on the proposed issuance to RSLGH of Common Stock underlying certain convertible promissory notes, warrants and pursuant to shared services agreements, in accordance with Nasdaq Listing Rule 5635. If approved, the proposal would permit the conversion of the Convertible Notes, and full exercise of pre-funded warrants, irrespective of any ownership limitations contained in those instruments, including the 49.99% beneficial ownership limitations, to the extent those limitations are removed from the Convertible Notes and the pre-funded warrants pursuant to a future amendment.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impose certain customary affirmative and negative covenants upon the Company, including covenants relating to ranking and reservation of shares. If an event of default under one or more of the Convertible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Convertible Notes do not contain features that qualify as embedded derivatives in accordance with ASC 815. Borrowings under the Convertible Notes as of June 30, 2026 totaled $80.0 million recorded on the Company’s condensed consolidated balance sheet as Long-term debt, current, $72.0 million of which are considered related party with Green Thumb.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Related party interest expense incurred on the Convertible Notes was approximately $1.8 million and $548 thousand for the three months ended June 30, 2026 and 2025, respectively. Related party interest expense incurred on the Convertible Notes was approximately $3.6 million and $798 thousand for the six months ended June 30, 2026 and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incurred on the Convertible Notes related to unaffiliated third parties amounted to approximately $202 thousand and $33 thousand for the three months ended June 30, 2026 and 2025, respectively. Interest expense incurred on the Convertible Notes related to unaffiliated third parties amounted to approximately $403 thousand and $33 thousand for the six months ended June 30, 2026 and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future minimum principal payments on all debt positions, excluding accrued interest amounts, were as follows:</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4310"/>
        <w:gridCol w:w="60"/>
        <w:gridCol w:w="140"/>
        <w:gridCol w:w="680"/>
        <w:gridCol w:w="75"/>
      </w:tblGrid>
      <w:tr>
        <w:trPr/>
        <w:tc>
          <w:tcPr>
            <w:tcW w:w="4310" w:type="dxa"/>
            <w:tcBorders>
              <w:bottom w:val="single" w:sz="12" w:space="0" w:color="000000"/>
            </w:tcBorders>
            <w:vAlign w:val="center"/>
          </w:tcPr>
          <w:p>
            <w:pPr>
              <w:pStyle w:val="TableContents"/>
              <w:bidi w:val="0"/>
              <w:spacing w:before="0" w:after="283"/>
              <w:jc w:val="left"/>
              <w:rPr>
                <w:b/>
              </w:rPr>
            </w:pPr>
            <w:r>
              <w:rPr>
                <w:b/>
              </w:rPr>
              <w:t>Years ending December 31 (In thousands)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Remaining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30,623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1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vAlign w:val="center"/>
          </w:tcPr>
          <w:p>
            <w:pPr>
              <w:pStyle w:val="TableContents"/>
              <w:bidi w:val="0"/>
              <w:spacing w:before="0" w:after="283"/>
              <w:jc w:val="right"/>
              <w:rPr/>
            </w:pPr>
            <w:r>
              <w:rPr/>
              <w:t>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10" w:type="dxa"/>
            <w:tcBorders/>
            <w:shd w:fill="CCEEFF" w:val="clear"/>
            <w:tcMar>
              <w:bottom w:w="0" w:type="dxa"/>
            </w:tcMar>
            <w:vAlign w:val="center"/>
          </w:tcPr>
          <w:p>
            <w:pPr>
              <w:pStyle w:val="TableContents"/>
              <w:bidi w:val="0"/>
              <w:spacing w:before="0" w:after="283"/>
              <w:jc w:val="left"/>
              <w:rPr/>
            </w:pPr>
            <w:r>
              <w:rPr/>
              <w:t>Total future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680" w:type="dxa"/>
            <w:tcBorders>
              <w:bottom w:val="double" w:sz="10" w:space="0" w:color="000000"/>
            </w:tcBorders>
            <w:shd w:fill="CCEEFF" w:val="clear"/>
            <w:vAlign w:val="center"/>
          </w:tcPr>
          <w:p>
            <w:pPr>
              <w:pStyle w:val="TableContents"/>
              <w:bidi w:val="0"/>
              <w:spacing w:before="0" w:after="283"/>
              <w:jc w:val="right"/>
              <w:rPr/>
            </w:pPr>
            <w:r>
              <w:rPr/>
              <w:t>80,623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Warrant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2024, in connection with the amendment of previously outstanding notes,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another party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142,213 pre-funded warrants were issued in lieu of cash interest payments of $3.8 million, of which 135,836 warrants were issued to RSLGH.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Stock-Based Compensation and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 Omnibus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As of June 30, 2026, there were 218,565    shares of Common Stock available to be granted under the Company’s 2022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 compensation expense from continuing operations was $578 thousand and $537 thousand for the three months ended June 30, 2026 and 2025, respectively. The Company’s stock compensation expense from continuing operations was $1.1 million and $1.1 million for the six months ended June 30, 2026 and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stock compensation expense from discontinued operations was nil and a forfeiture of $22 thousand for the three months ended June 30, 2026 and 2025, respectively. The Company’s stock compensation expense from discontinued operations was nil and a forfeiture of $20 thousand for the six months ended June 30, 2026 and 2025,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there were no options granted, exercised, or expired under the Company’s stock option plans. There were 75 options outstanding with a weighted average exercise price of $27 thousand as of both June 30, 2026 and December 31, 2025. There were no unvested options as of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no unrecognized compensation expense related to unvested options.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information about options vested and exercisable at June 30, 2026:</w:t>
      </w:r>
    </w:p>
    <w:p>
      <w:pPr>
        <w:pStyle w:val="TextBody"/>
        <w:bidi w:val="0"/>
        <w:spacing w:before="0" w:after="0"/>
        <w:ind w:left="0" w:right="0" w:firstLine="360"/>
        <w:jc w:val="left"/>
        <w:rPr>
          <w:caps w:val="false"/>
          <w:smallCaps w:val="false"/>
        </w:rPr>
      </w:pPr>
      <w:r>
        <w:rPr>
          <w:caps w:val="false"/>
          <w:smallCaps w:val="false"/>
        </w:rPr>
        <w:t> </w:t>
      </w:r>
    </w:p>
    <w:tbl>
      <w:tblPr>
        <w:tblW w:w="6890" w:type="dxa"/>
        <w:jc w:val="left"/>
        <w:tblInd w:w="0" w:type="dxa"/>
        <w:tblLayout w:type="fixed"/>
        <w:tblCellMar>
          <w:top w:w="0" w:type="dxa"/>
          <w:left w:w="0" w:type="dxa"/>
          <w:bottom w:w="28" w:type="dxa"/>
          <w:right w:w="0" w:type="dxa"/>
        </w:tblCellMar>
      </w:tblPr>
      <w:tblGrid>
        <w:gridCol w:w="447"/>
        <w:gridCol w:w="1552"/>
        <w:gridCol w:w="103"/>
        <w:gridCol w:w="103"/>
        <w:gridCol w:w="297"/>
        <w:gridCol w:w="2182"/>
        <w:gridCol w:w="103"/>
        <w:gridCol w:w="103"/>
        <w:gridCol w:w="328"/>
        <w:gridCol w:w="1597"/>
        <w:gridCol w:w="75"/>
      </w:tblGrid>
      <w:tr>
        <w:trPr/>
        <w:tc>
          <w:tcPr>
            <w:tcW w:w="6815" w:type="dxa"/>
            <w:gridSpan w:val="10"/>
            <w:tcBorders>
              <w:bottom w:val="single" w:sz="12" w:space="0" w:color="000000"/>
            </w:tcBorders>
            <w:vAlign w:val="center"/>
          </w:tcPr>
          <w:p>
            <w:pPr>
              <w:pStyle w:val="TableContents"/>
              <w:bidi w:val="0"/>
              <w:spacing w:before="0" w:after="283"/>
              <w:jc w:val="center"/>
              <w:rPr>
                <w:b/>
              </w:rPr>
            </w:pPr>
            <w:r>
              <w:rPr>
                <w:b/>
              </w:rPr>
              <w:t>Options Vested and Exercisable</w:t>
            </w:r>
          </w:p>
        </w:tc>
        <w:tc>
          <w:tcPr>
            <w:tcW w:w="75" w:type="dxa"/>
            <w:tcBorders/>
            <w:tcMar>
              <w:bottom w:w="0" w:type="dxa"/>
            </w:tcMar>
            <w:vAlign w:val="center"/>
          </w:tcPr>
          <w:p>
            <w:pPr>
              <w:pStyle w:val="TableContents"/>
              <w:bidi w:val="0"/>
              <w:spacing w:before="0" w:after="283"/>
              <w:jc w:val="left"/>
              <w:rPr/>
            </w:pPr>
            <w:r>
              <w:rPr/>
              <w:t> </w:t>
            </w:r>
          </w:p>
        </w:tc>
      </w:tr>
      <w:tr>
        <w:trPr/>
        <w:tc>
          <w:tcPr>
            <w:tcW w:w="1999" w:type="dxa"/>
            <w:gridSpan w:val="2"/>
            <w:tcBorders>
              <w:bottom w:val="single" w:sz="12" w:space="0" w:color="000000"/>
            </w:tcBorders>
            <w:vAlign w:val="center"/>
          </w:tcPr>
          <w:p>
            <w:pPr>
              <w:pStyle w:val="TableContents"/>
              <w:bidi w:val="0"/>
              <w:spacing w:before="0" w:after="283"/>
              <w:jc w:val="center"/>
              <w:rPr>
                <w:b/>
              </w:rPr>
            </w:pPr>
            <w:r>
              <w:rPr>
                <w:b/>
              </w:rPr>
              <w:t>Number of Options</w:t>
            </w:r>
          </w:p>
        </w:tc>
        <w:tc>
          <w:tcPr>
            <w:tcW w:w="103"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2479" w:type="dxa"/>
            <w:gridSpan w:val="2"/>
            <w:tcBorders>
              <w:bottom w:val="single" w:sz="12" w:space="0" w:color="000000"/>
            </w:tcBorders>
            <w:vAlign w:val="center"/>
          </w:tcPr>
          <w:p>
            <w:pPr>
              <w:pStyle w:val="TableContents"/>
              <w:bidi w:val="0"/>
              <w:spacing w:before="0" w:after="283"/>
              <w:jc w:val="center"/>
              <w:rPr>
                <w:b/>
              </w:rPr>
            </w:pPr>
            <w:r>
              <w:rPr>
                <w:b/>
              </w:rPr>
              <w:t xml:space="preserve">Weighted-Average </w:t>
              <w:br/>
              <w:t xml:space="preserve">Remaining Contractual </w:t>
              <w:br/>
              <w:t>Life (Years)</w:t>
            </w:r>
          </w:p>
        </w:tc>
        <w:tc>
          <w:tcPr>
            <w:tcW w:w="103"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925" w:type="dxa"/>
            <w:gridSpan w:val="2"/>
            <w:tcBorders>
              <w:bottom w:val="single" w:sz="12" w:space="0" w:color="000000"/>
            </w:tcBorders>
            <w:vAlign w:val="center"/>
          </w:tcPr>
          <w:p>
            <w:pPr>
              <w:pStyle w:val="TableContents"/>
              <w:bidi w:val="0"/>
              <w:spacing w:before="0" w:after="283"/>
              <w:jc w:val="center"/>
              <w:rPr>
                <w:b/>
              </w:rPr>
            </w:pPr>
            <w:r>
              <w:rPr>
                <w:b/>
              </w:rPr>
              <w:t>Weighted-Average</w:t>
              <w:br/>
              <w:t>Exercise Price</w:t>
            </w:r>
          </w:p>
        </w:tc>
        <w:tc>
          <w:tcPr>
            <w:tcW w:w="75" w:type="dxa"/>
            <w:tcBorders/>
            <w:tcMar>
              <w:bottom w:w="0" w:type="dxa"/>
            </w:tcMar>
            <w:vAlign w:val="center"/>
          </w:tcPr>
          <w:p>
            <w:pPr>
              <w:pStyle w:val="TableContents"/>
              <w:bidi w:val="0"/>
              <w:spacing w:before="0" w:after="283"/>
              <w:jc w:val="left"/>
              <w:rPr/>
            </w:pPr>
            <w:r>
              <w:rPr/>
              <w:t> </w:t>
            </w:r>
          </w:p>
        </w:tc>
      </w:tr>
      <w:tr>
        <w:trPr/>
        <w:tc>
          <w:tcPr>
            <w:tcW w:w="447"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right"/>
              <w:rPr/>
            </w:pPr>
            <w:r>
              <w:rPr/>
              <w:t>38</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4.64</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1597" w:type="dxa"/>
            <w:tcBorders/>
            <w:shd w:fill="CCEEFF" w:val="clear"/>
            <w:tcMar>
              <w:bottom w:w="0" w:type="dxa"/>
            </w:tcMar>
            <w:vAlign w:val="center"/>
          </w:tcPr>
          <w:p>
            <w:pPr>
              <w:pStyle w:val="TableContents"/>
              <w:bidi w:val="0"/>
              <w:spacing w:before="0" w:after="283"/>
              <w:jc w:val="right"/>
              <w:rPr/>
            </w:pPr>
            <w:r>
              <w:rPr/>
              <w:t>40,234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7" w:type="dxa"/>
            <w:tcBorders/>
            <w:shd w:fill="FFFFFF" w:val="clear"/>
            <w:tcMar>
              <w:bottom w:w="0" w:type="dxa"/>
            </w:tcMar>
            <w:vAlign w:val="center"/>
          </w:tcPr>
          <w:p>
            <w:pPr>
              <w:pStyle w:val="TableContents"/>
              <w:bidi w:val="0"/>
              <w:spacing w:before="0" w:after="283"/>
              <w:jc w:val="left"/>
              <w:rPr/>
            </w:pPr>
            <w:r>
              <w:rPr/>
              <w:t> </w:t>
            </w:r>
          </w:p>
        </w:tc>
        <w:tc>
          <w:tcPr>
            <w:tcW w:w="1552" w:type="dxa"/>
            <w:tcBorders/>
            <w:shd w:fill="FFFFFF" w:val="clear"/>
            <w:tcMar>
              <w:bottom w:w="0" w:type="dxa"/>
            </w:tcMar>
            <w:vAlign w:val="center"/>
          </w:tcPr>
          <w:p>
            <w:pPr>
              <w:pStyle w:val="TableContents"/>
              <w:bidi w:val="0"/>
              <w:spacing w:before="0" w:after="283"/>
              <w:jc w:val="right"/>
              <w:rPr/>
            </w:pPr>
            <w:r>
              <w:rPr/>
              <w:t>34</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2182" w:type="dxa"/>
            <w:tcBorders/>
            <w:shd w:fill="FFFFFF" w:val="clear"/>
            <w:tcMar>
              <w:bottom w:w="0" w:type="dxa"/>
            </w:tcMar>
            <w:vAlign w:val="center"/>
          </w:tcPr>
          <w:p>
            <w:pPr>
              <w:pStyle w:val="TableContents"/>
              <w:bidi w:val="0"/>
              <w:spacing w:before="0" w:after="283"/>
              <w:jc w:val="right"/>
              <w:rPr/>
            </w:pPr>
            <w:r>
              <w:rPr/>
              <w:t>4.35</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w:t>
            </w:r>
          </w:p>
        </w:tc>
        <w:tc>
          <w:tcPr>
            <w:tcW w:w="1597" w:type="dxa"/>
            <w:tcBorders/>
            <w:shd w:fill="FFFFFF" w:val="clear"/>
            <w:tcMar>
              <w:bottom w:w="0" w:type="dxa"/>
            </w:tcMar>
            <w:vAlign w:val="center"/>
          </w:tcPr>
          <w:p>
            <w:pPr>
              <w:pStyle w:val="TableContents"/>
              <w:bidi w:val="0"/>
              <w:spacing w:before="0" w:after="283"/>
              <w:jc w:val="right"/>
              <w:rPr/>
            </w:pPr>
            <w:r>
              <w:rPr/>
              <w:t>14,208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7" w:type="dxa"/>
            <w:tcBorders/>
            <w:shd w:fill="CCEEFF" w:val="clear"/>
            <w:tcMar>
              <w:bottom w:w="0" w:type="dxa"/>
            </w:tcMar>
            <w:vAlign w:val="center"/>
          </w:tcPr>
          <w:p>
            <w:pPr>
              <w:pStyle w:val="TableContents"/>
              <w:bidi w:val="0"/>
              <w:spacing w:before="0" w:after="283"/>
              <w:jc w:val="left"/>
              <w:rPr/>
            </w:pPr>
            <w:r>
              <w:rPr/>
              <w:t> </w:t>
            </w:r>
          </w:p>
        </w:tc>
        <w:tc>
          <w:tcPr>
            <w:tcW w:w="1552" w:type="dxa"/>
            <w:tcBorders/>
            <w:shd w:fill="CCEEFF" w:val="clear"/>
            <w:tcMar>
              <w:bottom w:w="0" w:type="dxa"/>
            </w:tcMar>
            <w:vAlign w:val="center"/>
          </w:tcPr>
          <w:p>
            <w:pPr>
              <w:pStyle w:val="TableContents"/>
              <w:bidi w:val="0"/>
              <w:spacing w:before="0" w:after="283"/>
              <w:jc w:val="right"/>
              <w:rPr/>
            </w:pPr>
            <w:r>
              <w:rPr/>
              <w:t>3</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182" w:type="dxa"/>
            <w:tcBorders/>
            <w:shd w:fill="CCEEFF" w:val="clear"/>
            <w:tcMar>
              <w:bottom w:w="0" w:type="dxa"/>
            </w:tcMar>
            <w:vAlign w:val="center"/>
          </w:tcPr>
          <w:p>
            <w:pPr>
              <w:pStyle w:val="TableContents"/>
              <w:bidi w:val="0"/>
              <w:spacing w:before="0" w:after="283"/>
              <w:jc w:val="right"/>
              <w:rPr/>
            </w:pPr>
            <w:r>
              <w:rPr/>
              <w:t>4.08</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1597" w:type="dxa"/>
            <w:tcBorders/>
            <w:shd w:fill="CCEEFF" w:val="clear"/>
            <w:tcMar>
              <w:bottom w:w="0" w:type="dxa"/>
            </w:tcMar>
            <w:vAlign w:val="center"/>
          </w:tcPr>
          <w:p>
            <w:pPr>
              <w:pStyle w:val="TableContents"/>
              <w:bidi w:val="0"/>
              <w:spacing w:before="0" w:after="283"/>
              <w:jc w:val="right"/>
              <w:rPr/>
            </w:pPr>
            <w:r>
              <w:rPr/>
              <w:t>4,104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2022 Plan, the Company may grant restricted stock units to employees, directors and officers. The restricted stock units granted generally vest equally over periods ranging from one to three years, subject to certain exceptions for directors. The fair value of restricted stock units is determined based on the closing market price of the Company’s Common Stock on the date of grant. Compensation expense related to the restricted stock units is recognized using a straight-line attribution method over the vesting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restricted stock unit activity for the six months ended June 30, 2026:</w:t>
      </w:r>
    </w:p>
    <w:p>
      <w:pPr>
        <w:pStyle w:val="TextBody"/>
        <w:bidi w:val="0"/>
        <w:spacing w:before="0" w:after="0"/>
        <w:ind w:left="0" w:right="0" w:firstLine="360"/>
        <w:jc w:val="left"/>
        <w:rPr>
          <w:caps w:val="false"/>
          <w:smallCaps w:val="false"/>
        </w:rPr>
      </w:pPr>
      <w:r>
        <w:rPr>
          <w:caps w:val="false"/>
          <w:smallCaps w:val="false"/>
        </w:rPr>
        <w:t> </w:t>
      </w:r>
    </w:p>
    <w:tbl>
      <w:tblPr>
        <w:tblW w:w="6439" w:type="dxa"/>
        <w:jc w:val="left"/>
        <w:tblInd w:w="0" w:type="dxa"/>
        <w:tblLayout w:type="fixed"/>
        <w:tblCellMar>
          <w:top w:w="0" w:type="dxa"/>
          <w:left w:w="0" w:type="dxa"/>
          <w:bottom w:w="0" w:type="dxa"/>
          <w:right w:w="0" w:type="dxa"/>
        </w:tblCellMar>
      </w:tblPr>
      <w:tblGrid>
        <w:gridCol w:w="3095"/>
        <w:gridCol w:w="60"/>
        <w:gridCol w:w="78"/>
        <w:gridCol w:w="1051"/>
        <w:gridCol w:w="95"/>
        <w:gridCol w:w="60"/>
        <w:gridCol w:w="385"/>
        <w:gridCol w:w="154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Unvested at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126,750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540" w:type="dxa"/>
            <w:tcBorders/>
            <w:shd w:fill="CCEEFF" w:val="clear"/>
            <w:vAlign w:val="center"/>
          </w:tcPr>
          <w:p>
            <w:pPr>
              <w:pStyle w:val="TableContents"/>
              <w:bidi w:val="0"/>
              <w:spacing w:before="0" w:after="283"/>
              <w:jc w:val="right"/>
              <w:rPr/>
            </w:pPr>
            <w:r>
              <w:rPr/>
              <w:t>38.08</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31,500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26.98</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27.86</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Unvested at June 30, 2026</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10" w:space="0" w:color="000000"/>
            </w:tcBorders>
            <w:shd w:fill="CCEEFF" w:val="clear"/>
            <w:tcMar>
              <w:bottom w:w="28" w:type="dxa"/>
            </w:tcMar>
            <w:vAlign w:val="center"/>
          </w:tcPr>
          <w:p>
            <w:pPr>
              <w:pStyle w:val="TableContents"/>
              <w:bidi w:val="0"/>
              <w:spacing w:before="0" w:after="283"/>
              <w:jc w:val="right"/>
              <w:rPr/>
            </w:pPr>
            <w:r>
              <w:rPr/>
              <w:t>128,250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40" w:type="dxa"/>
            <w:tcBorders>
              <w:bottom w:val="double" w:sz="10" w:space="0" w:color="000000"/>
            </w:tcBorders>
            <w:shd w:fill="CCEEFF" w:val="clear"/>
            <w:tcMar>
              <w:bottom w:w="28" w:type="dxa"/>
            </w:tcMar>
            <w:vAlign w:val="center"/>
          </w:tcPr>
          <w:p>
            <w:pPr>
              <w:pStyle w:val="TableContents"/>
              <w:bidi w:val="0"/>
              <w:spacing w:before="0" w:after="283"/>
              <w:jc w:val="right"/>
              <w:rPr/>
            </w:pPr>
            <w:r>
              <w:rPr/>
              <w:t>37.74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total unrecognized compensation expense related to unvested restricted stock units was $3.8 million, which is expected to be recognized over a weighted average period of 1.24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Stock Warrants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presents all warrant activity of the Company for the six months ended June 30, 2026:</w:t>
      </w:r>
    </w:p>
    <w:p>
      <w:pPr>
        <w:pStyle w:val="TextBody"/>
        <w:bidi w:val="0"/>
        <w:spacing w:before="0" w:after="0"/>
        <w:ind w:left="0" w:right="0" w:firstLine="36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4205"/>
        <w:gridCol w:w="60"/>
        <w:gridCol w:w="60"/>
        <w:gridCol w:w="1100"/>
        <w:gridCol w:w="60"/>
        <w:gridCol w:w="60"/>
        <w:gridCol w:w="464"/>
        <w:gridCol w:w="1461"/>
        <w:gridCol w:w="75"/>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Weighted-Average</w:t>
              <w:br/>
              <w:t>Exercise Price</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Warrants 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10,892,112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5.08</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142,213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w:t>
            </w:r>
          </w:p>
        </w:tc>
        <w:tc>
          <w:tcPr>
            <w:tcW w:w="1461" w:type="dxa"/>
            <w:tcBorders/>
            <w:shd w:fill="FFFFFF" w:val="clear"/>
            <w:vAlign w:val="center"/>
          </w:tcPr>
          <w:p>
            <w:pPr>
              <w:pStyle w:val="TableContents"/>
              <w:bidi w:val="0"/>
              <w:spacing w:before="0" w:after="283"/>
              <w:jc w:val="right"/>
              <w:rPr/>
            </w:pPr>
            <w:r>
              <w:rPr/>
              <w:t>0.00</w:t>
            </w:r>
          </w:p>
        </w:tc>
        <w:tc>
          <w:tcPr>
            <w:tcW w:w="7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p>
        </w:tc>
        <w:tc>
          <w:tcPr>
            <w:tcW w:w="146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Canceled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Warrants 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11,034,325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61" w:type="dxa"/>
            <w:tcBorders>
              <w:bottom w:val="double" w:sz="10" w:space="0" w:color="000000"/>
            </w:tcBorders>
            <w:shd w:fill="CCEEFF" w:val="clear"/>
            <w:tcMar>
              <w:bottom w:w="28" w:type="dxa"/>
            </w:tcMar>
            <w:vAlign w:val="center"/>
          </w:tcPr>
          <w:p>
            <w:pPr>
              <w:pStyle w:val="TableContents"/>
              <w:bidi w:val="0"/>
              <w:spacing w:before="0" w:after="283"/>
              <w:jc w:val="right"/>
              <w:rPr/>
            </w:pPr>
            <w:r>
              <w:rPr/>
              <w:t>5.01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income tax rate was 5738.1% and 0.0% for the three months ended June 30, 2026 and 2025, respectively. The Company’s effective income tax rate was 470.8% and 0.0% for the six months ended June 30, 2026 and 2025, respectively. The benefit from income taxes was $1.2 million and $26.8 million for the three and six months ended June 30, 2026, compared to $0 for the three and six months ended June 30, 2025.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benefit from income taxes for the three and six months ended June 30, 2026 compared to the three and six months ended June 30, 2025 are a result of the Company releasing the valuation allowance against its deferred tax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released $25.6 million of its valuation allowance following the execution of an amendment to its license agreement with GTI Core on March 31, 2026, which transitioned the Company’s licensing fees to a fixed annual structure. This amendment significantly reduced uncertainty around the Company’s future taxable income projections. Based on sustained projected book and taxable income over the near term, management concluded that sufficient positive evidence existed to determine that its deferred tax assets are more-likely-than-not realizable, and accordingly released the valuation allowance during the first quarter of 2026. During the three months ended June 30, 2026, the Company released an additional $1.2 million of its valuation allowance, primarily reflecting deferred tax assets generated during the period, bringing the aggregate valuation allowance released to $26.8 million as of June 30, 2026. A valuation allowance continues to be maintained against certain state deferred tax assets for which apportionment factors do not support realization in the foreseeable future; the aggregate amount of such state deferred tax assets is not material. As a result, the income tax benefit recognized for the six months ended June 30, 2026 is attributable to the release of the valuation allowance. Prior to the initial release, the Company maintained a full valuation allowance against its deferred tax assets due to uncertainty surrounding future income projections.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utilization of the Company’s net operating loss (“NOL”) carryforwards is subject to limitations under Section 382 of the Internal Revenue Code of 1986, as amended and similar provisions in various state jurisdictions due to historical change in ownership provisions (“Ownership Changes”). These limitations may reduce the amount of NOLs available in future periods and may result in the expiration of certain NOLs before they can be utilized. During the quarter ended June 30, 2025, the Company completed an analysis of Ownership Changes, which had not previously been performed. The analysis identified multiple historical ownership changes that significantly limit the utilization of federal and state NOLs through the date of the most recent change on November 5, 2024, subjecting them to a minimal annual limitation. NOLs generated after November 5, 2024 are not currently subject to this limitation and may be available to offset future taxable income, although any future ownership changes could impose additional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2025, the One Big Beautiful Bill (“OBBBA”) was enacted, introducing significant and wide-ranging changes to the U.S. tax system. The bill includes restoration of 100% accelerated tax depreciation on qualifying property including expansion to cover qualified production property.   Another key point is the return to immediate expensing of domestic research and experimental expenditures (“R&amp;E”) and accelerated tax deductions of R&amp;E that were previously capitalized for large businesses.  The legislation also reinstates EBITDA-based interest deduction for tax purposes. The impacts of the OBBBA are reflected in our results for the quarter ended June 30, 2026, and there was no material impact to our income tax benefit or effective tax rate.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Net Income (Loss) Per Share</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the Company’s pre-funded warrants are entitled to receive pro rata distributions if the Company declares or makes any dividend or other distribution of its assets to holders of shares of Common Stock, without regard to the beneficial ownership limitation contained in the pre-funded warrants. As a result, the pre-funded warrants are considered participating securities in accordance with ASC 260, Earnings Per Share. In periods in which the Company reports net income, the Company applies the two-class method to compute basic and diluted earnings per share. Under this method, earnings are allocated to Common Stock and participating securities based on their respective rights to receive dividends, as if all undistributed earnings for the period were distributed. The portion of earnings allocated to participating securities is deducted from net income in determining net income attributable to common stockholders for purposes of computing earnings per share. In periods in which the Company reports a net loss, losses are allocated to participating securities only if the security has a contractual obligation to share in losses. As the pre-funded warrants do not contain a contractual obligation to share in losses, no loss was allocated to the pre-funded warrants for the years ended December 31, 2025 and 2024, or for the three and six months ended June 30, 2025. For the three and six months ended June 30, 2026, the Company’s net income was allocated in accordance with the two-class method.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diluted earnings per share by considering the impact of all potentially dilutive securities and applying the combination of methods that results in the most dilutive outcome in accordance with ASC 260. The Company evaluates the dilutive effect of each class of potential common shares using the treasury stock method, if-converted method, or the two-class method, as applicable. For instruments subject to the two-class method, the Company applies a hybrid approach under which the two-class earnings allocation is applied to the earnings pool adjusted for if-converted and treasury stock method adjustments applicable to other dilutive instruments. The treasury stock method is applied to unvested restricted stock units, the if-converted method is applied to convertible notes, and the two-class method is applied to participating pre-funded warrants. The convertible notes are not considered participating securities, as they do not provide the holder with a current right to participate in dividends or undistributed earnings prior to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basic and diluted net income (loss) per share were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0"/>
        <w:gridCol w:w="60"/>
        <w:gridCol w:w="140"/>
        <w:gridCol w:w="980"/>
        <w:gridCol w:w="95"/>
        <w:gridCol w:w="60"/>
        <w:gridCol w:w="140"/>
        <w:gridCol w:w="980"/>
        <w:gridCol w:w="95"/>
        <w:gridCol w:w="60"/>
        <w:gridCol w:w="140"/>
        <w:gridCol w:w="980"/>
        <w:gridCol w:w="95"/>
        <w:gridCol w:w="60"/>
        <w:gridCol w:w="140"/>
        <w:gridCol w:w="980"/>
        <w:gridCol w:w="110"/>
      </w:tblGrid>
      <w:tr>
        <w:trPr/>
        <w:tc>
          <w:tcPr>
            <w:tcW w:w="5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5090" w:type="dxa"/>
            <w:tcBorders>
              <w:bottom w:val="single" w:sz="12" w:space="0" w:color="000000"/>
            </w:tcBorders>
            <w:tcMar>
              <w:bottom w:w="28" w:type="dxa"/>
            </w:tcMar>
            <w:vAlign w:val="center"/>
          </w:tcPr>
          <w:p>
            <w:pPr>
              <w:pStyle w:val="TableContents"/>
              <w:bidi w:val="0"/>
              <w:spacing w:before="0" w:after="283"/>
              <w:jc w:val="left"/>
              <w:rPr>
                <w:b/>
              </w:rPr>
            </w:pPr>
            <w:r>
              <w:rPr>
                <w:b/>
              </w:rPr>
              <w:t>(In thousands, except share and per share data)</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090" w:type="dxa"/>
            <w:tcBorders/>
            <w:vAlign w:val="center"/>
          </w:tcPr>
          <w:p>
            <w:pPr>
              <w:pStyle w:val="TableContents"/>
              <w:bidi w:val="0"/>
              <w:spacing w:before="0" w:after="283"/>
              <w:jc w:val="left"/>
              <w:rPr>
                <w:b/>
              </w:rPr>
            </w:pPr>
            <w:r>
              <w:rPr>
                <w:b/>
              </w:rPr>
              <w:t>Numerator:</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(10,479</w:t>
            </w:r>
          </w:p>
        </w:tc>
        <w:tc>
          <w:tcPr>
            <w:tcW w:w="110" w:type="dxa"/>
            <w:tcBorders/>
            <w:shd w:fill="CCEEFF" w:val="clear"/>
            <w:vAlign w:val="center"/>
          </w:tcPr>
          <w:p>
            <w:pPr>
              <w:pStyle w:val="TableContents"/>
              <w:bidi w:val="0"/>
              <w:spacing w:before="0" w:after="283"/>
              <w:jc w:val="left"/>
              <w:rPr/>
            </w:pPr>
            <w:r>
              <w:rPr/>
              <w:t>)</w:t>
            </w:r>
          </w:p>
        </w:tc>
      </w:tr>
      <w:tr>
        <w:trPr/>
        <w:tc>
          <w:tcPr>
            <w:tcW w:w="5090" w:type="dxa"/>
            <w:tcBorders/>
            <w:shd w:fill="FFFFFF" w:val="clear"/>
            <w:vAlign w:val="center"/>
          </w:tcPr>
          <w:p>
            <w:pPr>
              <w:pStyle w:val="TableContents"/>
              <w:bidi w:val="0"/>
              <w:spacing w:before="0" w:after="283"/>
              <w:jc w:val="left"/>
              <w:rPr/>
            </w:pPr>
            <w:r>
              <w:rPr/>
              <w:t>Net (loss) income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1,493</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Minus: net income allocated to participating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(17,638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Numerator for basic EPS - Net income (loss) available for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(8,986</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Interest expense on Convertible Notes -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Reallocation of net income to participating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Numerator for diluted EPS - Net income (loss) available for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(8,986</w:t>
            </w:r>
          </w:p>
        </w:tc>
        <w:tc>
          <w:tcPr>
            <w:tcW w:w="110" w:type="dxa"/>
            <w:tcBorders/>
            <w:shd w:fill="FFFFFF" w:val="clear"/>
            <w:vAlign w:val="center"/>
          </w:tcPr>
          <w:p>
            <w:pPr>
              <w:pStyle w:val="TableContents"/>
              <w:bidi w:val="0"/>
              <w:spacing w:before="0" w:after="283"/>
              <w:jc w:val="left"/>
              <w:rPr/>
            </w:pPr>
            <w:r>
              <w:rPr/>
              <w:t>)</w:t>
            </w:r>
          </w:p>
        </w:tc>
      </w:tr>
      <w:tr>
        <w:trPr/>
        <w:tc>
          <w:tcPr>
            <w:tcW w:w="5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Denominator for basic EPS - 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2,155,721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1,958,724</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90" w:type="dxa"/>
            <w:tcBorders/>
            <w:shd w:fill="CCEEFF" w:val="clear"/>
            <w:vAlign w:val="center"/>
          </w:tcPr>
          <w:p>
            <w:pPr>
              <w:pStyle w:val="TableContents"/>
              <w:bidi w:val="0"/>
              <w:spacing w:before="0" w:after="283"/>
              <w:jc w:val="left"/>
              <w:rPr/>
            </w:pPr>
            <w:r>
              <w:rPr/>
              <w:t>Unvested restricted stock units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90" w:type="dxa"/>
            <w:tcBorders/>
            <w:shd w:fill="FFFFFF" w:val="clear"/>
            <w:vAlign w:val="center"/>
          </w:tcPr>
          <w:p>
            <w:pPr>
              <w:pStyle w:val="TableContents"/>
              <w:bidi w:val="0"/>
              <w:spacing w:before="0" w:after="283"/>
              <w:jc w:val="left"/>
              <w:rPr/>
            </w:pPr>
            <w:r>
              <w:rPr/>
              <w:t>Conversion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2,971,433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090" w:type="dxa"/>
            <w:tcBorders/>
            <w:shd w:fill="CCEEFF" w:val="clear"/>
            <w:vAlign w:val="center"/>
          </w:tcPr>
          <w:p>
            <w:pPr>
              <w:pStyle w:val="TableContents"/>
              <w:bidi w:val="0"/>
              <w:spacing w:before="0" w:after="283"/>
              <w:jc w:val="left"/>
              <w:rPr/>
            </w:pPr>
            <w:r>
              <w:rPr/>
              <w:t>Denominator for diluted EPS - adjusted weighted-average common stock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2,283,971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1,965,425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5,252,126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1,958,724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090" w:type="dxa"/>
            <w:tcBorders/>
            <w:shd w:fill="FFFFFF" w:val="clear"/>
            <w:vAlign w:val="center"/>
          </w:tcPr>
          <w:p>
            <w:pPr>
              <w:pStyle w:val="TableContents"/>
              <w:bidi w:val="0"/>
              <w:spacing w:before="0" w:after="283"/>
              <w:jc w:val="left"/>
              <w:rPr/>
            </w:pPr>
            <w:r>
              <w:rPr/>
              <w:t>Basic net income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(4.59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090" w:type="dxa"/>
            <w:tcBorders/>
            <w:shd w:fill="CCEEFF" w:val="clear"/>
            <w:vAlign w:val="center"/>
          </w:tcPr>
          <w:p>
            <w:pPr>
              <w:pStyle w:val="TableContents"/>
              <w:bidi w:val="0"/>
              <w:spacing w:before="0" w:after="283"/>
              <w:jc w:val="left"/>
              <w:rPr/>
            </w:pPr>
            <w:r>
              <w:rPr/>
              <w:t>Diluted net income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are evaluated for dilutive effect under the if-converted method, under which the after-tax interest expense on the notes is added back to the numerator and the notes are treated as converted at the stated conversion ratio. The notes are anti-dilutive when the after-tax interest per share issuable upon conversion exceeds basic earnings per share. For the three months ended June 30, 2026, the interest add-back was determined to be anti-dilutive and the Convertible Notes (representing 2,971,433 shares issuable upon conversion) were excluded from the computation of diluted earnings per share, while for the six months ended June 30, 2026 the Convertible Notes were dilutive and were included in the computation. For the six months ended June 30, 2025, the Company was in a net loss position and the Convertible Notes (representing 1,275,022 shares issuable upon conversion) would have been anti-dilutive and were therefore excluded from the computation of diluted net loss per share. In addition, the Company excluded the following potential common stock equivalents, presented based on amounts outstanding at each period end, from the computation of diluted earnings (loss) per share attributable to common stockholders for the periods presented because their inclusion would have been anti-dilutive. The Company’s pre-funded warrants are considered participating securities and are reflected through the application of the two-class method; accordingly, they are not included in the diluted earnings per share denominator in periods in which the two-class method results in the most dilutive outcome. </w:t>
      </w:r>
    </w:p>
    <w:p>
      <w:pPr>
        <w:pStyle w:val="TextBody"/>
        <w:bidi w:val="0"/>
        <w:spacing w:before="0" w:after="0"/>
        <w:ind w:left="360" w:right="0" w:hanging="0"/>
        <w:jc w:val="left"/>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4505"/>
        <w:gridCol w:w="60"/>
        <w:gridCol w:w="60"/>
        <w:gridCol w:w="1100"/>
        <w:gridCol w:w="60"/>
        <w:gridCol w:w="60"/>
        <w:gridCol w:w="60"/>
        <w:gridCol w:w="980"/>
        <w:gridCol w:w="75"/>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Shares subject to outstanding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11,034,325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7,595,187</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Shares subject to unvested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80,000</w:t>
            </w:r>
          </w:p>
        </w:tc>
        <w:tc>
          <w:tcPr>
            <w:tcW w:w="7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Shares subject to outstanding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11,034,400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7,675,262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15 — Commitments and Contingencies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Bud &amp; Mary’s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Bowdoin Construction Corp.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2026, the parties entered into a settlement agreement resolving all claims in the consolidated Bowdoin matter concerning the Company. The settlement amount of $1.15 million will be funded from the escrow litigation reserve described above. The settlement had no impact on the Company's financial statements.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McCutchan,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Subject to Contingent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agreements for MC Brands Transaction and VCP Transaction, Green Thumb or its affiliates may repurchase some or all of the MC Brands and/or VCP assets within five years of the respective transaction dates upon the occurrence of specified eligibility conditions, all of which are outside the control of both the Company and Green Thumb. The 2026 Appropriations Act includes an amendment to the definition of hemp under the 2018 Farm Bill that, if implemented as enacted, could materially restrict the commercialization of certain hemp-derived THC products beginning 365 days after enactment. If the amendment becomes effective in its current form and is not repealed, replaced, or otherwise modified prior to its effective date, one of the eligibility conditions under the MC Brands and VCP purchase agreements that could permit the repurchase right to become exercisable would be satisfied. However, the exercise of the repurchase option would remain solely within the discretion of Green Thumb or its affiliates. The full eligibility conditions are set forth in the purchase agreements for MC Brands Transaction and VCP Transaction filed on May 22, 2025 and August 27,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Some of the current and former officers and directors of the Company are involved in other business activities and may, in the future, become involved in other business opportunities that become available. Ben Kovler, the Company’s Chairman and Interim Chief Executive Officer also serves as Green Thumb’s Chairman and Chief Executive Officer. The Company’s Chief Financial Officer is a Green Thumb employee and provides services under a shared services agreement. Including Mr. Kovler, two of the Company’s seven directors are affiliated with Green Thumb. Green Thumb, through its subsidiaries, currently holds approximately 32% of our outstanding shares of Common Stock and beneficially owns 49.99% of our Common Stock, taking into account beneficial ownership limitations contained in the warrants and convertible notes held by subsidiaries of Green Thumb. Of the approximately 11.0 million warrants outstanding as of June 30, 2026, approximately 9.9 million are held by subsidiaries of Green Thumb, subject to 49.99% beneficial ownership limitations. Of the approximately 3.0 million shares or pre-funded warrants that would be issuable upon the conversion (excluding interest) of the Convertible Notes outstanding as of June 30, 2026, approximately 2.7 million are held by subsidiaries of Green Thumb, subject to 49.99% beneficial ownership limitations. The outstanding warrants are entitled to pro rata participation in dividends and other distributions to holders of Common Stock without regard to the beneficial ownership limitation. The Company filed with the SEC a proxy statement with respect to a special meeting of stockholders to be held on August 10, 2026 for a vote on the proposed issuance to RSLGH of Common Stock underlying certain convertible promissory notes, warrants and pursuant to shared services agreements, in accordance with Nasdaq Listing Rule 5635. If approved, the proposal would permit the conversion of the Convertible Notes, and full exercise of pre-funded warrants, irrespective of any ownership limitations contained in those instruments, including the 49.99% beneficial ownership limitations, to the extent those limitations are removed from the convertible notes and the pre-funded warrants pursuant to a future amendment. Additional details regarding the shared services arrangement, convertible notes, and intellectual property and licensing agreements are provided in the sections below.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net activity with entities identified as related parties to the Company:</w:t>
      </w:r>
    </w:p>
    <w:p>
      <w:pPr>
        <w:pStyle w:val="TextBody"/>
        <w:bidi w:val="0"/>
        <w:spacing w:before="0" w:after="0"/>
        <w:ind w:left="360" w:right="0" w:hanging="0"/>
        <w:jc w:val="left"/>
        <w:rPr>
          <w:caps w:val="false"/>
          <w:smallCaps w:val="false"/>
        </w:rPr>
      </w:pPr>
      <w:r>
        <w:rPr>
          <w:caps w:val="false"/>
          <w:smallCaps w:val="false"/>
        </w:rPr>
        <w:t> </w:t>
      </w:r>
    </w:p>
    <w:tbl>
      <w:tblPr>
        <w:tblW w:w="7074" w:type="dxa"/>
        <w:jc w:val="left"/>
        <w:tblInd w:w="0" w:type="dxa"/>
        <w:tblLayout w:type="fixed"/>
        <w:tblCellMar>
          <w:top w:w="0" w:type="dxa"/>
          <w:left w:w="0" w:type="dxa"/>
          <w:bottom w:w="0" w:type="dxa"/>
          <w:right w:w="0" w:type="dxa"/>
        </w:tblCellMar>
      </w:tblPr>
      <w:tblGrid>
        <w:gridCol w:w="2765"/>
        <w:gridCol w:w="60"/>
        <w:gridCol w:w="200"/>
        <w:gridCol w:w="803"/>
        <w:gridCol w:w="86"/>
        <w:gridCol w:w="86"/>
        <w:gridCol w:w="200"/>
        <w:gridCol w:w="803"/>
        <w:gridCol w:w="60"/>
        <w:gridCol w:w="60"/>
        <w:gridCol w:w="160"/>
        <w:gridCol w:w="779"/>
        <w:gridCol w:w="68"/>
        <w:gridCol w:w="68"/>
        <w:gridCol w:w="160"/>
        <w:gridCol w:w="641"/>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76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Green Thumb Industries Inc.</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9,920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03" w:type="dxa"/>
            <w:tcBorders/>
            <w:shd w:fill="CCEEFF" w:val="clear"/>
            <w:vAlign w:val="center"/>
          </w:tcPr>
          <w:p>
            <w:pPr>
              <w:pStyle w:val="TableContents"/>
              <w:bidi w:val="0"/>
              <w:spacing w:before="0" w:after="283"/>
              <w:jc w:val="right"/>
              <w:rPr/>
            </w:pPr>
            <w:r>
              <w:rPr/>
              <w:t>3,370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13,632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1" w:type="dxa"/>
            <w:tcBorders/>
            <w:shd w:fill="CCEEFF" w:val="clear"/>
            <w:vAlign w:val="center"/>
          </w:tcPr>
          <w:p>
            <w:pPr>
              <w:pStyle w:val="TableContents"/>
              <w:bidi w:val="0"/>
              <w:spacing w:before="0" w:after="283"/>
              <w:jc w:val="right"/>
              <w:rPr/>
            </w:pPr>
            <w:r>
              <w:rPr/>
              <w:t>4,926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net activity of $9.9 million during the three months ended June 30, 2026 consists of $3.6 million of support services performed by Green Thumb on behalf of the Company, $1.8 million interest charges for the Convertible Notes, and $2.2 million non-licensing chargeback expense, offset by $17.5 million Licensing Revenue from Green Thumb. The $2.2 million of non-licensing chargeback expense represents a net amount and includes a $407 thousand inventory purchase from Green Thumb.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net activity of $13.6 million during the six months ended June 30, 2026 consists of $6.7 million of support services performed by Green Thumb on behalf of the Company, $3.6 million interest charges for the Convertible Notes, and $3.5 million non-licensing chargeback expense, offset by $27.5 million Licensing Revenue from Green Thumb.   The $3.5 million of non-licensing chargeback expense represents a net amount and includes a $609 thousand inventory purchase from Green Thumb.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Licensing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2025, and August 27, 2025, the Company acquired intellectual property rights to the Brand Rights, as part of the related party acquisition of MC Brands and VCP, respectively. In connection with the acquisitions, the Company also licensed the Brand Rights back to a Green Thumb affiliate under license arrangements and recognized related party Licensing Revenue. On March 31, 2026, the Company amended these licensing agreements to replace sales-based royalty consideration with fixed annual fees, effective April 1, 2026. For further discussion on the acquisition and Licensing Revenue, refer to Note 2 and Note 8 included elsewhere in the notes to the unaudited condensed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22, 2025, the Company issued a May 2025 Note with an original principal amount of $27.0 million to RSLGH. On August 25, 2025, the Company issued an August 2025 Note with an original principal amount of $45.0 million to RSLGH. For further discussion on these notes, refer to Note 9 included elsewhere in the notes to the unaudited condensed consolidated financial statements.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Support Services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20, 2025, the Company entered into an Amended and Restated Shared Services Agreement (the “Services Agreement”) with Vision Management Services, LLC (“VMS”), an indirect wholly-owned subsidiary of Green Thumb, a related party. Under the Services Agreement, VMS will provide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one-year term of the Services Agreement may not exceed $3.0 million unless the parties otherwise agree in writing.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21, 2025, the Company entered into a Shared Services Agreement (the “CFO Services Agreement”) with VMS, pursuant to which Brad Asher provides his services as Chief Financial Officer. As consideration for those services, the Company pays VMS a monthly fee based on its direct costs in providing such services, with a maximum of $72,552 per month. The CFO Services Agreement has a term of one year, is terminable by either party on 90 days’ notice for any or no reason, and will automatically renew for successive one-year terms unless terminated by either party at least thirty days prior to the end of the applicable term. As a result of the services provided under the Services Agreement and the CFO Services Agreement, the Company does not have any direct employees other than its Interim Chief Executive Officer.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of Operating income from continuing operations of the Company. This profit measure is presented in the Condensed Consolidated Statements of Operations and the disaggregation of sales from hemp-derived THC products (non-licensing) and Licensing Revenue is presented in Note 2 – Revenue. There are no significant expenses associated with the Licensing Revenue and the CODM does not review expense allocations, amortization expense or specific assets when reviewing Licensing Revenue.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unaudited condensed consolidated financial statements were issued and concluded that there were no subsequent events that required recognition or disclosure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Quarterly Report is intended to update the information contained in our Annual Report on Form 10-K for the year ended December 31, 2025 filed with the Securities And Exchange Commission (the “SEC”) on March 3, 2026 (the “Form 10-K”) and presumes that readers have access to, and will have read, the “Management’s Discussion and Analysis of Financial Condition and Results of Operations” and other information contained in the Form 10-K. The following discussion and analysis also should be read together with our financial statements and the notes to the financial statements included elsewhere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contains certain statements that may be deemed “forward-looking statements” within the meaning of the Private Securities Litigation Reform Act of 1995. Such statements appear in a number of places in this Quarterly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the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The following should also be read in conjunction with the unaudited financial statements and notes thereto that appear elsewhere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stated or the context otherwise requires, references in this report to “RYTHM”, the “Company,” “we,” “us,” “our,” or similar references mean RYTHM, Inc. and its subsidiaries on a consolidated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 delivers well-being to consumers through its portfolio of hemp-derived THC products and iconic licensed brands. The Company’s portfolio of consumer-packaged goods brands includes RYTHM, incredibles, Dogwalkers, Beboe, &amp;Shine, Doctor Solomon’s, Good Green and Señorita. Our Señorita brand offers consumers hemp-derived tetrahydrocannabinol (“THC”) beverages and are sold at top retailers, online and through direct-to-retail partnerships. The Señorita brand mirrors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eighteen U.S. states and Canada including at top retailers such as Total Wine, ABC Fine Wine &amp; Spirits, and Binny’s. The RYTHM branded beverage comes in two fruit-driven flavors with effect-based ingredients. Both Señorita and RYTHM hemp-derived beverages are available at Chicago’s iconic United Center, based on a partnership announced in January 2026, establishing RYTHM as the venue’s official THC sponsor. Other hemp-derived products including incredibles and Beboe edible products are primarily sold online and through direct-to-retail partnerships. In addition to the sale of hemp-derived products (“Non-licensing Revenue”), we license our brands to be manufactured and distributed in exchange for a licensing fee (“Licensing Revenue”).</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historically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 (the “Cultivation Business”). As the discontinuation of the Extraction Business and the sale of the Cultivation Business represented strategic shifts that had a major effect on our operations and financial results, they have been presented in discontinued operations separate from continuing operations for the three and six months ended June 30, 2026 and 2025 in our condensed consolidated statements of operations and as of June 30, 2026 and December 31, 2025 in our condensed consolidated balance sheets and applicable footnotes in accordance with Accounting Standards Codification (“ASC”) 205, </w:t>
      </w:r>
      <w:r>
        <w:rPr>
          <w:rFonts w:ascii="Times New Roman;Times;Serif" w:hAnsi="Times New Roman;Times;Serif"/>
          <w:b w:val="false"/>
          <w:i/>
          <w:caps w:val="false"/>
          <w:smallCaps w:val="false"/>
          <w:sz w:val="20"/>
        </w:rPr>
        <w:t>Presentation of Financial Statements</w:t>
      </w:r>
      <w:r>
        <w:rPr>
          <w:rFonts w:ascii="Times New Roman;Times;Serif" w:hAnsi="Times New Roman;Times;Serif"/>
          <w:b w:val="false"/>
          <w:i w:val="false"/>
          <w:caps w:val="false"/>
          <w:smallCaps w:val="false"/>
          <w:sz w:val="20"/>
        </w:rPr>
        <w:t>. Please refer to Item 1 and the notes to the unaudited condensed consolidated financial statements for details on recent developments and significant transactions during the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Significant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recoverability of goodwill, intangible assets, and other assets (prepaid licensing rights),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 Refer to Note 1 included elsewhere in the notes to the unaudited condensed consolidated financial statements, for further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recurring net losses and have incurred losses to date, except for the three and six months ended June 30, 2026, during which we recognized net income primarily as a result of a non-cash income tax benefit. Our unaudited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Refer to information provided under the heading “Liquidity and Capital Resources” below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continuing operations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1"/>
        <w:gridCol w:w="60"/>
        <w:gridCol w:w="140"/>
        <w:gridCol w:w="980"/>
        <w:gridCol w:w="95"/>
        <w:gridCol w:w="60"/>
        <w:gridCol w:w="140"/>
        <w:gridCol w:w="980"/>
        <w:gridCol w:w="95"/>
        <w:gridCol w:w="60"/>
        <w:gridCol w:w="140"/>
        <w:gridCol w:w="980"/>
        <w:gridCol w:w="95"/>
        <w:gridCol w:w="60"/>
        <w:gridCol w:w="140"/>
        <w:gridCol w:w="980"/>
        <w:gridCol w:w="99"/>
      </w:tblGrid>
      <w:tr>
        <w:trPr/>
        <w:tc>
          <w:tcPr>
            <w:tcW w:w="510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99" w:type="dxa"/>
            <w:tcBorders/>
            <w:vAlign w:val="center"/>
          </w:tcPr>
          <w:p>
            <w:pPr>
              <w:pStyle w:val="TableContents"/>
              <w:bidi w:val="0"/>
              <w:spacing w:before="0" w:after="283"/>
              <w:ind w:left="0" w:right="0" w:hanging="180"/>
              <w:jc w:val="left"/>
              <w:rPr/>
            </w:pPr>
            <w:r>
              <w:rPr/>
              <w:t> </w:t>
            </w:r>
          </w:p>
        </w:tc>
      </w:tr>
      <w:tr>
        <w:trPr/>
        <w:tc>
          <w:tcPr>
            <w:tcW w:w="5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2,580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1,808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772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31,031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11,271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11,271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b/>
              </w:rPr>
            </w:pPr>
            <w:r>
              <w:rPr>
                <w:b/>
              </w:rPr>
              <w:t>Operating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(10,499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 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(Loss) gain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292</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(10,479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Income (loss) from continuing operations, net of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(10,479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(2,041</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(Loss) gain on disposal of Extraction business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3,534</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101" w:type="dxa"/>
            <w:tcBorders/>
            <w:shd w:fill="CCEEFF" w:val="clear"/>
            <w:vAlign w:val="center"/>
          </w:tcPr>
          <w:p>
            <w:pPr>
              <w:pStyle w:val="TableContents"/>
              <w:bidi w:val="0"/>
              <w:spacing w:before="0" w:after="283"/>
              <w:jc w:val="left"/>
              <w:rPr/>
            </w:pPr>
            <w:r>
              <w:rPr/>
              <w:t>Loss (income) from discontinued operations, net of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1,493</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(7,360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21,106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(8,986</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Net income (loss) per share attributable to Common Stockholders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101" w:type="dxa"/>
            <w:tcBorders/>
            <w:shd w:fill="FFFFFF" w:val="clear"/>
            <w:vAlign w:val="center"/>
          </w:tcPr>
          <w:p>
            <w:pPr>
              <w:pStyle w:val="TableContents"/>
              <w:bidi w:val="0"/>
              <w:spacing w:before="0" w:after="283"/>
              <w:jc w:val="left"/>
              <w:rPr/>
            </w:pPr>
            <w:r>
              <w:rPr/>
              <w:t>Net income (loss) per share attributable to Common Stockholders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(4.59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101" w:type="dxa"/>
            <w:tcBorders/>
            <w:shd w:fill="CCEEFF" w:val="clear"/>
            <w:vAlign w:val="center"/>
          </w:tcPr>
          <w:p>
            <w:pPr>
              <w:pStyle w:val="TableContents"/>
              <w:bidi w:val="0"/>
              <w:spacing w:before="0" w:after="283"/>
              <w:jc w:val="left"/>
              <w:rPr/>
            </w:pPr>
            <w:r>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2,155,721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1,965,425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2,152,443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1,958,724</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101" w:type="dxa"/>
            <w:tcBorders/>
            <w:shd w:fill="FFFFFF" w:val="clear"/>
            <w:vAlign w:val="center"/>
          </w:tcPr>
          <w:p>
            <w:pPr>
              <w:pStyle w:val="TableContents"/>
              <w:bidi w:val="0"/>
              <w:spacing w:before="0" w:after="283"/>
              <w:jc w:val="left"/>
              <w:rPr/>
            </w:pPr>
            <w:r>
              <w:rPr/>
              <w:t>Weighted average common shares outstanding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2,283,971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1,965,425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5,252,126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1,958,724</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$17.7 million and $27.7 million for the three and six months ended June 30, 2026, and $264 thousand and $265 thousand for the three and six months ended June 30, 2025, in each case from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$5.9 million and $10.2 million for the three and six months ended June 30, 2026, and $2.8 million and $4.2 million for the three and six months ended June 30, 2025, in each case from related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$1.8 million and $3.6 million of interest expense for the three and six months ended June 30, 2026, and $548 thousand and $798 thousand for the three and six months ended June 30, 2025, in each case from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sales of hemp-derived THC products (non-licensing) and related party Licensing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our revenue from continuing operations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9"/>
        <w:gridCol w:w="60"/>
        <w:gridCol w:w="169"/>
        <w:gridCol w:w="823"/>
        <w:gridCol w:w="72"/>
        <w:gridCol w:w="72"/>
        <w:gridCol w:w="169"/>
        <w:gridCol w:w="678"/>
        <w:gridCol w:w="60"/>
        <w:gridCol w:w="60"/>
        <w:gridCol w:w="140"/>
        <w:gridCol w:w="680"/>
        <w:gridCol w:w="60"/>
        <w:gridCol w:w="60"/>
        <w:gridCol w:w="87"/>
        <w:gridCol w:w="728"/>
        <w:gridCol w:w="215"/>
        <w:gridCol w:w="60"/>
        <w:gridCol w:w="149"/>
        <w:gridCol w:w="727"/>
        <w:gridCol w:w="63"/>
        <w:gridCol w:w="63"/>
        <w:gridCol w:w="149"/>
        <w:gridCol w:w="599"/>
        <w:gridCol w:w="60"/>
        <w:gridCol w:w="60"/>
        <w:gridCol w:w="140"/>
        <w:gridCol w:w="680"/>
        <w:gridCol w:w="60"/>
        <w:gridCol w:w="60"/>
        <w:gridCol w:w="71"/>
        <w:gridCol w:w="744"/>
        <w:gridCol w:w="438"/>
      </w:tblGrid>
      <w:tr>
        <w:trPr/>
        <w:tc>
          <w:tcPr>
            <w:tcW w:w="19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438" w:type="dxa"/>
            <w:tcBorders/>
            <w:vAlign w:val="center"/>
          </w:tcPr>
          <w:p>
            <w:pPr>
              <w:pStyle w:val="TableContents"/>
              <w:bidi w:val="0"/>
              <w:spacing w:before="0" w:after="283"/>
              <w:jc w:val="left"/>
              <w:rPr/>
            </w:pPr>
            <w:r>
              <w:rPr/>
              <w:t> </w:t>
            </w:r>
          </w:p>
        </w:tc>
      </w:tr>
      <w:tr>
        <w:trPr/>
        <w:tc>
          <w:tcPr>
            <w:tcW w:w="1949"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438" w:type="dxa"/>
            <w:tcBorders/>
            <w:vAlign w:val="center"/>
          </w:tcPr>
          <w:p>
            <w:pPr>
              <w:pStyle w:val="TableContents"/>
              <w:bidi w:val="0"/>
              <w:spacing w:before="0" w:after="283"/>
              <w:jc w:val="left"/>
              <w:rPr/>
            </w:pPr>
            <w:r>
              <w:rPr/>
              <w:t> </w:t>
            </w:r>
          </w:p>
        </w:tc>
      </w:tr>
      <w:tr>
        <w:trPr/>
        <w:tc>
          <w:tcPr>
            <w:tcW w:w="1949" w:type="dxa"/>
            <w:tcBorders/>
            <w:shd w:fill="CCEEFF" w:val="clear"/>
            <w:vAlign w:val="center"/>
          </w:tcPr>
          <w:p>
            <w:pPr>
              <w:pStyle w:val="TableContents"/>
              <w:bidi w:val="0"/>
              <w:spacing w:before="0" w:after="283"/>
              <w:jc w:val="left"/>
              <w:rPr/>
            </w:pPr>
            <w:r>
              <w:rPr/>
              <w:t>Non-licensing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5,521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8" w:type="dxa"/>
            <w:tcBorders/>
            <w:shd w:fill="CCEEFF" w:val="clear"/>
            <w:vAlign w:val="center"/>
          </w:tcPr>
          <w:p>
            <w:pPr>
              <w:pStyle w:val="TableContents"/>
              <w:bidi w:val="0"/>
              <w:spacing w:before="0" w:after="283"/>
              <w:jc w:val="right"/>
              <w:rPr/>
            </w:pPr>
            <w:r>
              <w:rPr/>
              <w:t>1,794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208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8,832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279</w:t>
            </w:r>
          </w:p>
        </w:tc>
        <w:tc>
          <w:tcPr>
            <w:tcW w:w="438" w:type="dxa"/>
            <w:tcBorders/>
            <w:shd w:fill="CCEEFF" w:val="clear"/>
            <w:vAlign w:val="center"/>
          </w:tcPr>
          <w:p>
            <w:pPr>
              <w:pStyle w:val="TableContents"/>
              <w:bidi w:val="0"/>
              <w:spacing w:before="0" w:after="283"/>
              <w:jc w:val="left"/>
              <w:rPr/>
            </w:pPr>
            <w:r>
              <w:rPr/>
              <w:t>%</w:t>
            </w:r>
          </w:p>
        </w:tc>
      </w:tr>
      <w:tr>
        <w:trPr/>
        <w:tc>
          <w:tcPr>
            <w:tcW w:w="1949" w:type="dxa"/>
            <w:tcBorders/>
            <w:shd w:fill="FFFFFF" w:val="clear"/>
            <w:vAlign w:val="center"/>
          </w:tcPr>
          <w:p>
            <w:pPr>
              <w:pStyle w:val="TableContents"/>
              <w:bidi w:val="0"/>
              <w:spacing w:before="0" w:after="283"/>
              <w:jc w:val="left"/>
              <w:rPr/>
            </w:pPr>
            <w:r>
              <w:rPr/>
              <w:t>Licensing Revenue</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shd w:fill="FFFFFF" w:val="clear"/>
            <w:tcMar>
              <w:bottom w:w="28" w:type="dxa"/>
            </w:tcMar>
            <w:vAlign w:val="center"/>
          </w:tcPr>
          <w:p>
            <w:pPr>
              <w:pStyle w:val="TableContents"/>
              <w:bidi w:val="0"/>
              <w:spacing w:before="0" w:after="283"/>
              <w:jc w:val="right"/>
              <w:rPr/>
            </w:pPr>
            <w:r>
              <w:rPr/>
              <w:t>17,500</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78"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17,252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FFFFFF" w:val="clear"/>
            <w:tcMar>
              <w:bottom w:w="28" w:type="dxa"/>
            </w:tcMar>
            <w:vAlign w:val="center"/>
          </w:tcPr>
          <w:p>
            <w:pPr>
              <w:pStyle w:val="TableContents"/>
              <w:bidi w:val="0"/>
              <w:spacing w:before="0" w:after="283"/>
              <w:jc w:val="right"/>
              <w:rPr/>
            </w:pPr>
            <w:r>
              <w:rPr/>
              <w:t>6956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27" w:type="dxa"/>
            <w:tcBorders>
              <w:bottom w:val="single" w:sz="12" w:space="0" w:color="000000"/>
            </w:tcBorders>
            <w:shd w:fill="FFFFFF" w:val="clear"/>
            <w:tcMar>
              <w:bottom w:w="28" w:type="dxa"/>
            </w:tcMar>
            <w:vAlign w:val="center"/>
          </w:tcPr>
          <w:p>
            <w:pPr>
              <w:pStyle w:val="TableContents"/>
              <w:bidi w:val="0"/>
              <w:spacing w:before="0" w:after="283"/>
              <w:jc w:val="right"/>
              <w:rPr/>
            </w:pPr>
            <w:r>
              <w:rPr/>
              <w:t>27,475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pPr>
            <w:r>
              <w:rPr/>
              <w:t>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27,227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10979</w:t>
            </w:r>
          </w:p>
        </w:tc>
        <w:tc>
          <w:tcPr>
            <w:tcW w:w="438" w:type="dxa"/>
            <w:tcBorders/>
            <w:shd w:fill="FFFFFF" w:val="clear"/>
            <w:vAlign w:val="center"/>
          </w:tcPr>
          <w:p>
            <w:pPr>
              <w:pStyle w:val="TableContents"/>
              <w:bidi w:val="0"/>
              <w:spacing w:before="0" w:after="283"/>
              <w:ind w:left="0" w:right="0" w:firstLine="200"/>
              <w:jc w:val="left"/>
              <w:rPr/>
            </w:pPr>
            <w:r>
              <w:rPr/>
              <w:t>%</w:t>
            </w:r>
          </w:p>
        </w:tc>
      </w:tr>
      <w:tr>
        <w:trPr/>
        <w:tc>
          <w:tcPr>
            <w:tcW w:w="1949"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10" w:space="0" w:color="000000"/>
            </w:tcBorders>
            <w:shd w:fill="CCEEFF" w:val="clear"/>
            <w:tcMar>
              <w:bottom w:w="28" w:type="dxa"/>
            </w:tcMar>
            <w:vAlign w:val="center"/>
          </w:tcPr>
          <w:p>
            <w:pPr>
              <w:pStyle w:val="TableContents"/>
              <w:bidi w:val="0"/>
              <w:spacing w:before="0" w:after="283"/>
              <w:jc w:val="right"/>
              <w:rPr/>
            </w:pPr>
            <w:r>
              <w:rPr/>
              <w:t>23,021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8" w:type="dxa"/>
            <w:tcBorders>
              <w:bottom w:val="double" w:sz="10" w:space="0" w:color="000000"/>
            </w:tcBorders>
            <w:shd w:fill="CCEEFF" w:val="clear"/>
            <w:tcMar>
              <w:bottom w:w="28" w:type="dxa"/>
            </w:tcMar>
            <w:vAlign w:val="center"/>
          </w:tcPr>
          <w:p>
            <w:pPr>
              <w:pStyle w:val="TableContents"/>
              <w:bidi w:val="0"/>
              <w:spacing w:before="0" w:after="283"/>
              <w:jc w:val="right"/>
              <w:rPr/>
            </w:pPr>
            <w:r>
              <w:rPr/>
              <w:t>2,042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20,979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double" w:sz="10" w:space="0" w:color="000000"/>
            </w:tcBorders>
            <w:shd w:fill="CCEEFF" w:val="clear"/>
            <w:tcMar>
              <w:bottom w:w="28" w:type="dxa"/>
            </w:tcMar>
            <w:vAlign w:val="center"/>
          </w:tcPr>
          <w:p>
            <w:pPr>
              <w:pStyle w:val="TableContents"/>
              <w:bidi w:val="0"/>
              <w:spacing w:before="0" w:after="283"/>
              <w:jc w:val="right"/>
              <w:rPr/>
            </w:pPr>
            <w:r>
              <w:rPr/>
              <w:t>1027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7" w:type="dxa"/>
            <w:tcBorders>
              <w:bottom w:val="double" w:sz="10" w:space="0" w:color="000000"/>
            </w:tcBorders>
            <w:shd w:fill="CCEEFF" w:val="clear"/>
            <w:tcMar>
              <w:bottom w:w="28" w:type="dxa"/>
            </w:tcMar>
            <w:vAlign w:val="center"/>
          </w:tcPr>
          <w:p>
            <w:pPr>
              <w:pStyle w:val="TableContents"/>
              <w:bidi w:val="0"/>
              <w:spacing w:before="0" w:after="283"/>
              <w:jc w:val="right"/>
              <w:rPr/>
            </w:pPr>
            <w:r>
              <w:rPr/>
              <w:t>36,307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right"/>
              <w:rPr/>
            </w:pPr>
            <w:r>
              <w:rPr/>
              <w:t>2,580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33,727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1307</w:t>
            </w:r>
          </w:p>
        </w:tc>
        <w:tc>
          <w:tcPr>
            <w:tcW w:w="43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$21 million for the three months ended June 30, 2026, as compared to the same period in 2025. The comparative increase in revenue was primarily driven by the commencement of Licensing Revenue arrangements in May and August 2025 and subsequent amendment to a fixed annual structure, as well as the $3.7 million increase in Non-Licensing Revenue. Of the revenue recognized for the three months ended June 30, 2026, $17.7 million was attributable to related parties, as compared to $264 thousand for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$33.7 million for the six months ended June 30, 2026, as compared to the same period in 2025. The comparative increase in revenue was primarily driven by the commencement of Licensing Revenue arrangements in May and August 2025 and subsequent amendment to a fixed annual structure, as well as the $6.5 million increase in Non-Licensing Revenue. Of the revenue recognized for the six months ended June 30, 2026, $27.7 million was attributable to related parties, as compared to $265 thousand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represents costs associated with Non-licensing Revenue.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cost of goods sold from continuing operations for the three and six months ended June 30, 2026 and 2025, all of which relates to Non-Licensing Revenue:</w:t>
      </w:r>
    </w:p>
    <w:p>
      <w:pPr>
        <w:pStyle w:val="TextBody"/>
        <w:bidi w:val="0"/>
        <w:spacing w:before="0" w:after="0"/>
        <w:ind w:left="0" w:right="0" w:hanging="0"/>
        <w:jc w:val="both"/>
        <w:rPr>
          <w:caps w:val="false"/>
          <w:smallCaps w:val="false"/>
        </w:rPr>
      </w:pPr>
      <w:r>
        <w:rPr>
          <w:caps w:val="false"/>
          <w:smallCaps w:val="false"/>
        </w:rPr>
        <w:t> </w:t>
      </w:r>
    </w:p>
    <w:tbl>
      <w:tblPr>
        <w:tblW w:w="10044" w:type="dxa"/>
        <w:jc w:val="left"/>
        <w:tblInd w:w="0" w:type="dxa"/>
        <w:tblLayout w:type="fixed"/>
        <w:tblCellMar>
          <w:top w:w="0" w:type="dxa"/>
          <w:left w:w="0" w:type="dxa"/>
          <w:bottom w:w="0" w:type="dxa"/>
          <w:right w:w="0" w:type="dxa"/>
        </w:tblCellMar>
      </w:tblPr>
      <w:tblGrid>
        <w:gridCol w:w="1805"/>
        <w:gridCol w:w="60"/>
        <w:gridCol w:w="195"/>
        <w:gridCol w:w="781"/>
        <w:gridCol w:w="83"/>
        <w:gridCol w:w="83"/>
        <w:gridCol w:w="195"/>
        <w:gridCol w:w="781"/>
        <w:gridCol w:w="60"/>
        <w:gridCol w:w="60"/>
        <w:gridCol w:w="163"/>
        <w:gridCol w:w="652"/>
        <w:gridCol w:w="60"/>
        <w:gridCol w:w="60"/>
        <w:gridCol w:w="111"/>
        <w:gridCol w:w="704"/>
        <w:gridCol w:w="215"/>
        <w:gridCol w:w="60"/>
        <w:gridCol w:w="167"/>
        <w:gridCol w:w="670"/>
        <w:gridCol w:w="71"/>
        <w:gridCol w:w="71"/>
        <w:gridCol w:w="167"/>
        <w:gridCol w:w="670"/>
        <w:gridCol w:w="60"/>
        <w:gridCol w:w="60"/>
        <w:gridCol w:w="163"/>
        <w:gridCol w:w="652"/>
        <w:gridCol w:w="60"/>
        <w:gridCol w:w="60"/>
        <w:gridCol w:w="111"/>
        <w:gridCol w:w="704"/>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80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Cost of goods sold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4,485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7,374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5,566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308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$3.1 million for the three months ended June 30, 2026 compared to the same period in 2025. The comparative increase in cost of goods sold was driven by the increased sales of Non-licensing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$5.6 million for the six months ended June 30, 2026 compared to the same period in 2025. The increase was primarily driven by increased Non-licensing Revenue during the period, which resulted in higher product costs, freight, fulfillment, and related distribution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tbl>
      <w:tblPr>
        <w:tblW w:w="9816" w:type="dxa"/>
        <w:jc w:val="left"/>
        <w:tblInd w:w="0" w:type="dxa"/>
        <w:tblLayout w:type="fixed"/>
        <w:tblCellMar>
          <w:top w:w="0" w:type="dxa"/>
          <w:left w:w="0" w:type="dxa"/>
          <w:bottom w:w="0" w:type="dxa"/>
          <w:right w:w="0" w:type="dxa"/>
        </w:tblCellMar>
      </w:tblPr>
      <w:tblGrid>
        <w:gridCol w:w="1505"/>
        <w:gridCol w:w="60"/>
        <w:gridCol w:w="203"/>
        <w:gridCol w:w="987"/>
        <w:gridCol w:w="87"/>
        <w:gridCol w:w="87"/>
        <w:gridCol w:w="203"/>
        <w:gridCol w:w="551"/>
        <w:gridCol w:w="60"/>
        <w:gridCol w:w="60"/>
        <w:gridCol w:w="140"/>
        <w:gridCol w:w="680"/>
        <w:gridCol w:w="60"/>
        <w:gridCol w:w="60"/>
        <w:gridCol w:w="87"/>
        <w:gridCol w:w="728"/>
        <w:gridCol w:w="215"/>
        <w:gridCol w:w="60"/>
        <w:gridCol w:w="180"/>
        <w:gridCol w:w="875"/>
        <w:gridCol w:w="77"/>
        <w:gridCol w:w="77"/>
        <w:gridCol w:w="180"/>
        <w:gridCol w:w="489"/>
        <w:gridCol w:w="60"/>
        <w:gridCol w:w="60"/>
        <w:gridCol w:w="140"/>
        <w:gridCol w:w="680"/>
        <w:gridCol w:w="60"/>
        <w:gridCol w:w="60"/>
        <w:gridCol w:w="87"/>
        <w:gridCol w:w="728"/>
        <w:gridCol w:w="230"/>
      </w:tblGrid>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150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18,536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1" w:type="dxa"/>
            <w:tcBorders/>
            <w:shd w:fill="CCEEFF" w:val="clear"/>
            <w:vAlign w:val="center"/>
          </w:tcPr>
          <w:p>
            <w:pPr>
              <w:pStyle w:val="TableContents"/>
              <w:bidi w:val="0"/>
              <w:spacing w:before="0" w:after="283"/>
              <w:jc w:val="right"/>
              <w:rPr/>
            </w:pPr>
            <w:r>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2618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28,933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489" w:type="dxa"/>
            <w:tcBorders/>
            <w:shd w:fill="CCEEFF" w:val="clear"/>
            <w:vAlign w:val="center"/>
          </w:tcPr>
          <w:p>
            <w:pPr>
              <w:pStyle w:val="TableContents"/>
              <w:bidi w:val="0"/>
              <w:spacing w:before="0" w:after="283"/>
              <w:jc w:val="right"/>
              <w:rPr/>
            </w:pPr>
            <w:r>
              <w:rPr/>
              <w:t>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3648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totaled $18.5 million, or 80.5% of total revenue during the three months ended June 30, 2026, compared to a gross profit of $682 thousand, or 33.4% of total revenue during the three months ended June 30, 2025. The comparative $17.9 million increase in gross profit is primarily due to the commencement of second Licensing Revenue arrangement in August 2025, as well as increased Non-licensing Revenue during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totaled $28.9 million, or 79.7% of total revenue during the six months ended June 30, 2026, compared to a gross profit of $772 thousand, or 29.9% of total revenue during the six months ended June 30, 2025. The comparative $28.2 million increase in gross profit was primarily driven by the commencement of second Licensing Revenue arrangement in August 2025, as well as increased Non-licensing Revenue during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7"/>
        <w:gridCol w:w="60"/>
        <w:gridCol w:w="158"/>
        <w:gridCol w:w="769"/>
        <w:gridCol w:w="67"/>
        <w:gridCol w:w="67"/>
        <w:gridCol w:w="158"/>
        <w:gridCol w:w="633"/>
        <w:gridCol w:w="60"/>
        <w:gridCol w:w="60"/>
        <w:gridCol w:w="163"/>
        <w:gridCol w:w="652"/>
        <w:gridCol w:w="60"/>
        <w:gridCol w:w="60"/>
        <w:gridCol w:w="111"/>
        <w:gridCol w:w="704"/>
        <w:gridCol w:w="215"/>
        <w:gridCol w:w="60"/>
        <w:gridCol w:w="144"/>
        <w:gridCol w:w="700"/>
        <w:gridCol w:w="61"/>
        <w:gridCol w:w="61"/>
        <w:gridCol w:w="144"/>
        <w:gridCol w:w="700"/>
        <w:gridCol w:w="60"/>
        <w:gridCol w:w="60"/>
        <w:gridCol w:w="140"/>
        <w:gridCol w:w="680"/>
        <w:gridCol w:w="60"/>
        <w:gridCol w:w="60"/>
        <w:gridCol w:w="111"/>
        <w:gridCol w:w="704"/>
        <w:gridCol w:w="236"/>
      </w:tblGrid>
      <w:tr>
        <w:trPr/>
        <w:tc>
          <w:tcPr>
            <w:tcW w:w="2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36" w:type="dxa"/>
            <w:tcBorders/>
            <w:vAlign w:val="center"/>
          </w:tcPr>
          <w:p>
            <w:pPr>
              <w:pStyle w:val="TableContents"/>
              <w:bidi w:val="0"/>
              <w:spacing w:before="0" w:after="283"/>
              <w:jc w:val="left"/>
              <w:rPr/>
            </w:pPr>
            <w:r>
              <w:rPr/>
              <w:t> </w:t>
            </w:r>
          </w:p>
        </w:tc>
      </w:tr>
      <w:tr>
        <w:trPr/>
        <w:tc>
          <w:tcPr>
            <w:tcW w:w="2227"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6" w:type="dxa"/>
            <w:tcBorders/>
            <w:vAlign w:val="center"/>
          </w:tcPr>
          <w:p>
            <w:pPr>
              <w:pStyle w:val="TableContents"/>
              <w:bidi w:val="0"/>
              <w:spacing w:before="0" w:after="283"/>
              <w:jc w:val="left"/>
              <w:rPr/>
            </w:pPr>
            <w:r>
              <w:rPr/>
              <w:t> </w:t>
            </w:r>
          </w:p>
        </w:tc>
      </w:tr>
      <w:tr>
        <w:trPr/>
        <w:tc>
          <w:tcPr>
            <w:tcW w:w="2227"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69" w:type="dxa"/>
            <w:tcBorders/>
            <w:shd w:fill="CCEEFF" w:val="clear"/>
            <w:vAlign w:val="center"/>
          </w:tcPr>
          <w:p>
            <w:pPr>
              <w:pStyle w:val="TableContents"/>
              <w:bidi w:val="0"/>
              <w:spacing w:before="0" w:after="283"/>
              <w:jc w:val="right"/>
              <w:rPr/>
            </w:pPr>
            <w:r>
              <w:rPr/>
              <w:t>16,600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9,120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31,031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11,271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175</w:t>
            </w:r>
          </w:p>
        </w:tc>
        <w:tc>
          <w:tcPr>
            <w:tcW w:w="23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(“SG&amp;A”) expenses consist principally of marketing costs and support services performed by Vision Management Services, LLC, a subsidiary of Green Thumb Industries Inc, a related party (“Green Thumb”), pursuant to two shared services agreements, as well as stock-based compensation and travel expenses associated with executive and other administrative functions. Other SG&amp;A expenses include, but are not limited to, professional fees for legal and accounting services and amortization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 increased by $9.1 million, or 122%, for the three months ended June 30, 2026, compared to the same period in 2025. The comparative change was primarily due to higher marketing, brand, trade, and promotional spend to support growth in hemp-derived THC product sales. The increase was also driven by higher consulting, outsourced services, and shared service costs, in addition to the reclassification of SG&amp;A expense from the Cultivation and Extraction business from continuing operations to discontinued operations in the 2025 comparative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 increased by $19.8 million, or 175%, for the six months ended June 30, 2026, compared to the same period in 2025. The comparative change is primarily attributable to marketing and consulting costs to support the growth of the hemp-derived THC products sales in addition to the reclassification of SG&amp;A expense from the Cultivation and Extraction business from continuing operations to discontinued operations in the 2025 comparative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3"/>
        <w:gridCol w:w="60"/>
        <w:gridCol w:w="158"/>
        <w:gridCol w:w="719"/>
        <w:gridCol w:w="107"/>
        <w:gridCol w:w="67"/>
        <w:gridCol w:w="158"/>
        <w:gridCol w:w="515"/>
        <w:gridCol w:w="95"/>
        <w:gridCol w:w="60"/>
        <w:gridCol w:w="147"/>
        <w:gridCol w:w="668"/>
        <w:gridCol w:w="95"/>
        <w:gridCol w:w="60"/>
        <w:gridCol w:w="94"/>
        <w:gridCol w:w="721"/>
        <w:gridCol w:w="240"/>
        <w:gridCol w:w="60"/>
        <w:gridCol w:w="149"/>
        <w:gridCol w:w="676"/>
        <w:gridCol w:w="101"/>
        <w:gridCol w:w="63"/>
        <w:gridCol w:w="149"/>
        <w:gridCol w:w="485"/>
        <w:gridCol w:w="95"/>
        <w:gridCol w:w="60"/>
        <w:gridCol w:w="147"/>
        <w:gridCol w:w="668"/>
        <w:gridCol w:w="95"/>
        <w:gridCol w:w="60"/>
        <w:gridCol w:w="64"/>
        <w:gridCol w:w="751"/>
        <w:gridCol w:w="465"/>
      </w:tblGrid>
      <w:tr>
        <w:trPr/>
        <w:tc>
          <w:tcPr>
            <w:tcW w:w="21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w:t>
            </w:r>
          </w:p>
        </w:tc>
        <w:tc>
          <w:tcPr>
            <w:tcW w:w="465" w:type="dxa"/>
            <w:tcBorders/>
            <w:vAlign w:val="center"/>
          </w:tcPr>
          <w:p>
            <w:pPr>
              <w:pStyle w:val="TableContents"/>
              <w:bidi w:val="0"/>
              <w:spacing w:before="0" w:after="283"/>
              <w:jc w:val="left"/>
              <w:rPr/>
            </w:pPr>
            <w:r>
              <w:rPr/>
              <w:t> </w:t>
            </w:r>
          </w:p>
        </w:tc>
      </w:tr>
      <w:tr>
        <w:trPr/>
        <w:tc>
          <w:tcPr>
            <w:tcW w:w="2153"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8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465" w:type="dxa"/>
            <w:tcBorders/>
            <w:vAlign w:val="center"/>
          </w:tcPr>
          <w:p>
            <w:pPr>
              <w:pStyle w:val="TableContents"/>
              <w:bidi w:val="0"/>
              <w:spacing w:before="0" w:after="283"/>
              <w:jc w:val="left"/>
              <w:rPr/>
            </w:pPr>
            <w:r>
              <w:rPr/>
              <w:t> </w:t>
            </w:r>
          </w:p>
        </w:tc>
      </w:tr>
      <w:tr>
        <w:trPr/>
        <w:tc>
          <w:tcPr>
            <w:tcW w:w="2153"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(1,727</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(291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(1,436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493</w:t>
            </w:r>
          </w:p>
        </w:tc>
        <w:tc>
          <w:tcPr>
            <w:tcW w:w="2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(3,469</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(3,179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bidi w:val="0"/>
              <w:spacing w:before="0" w:after="283"/>
              <w:jc w:val="right"/>
              <w:rPr/>
            </w:pPr>
            <w:r>
              <w:rPr/>
              <w:t>1096</w:t>
            </w:r>
          </w:p>
        </w:tc>
        <w:tc>
          <w:tcPr>
            <w:tcW w:w="465" w:type="dxa"/>
            <w:tcBorders/>
            <w:shd w:fill="CCEEFF" w:val="clear"/>
            <w:vAlign w:val="center"/>
          </w:tcPr>
          <w:p>
            <w:pPr>
              <w:pStyle w:val="TableContents"/>
              <w:bidi w:val="0"/>
              <w:spacing w:before="0" w:after="283"/>
              <w:ind w:left="0" w:right="0" w:hanging="180"/>
              <w:jc w:val="left"/>
              <w:rPr/>
            </w:pPr>
            <w:r>
              <w:rPr/>
              <w:t>%</w:t>
            </w:r>
          </w:p>
        </w:tc>
      </w:tr>
      <w:tr>
        <w:trPr/>
        <w:tc>
          <w:tcPr>
            <w:tcW w:w="2153" w:type="dxa"/>
            <w:tcBorders/>
            <w:shd w:fill="FFFFFF" w:val="clear"/>
            <w:vAlign w:val="center"/>
          </w:tcPr>
          <w:p>
            <w:pPr>
              <w:pStyle w:val="TableContents"/>
              <w:bidi w:val="0"/>
              <w:spacing w:before="0" w:after="283"/>
              <w:jc w:val="left"/>
              <w:rPr/>
            </w:pPr>
            <w:r>
              <w:rPr/>
              <w:t>(Loss) gain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(232</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102</w:t>
            </w:r>
          </w:p>
        </w:tc>
        <w:tc>
          <w:tcPr>
            <w:tcW w:w="2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(127</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pPr>
            <w:r>
              <w:rPr/>
              <w:t>(143</w:t>
            </w:r>
          </w:p>
        </w:tc>
        <w:tc>
          <w:tcPr>
            <w:tcW w:w="465" w:type="dxa"/>
            <w:tcBorders/>
            <w:shd w:fill="FFFFFF" w:val="clear"/>
            <w:vAlign w:val="center"/>
          </w:tcPr>
          <w:p>
            <w:pPr>
              <w:pStyle w:val="TableContents"/>
              <w:bidi w:val="0"/>
              <w:spacing w:before="0" w:after="283"/>
              <w:jc w:val="left"/>
              <w:rPr/>
            </w:pPr>
            <w:r>
              <w:rPr/>
              <w:t>)%</w:t>
            </w:r>
          </w:p>
        </w:tc>
      </w:tr>
      <w:tr>
        <w:trPr/>
        <w:tc>
          <w:tcPr>
            <w:tcW w:w="215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2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1"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465" w:type="dxa"/>
            <w:tcBorders/>
            <w:shd w:fill="CCEEFF" w:val="clear"/>
            <w:vAlign w:val="center"/>
          </w:tcPr>
          <w:p>
            <w:pPr>
              <w:pStyle w:val="TableContents"/>
              <w:bidi w:val="0"/>
              <w:spacing w:before="0" w:after="283"/>
              <w:ind w:left="0" w:right="0" w:firstLine="200"/>
              <w:jc w:val="left"/>
              <w:rPr/>
            </w:pPr>
            <w:r>
              <w:rPr/>
              <w:t>)%</w:t>
            </w:r>
          </w:p>
        </w:tc>
      </w:tr>
      <w:tr>
        <w:trPr/>
        <w:tc>
          <w:tcPr>
            <w:tcW w:w="2153"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9" w:type="dxa"/>
            <w:tcBorders>
              <w:bottom w:val="double" w:sz="10" w:space="0" w:color="000000"/>
            </w:tcBorders>
            <w:shd w:fill="FFFFFF" w:val="clear"/>
            <w:tcMar>
              <w:bottom w:w="28" w:type="dxa"/>
            </w:tcMar>
            <w:vAlign w:val="center"/>
          </w:tcPr>
          <w:p>
            <w:pPr>
              <w:pStyle w:val="TableContents"/>
              <w:bidi w:val="0"/>
              <w:spacing w:before="0" w:after="283"/>
              <w:jc w:val="right"/>
              <w:rPr/>
            </w:pPr>
            <w:r>
              <w:rPr/>
              <w:t>(1,957</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(407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shd w:fill="FFFFFF" w:val="clear"/>
            <w:tcMar>
              <w:bottom w:w="28" w:type="dxa"/>
            </w:tcMar>
            <w:vAlign w:val="center"/>
          </w:tcPr>
          <w:p>
            <w:pPr>
              <w:pStyle w:val="TableContents"/>
              <w:bidi w:val="0"/>
              <w:spacing w:before="0" w:after="283"/>
              <w:jc w:val="right"/>
              <w:rPr/>
            </w:pPr>
            <w:r>
              <w:rPr/>
              <w:t>(1,550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double" w:sz="10" w:space="0" w:color="000000"/>
            </w:tcBorders>
            <w:shd w:fill="FFFFFF" w:val="clear"/>
            <w:tcMar>
              <w:bottom w:w="28" w:type="dxa"/>
            </w:tcMar>
            <w:vAlign w:val="center"/>
          </w:tcPr>
          <w:p>
            <w:pPr>
              <w:pStyle w:val="TableContents"/>
              <w:bidi w:val="0"/>
              <w:spacing w:before="0" w:after="283"/>
              <w:jc w:val="right"/>
              <w:rPr/>
            </w:pPr>
            <w:r>
              <w:rPr/>
              <w:t>381</w:t>
            </w:r>
          </w:p>
        </w:tc>
        <w:tc>
          <w:tcPr>
            <w:tcW w:w="2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76" w:type="dxa"/>
            <w:tcBorders>
              <w:bottom w:val="double" w:sz="10" w:space="0" w:color="000000"/>
            </w:tcBorders>
            <w:shd w:fill="FFFFFF" w:val="clear"/>
            <w:tcMar>
              <w:bottom w:w="28" w:type="dxa"/>
            </w:tcMar>
            <w:vAlign w:val="center"/>
          </w:tcPr>
          <w:p>
            <w:pPr>
              <w:pStyle w:val="TableContents"/>
              <w:bidi w:val="0"/>
              <w:spacing w:before="0" w:after="283"/>
              <w:jc w:val="right"/>
              <w:rPr/>
            </w:pPr>
            <w:r>
              <w:rPr/>
              <w:t>(3,594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double" w:sz="10" w:space="0" w:color="000000"/>
            </w:tcBorders>
            <w:shd w:fill="FFFFFF" w:val="clear"/>
            <w:tcMar>
              <w:bottom w:w="28" w:type="dxa"/>
            </w:tcM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10" w:space="0" w:color="000000"/>
            </w:tcBorders>
            <w:shd w:fill="FFFFFF" w:val="clear"/>
            <w:tcMar>
              <w:bottom w:w="28" w:type="dxa"/>
            </w:tcMar>
            <w:vAlign w:val="center"/>
          </w:tcPr>
          <w:p>
            <w:pPr>
              <w:pStyle w:val="TableContents"/>
              <w:bidi w:val="0"/>
              <w:spacing w:before="0" w:after="283"/>
              <w:jc w:val="right"/>
              <w:rPr/>
            </w:pPr>
            <w:r>
              <w:rPr/>
              <w:t>(3,614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1" w:type="dxa"/>
            <w:tcBorders>
              <w:bottom w:val="double" w:sz="10" w:space="0" w:color="000000"/>
            </w:tcBorders>
            <w:shd w:fill="FFFFFF" w:val="clear"/>
            <w:tcMar>
              <w:bottom w:w="28" w:type="dxa"/>
            </w:tcMar>
            <w:vAlign w:val="center"/>
          </w:tcPr>
          <w:p>
            <w:pPr>
              <w:pStyle w:val="TableContents"/>
              <w:bidi w:val="0"/>
              <w:spacing w:before="0" w:after="283"/>
              <w:jc w:val="right"/>
              <w:rPr/>
            </w:pPr>
            <w:r>
              <w:rPr/>
              <w:t>(18070</w:t>
            </w:r>
          </w:p>
        </w:tc>
        <w:tc>
          <w:tcPr>
            <w:tcW w:w="4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$1.7 million for the three months ended June 30, 2026, compared to interest expense, of $291 thousand for the three months ended June 30, 2025. The change is attributable mainly to the increase of $80.0 million new borrowings in May and August 2025 under the Convertible Notes (as that term is defined under “Indebtedness” below). Included in interest expense, net for the three months ended June 30, 2026 is $1.8 million of interest expense incurred with a related party and $0.3 million of 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$3.5 million for the six months ended June 30, 2026, compared to interest expense, net of $290 thousand for the six months ended June 30, 2025. The change is attributable mainly to the increase of $80.0 million new borrowings in May and August 2025 under the Convertible Notes (as that term is defined under “Indebtedness” below). Included in interest expense, net for the six months ended June 30, 2026 is $3.6 million of interest expense incurred with a related party and $0.5 million of interest income.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warrant liabilities resulted in a loss of $232 thousand for the three months ended June 30, 2026, compared to a loss of $115 thousand for the three months ended June 30, 2025. The loss was primarily due to the periodic remeasurement of the warrant liabilities to fair value, reflecting changes in valuation inputs, including the Company’s stock price and other market-based assumptions.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warrant liabilities resulted in a loss of $127 thousand for the six months ended June 30, 2026, compared to a gain of $292 thousand for the six months ended June 30, 2025. The loss of $419 thousand was primarily attributable to the periodic remeasurement of the Company’s warrant liabilities to fair value, reflecting changes in valuation inputs, including the Company’s stock price and other market-based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$2 thousand for the three months ended June 30, 2026, compared to loss of $1 thousand for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was $2 thousand for the six months ended June 30, 2026, compared to $18 thousand for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was $1.2 million and $26.8 million for the three and six months ended June 30, 2026, compared to nil for the three and six months ended June 30, 2025. The increase was attributable to a $25.6 million non-cash income tax benefit resulting from the release of the Company’s valuation allowance against its deferred tax assets. The valuation allowance was released following the execution of an amendment to the Company’s license agreement with GTI Core on March 31, 2026, which transitioned licensing fees to a fixed annual structure and reduced uncertainty in projected future taxable income. During the three months ended June 30, 2026, the Company released an additional $1.2 million, primarily reflecting deferred tax assets generated during the period, bringing the aggregate valuation allowance released to $26.8 million as of June 30, 2026. Based on this change and sustained projected profitability, management concluded that sufficient positive evidence exists to support the realizability of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 EBITDA is calculated as Income (loss) from continuing operations before: net interest (expense) income, provision for income taxes, and depreciation and amortization. Adjusted EBITDA is calculated as EBITDA before stock-based compensation, change in fair value of warrant liabilities and exceptional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Income (loss) from continuing operations (GAAP) to non-GAAP Adjusted EBITDA, for the periods presented: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47"/>
        <w:gridCol w:w="60"/>
        <w:gridCol w:w="163"/>
        <w:gridCol w:w="740"/>
        <w:gridCol w:w="110"/>
        <w:gridCol w:w="69"/>
        <w:gridCol w:w="163"/>
        <w:gridCol w:w="740"/>
        <w:gridCol w:w="95"/>
        <w:gridCol w:w="60"/>
        <w:gridCol w:w="140"/>
        <w:gridCol w:w="755"/>
        <w:gridCol w:w="95"/>
        <w:gridCol w:w="60"/>
        <w:gridCol w:w="140"/>
        <w:gridCol w:w="755"/>
        <w:gridCol w:w="113"/>
      </w:tblGrid>
      <w:tr>
        <w:trPr/>
        <w:tc>
          <w:tcPr>
            <w:tcW w:w="59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3" w:type="dxa"/>
            <w:tcBorders/>
            <w:vAlign w:val="center"/>
          </w:tcPr>
          <w:p>
            <w:pPr>
              <w:pStyle w:val="TableContents"/>
              <w:bidi w:val="0"/>
              <w:spacing w:before="0" w:after="283"/>
              <w:jc w:val="left"/>
              <w:rPr/>
            </w:pPr>
            <w:r>
              <w:rPr/>
              <w:t> </w:t>
            </w:r>
          </w:p>
        </w:tc>
      </w:tr>
      <w:tr>
        <w:trPr/>
        <w:tc>
          <w:tcPr>
            <w:tcW w:w="5947"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5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85" w:type="dxa"/>
            <w:gridSpan w:val="6"/>
            <w:tcBorders/>
            <w:vAlign w:val="center"/>
          </w:tcPr>
          <w:p>
            <w:pPr>
              <w:pStyle w:val="TableContents"/>
              <w:bidi w:val="0"/>
              <w:spacing w:before="0" w:after="283"/>
              <w:jc w:val="center"/>
              <w:rPr>
                <w:i/>
              </w:rPr>
            </w:pPr>
            <w:r>
              <w:rPr>
                <w:i/>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i/>
              </w:rPr>
            </w:pPr>
            <w:r>
              <w:rPr>
                <w:i/>
              </w:rPr>
              <w:t>(unaudited)</w:t>
            </w:r>
          </w:p>
        </w:tc>
        <w:tc>
          <w:tcPr>
            <w:tcW w:w="113" w:type="dxa"/>
            <w:tcBorders/>
            <w:vAlign w:val="center"/>
          </w:tcPr>
          <w:p>
            <w:pPr>
              <w:pStyle w:val="TableContents"/>
              <w:bidi w:val="0"/>
              <w:spacing w:before="0" w:after="283"/>
              <w:jc w:val="left"/>
              <w:rPr/>
            </w:pPr>
            <w:r>
              <w:rPr/>
              <w:t> </w:t>
            </w:r>
          </w:p>
        </w:tc>
      </w:tr>
      <w:tr>
        <w:trPr/>
        <w:tc>
          <w:tcPr>
            <w:tcW w:w="5947" w:type="dxa"/>
            <w:tcBorders/>
            <w:shd w:fill="CCEEFF" w:val="clear"/>
            <w:vAlign w:val="center"/>
          </w:tcPr>
          <w:p>
            <w:pPr>
              <w:pStyle w:val="TableContents"/>
              <w:bidi w:val="0"/>
              <w:spacing w:before="0" w:after="283"/>
              <w:jc w:val="left"/>
              <w:rPr>
                <w:b/>
              </w:rPr>
            </w:pPr>
            <w:r>
              <w:rPr>
                <w:b/>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1,184</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(7,205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(10,479</w:t>
            </w:r>
          </w:p>
        </w:tc>
        <w:tc>
          <w:tcPr>
            <w:tcW w:w="113" w:type="dxa"/>
            <w:tcBorders/>
            <w:shd w:fill="CCEEFF" w:val="clear"/>
            <w:vAlign w:val="center"/>
          </w:tcPr>
          <w:p>
            <w:pPr>
              <w:pStyle w:val="TableContents"/>
              <w:bidi w:val="0"/>
              <w:spacing w:before="0" w:after="283"/>
              <w:jc w:val="left"/>
              <w:rPr/>
            </w:pPr>
            <w:r>
              <w:rPr/>
              <w:t>)</w:t>
            </w:r>
          </w:p>
        </w:tc>
      </w:tr>
      <w:tr>
        <w:trPr/>
        <w:tc>
          <w:tcPr>
            <w:tcW w:w="5947"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1,727</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290</w:t>
            </w:r>
          </w:p>
        </w:tc>
        <w:tc>
          <w:tcPr>
            <w:tcW w:w="113" w:type="dxa"/>
            <w:tcBorders/>
            <w:shd w:fill="FFFFFF" w:val="clear"/>
            <w:vAlign w:val="center"/>
          </w:tcPr>
          <w:p>
            <w:pPr>
              <w:pStyle w:val="TableContents"/>
              <w:bidi w:val="0"/>
              <w:spacing w:before="0" w:after="283"/>
              <w:jc w:val="left"/>
              <w:rPr/>
            </w:pPr>
            <w:r>
              <w:rPr/>
              <w:t> </w:t>
            </w:r>
          </w:p>
        </w:tc>
      </w:tr>
      <w:tr>
        <w:trPr/>
        <w:tc>
          <w:tcPr>
            <w:tcW w:w="5947"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(1,205</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5947"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3,481</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735</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5947" w:type="dxa"/>
            <w:tcBorders/>
            <w:shd w:fill="CCEEFF" w:val="clear"/>
            <w:vAlign w:val="center"/>
          </w:tcPr>
          <w:p>
            <w:pPr>
              <w:pStyle w:val="TableContents"/>
              <w:bidi w:val="0"/>
              <w:spacing w:before="0" w:after="283"/>
              <w:jc w:val="left"/>
              <w:rPr/>
            </w:pPr>
            <w:r>
              <w:rPr/>
              <w:t>Earnings before interest, taxes, depreciation and amortization (EBITDA) (non-GAAP measure)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5,187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(6,515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(9,454</w:t>
            </w:r>
          </w:p>
        </w:tc>
        <w:tc>
          <w:tcPr>
            <w:tcW w:w="113" w:type="dxa"/>
            <w:tcBorders/>
            <w:shd w:fill="CCEEFF" w:val="clear"/>
            <w:vAlign w:val="center"/>
          </w:tcPr>
          <w:p>
            <w:pPr>
              <w:pStyle w:val="TableContents"/>
              <w:bidi w:val="0"/>
              <w:spacing w:before="0" w:after="283"/>
              <w:jc w:val="left"/>
              <w:rPr/>
            </w:pPr>
            <w:r>
              <w:rPr/>
              <w:t>)</w:t>
            </w:r>
          </w:p>
        </w:tc>
      </w:tr>
      <w:tr>
        <w:trPr/>
        <w:tc>
          <w:tcPr>
            <w:tcW w:w="5947"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578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1,104</w:t>
            </w:r>
          </w:p>
        </w:tc>
        <w:tc>
          <w:tcPr>
            <w:tcW w:w="113" w:type="dxa"/>
            <w:tcBorders/>
            <w:shd w:fill="FFFFFF" w:val="clear"/>
            <w:vAlign w:val="center"/>
          </w:tcPr>
          <w:p>
            <w:pPr>
              <w:pStyle w:val="TableContents"/>
              <w:bidi w:val="0"/>
              <w:spacing w:before="0" w:after="283"/>
              <w:jc w:val="left"/>
              <w:rPr/>
            </w:pPr>
            <w:r>
              <w:rPr/>
              <w:t> </w:t>
            </w:r>
          </w:p>
        </w:tc>
      </w:tr>
      <w:tr>
        <w:trPr/>
        <w:tc>
          <w:tcPr>
            <w:tcW w:w="5947"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113" w:type="dxa"/>
            <w:tcBorders/>
            <w:shd w:fill="CCEEFF" w:val="clear"/>
            <w:vAlign w:val="center"/>
          </w:tcPr>
          <w:p>
            <w:pPr>
              <w:pStyle w:val="TableContents"/>
              <w:bidi w:val="0"/>
              <w:spacing w:before="0" w:after="283"/>
              <w:jc w:val="left"/>
              <w:rPr/>
            </w:pPr>
            <w:r>
              <w:rPr/>
              <w:t>)</w:t>
            </w:r>
          </w:p>
        </w:tc>
      </w:tr>
      <w:tr>
        <w:trPr/>
        <w:tc>
          <w:tcPr>
            <w:tcW w:w="59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Exceptional items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437</w:t>
            </w:r>
          </w:p>
        </w:tc>
        <w:tc>
          <w:tcPr>
            <w:tcW w:w="113" w:type="dxa"/>
            <w:tcBorders/>
            <w:shd w:fill="FFFFFF" w:val="clear"/>
            <w:vAlign w:val="center"/>
          </w:tcPr>
          <w:p>
            <w:pPr>
              <w:pStyle w:val="TableContents"/>
              <w:bidi w:val="0"/>
              <w:spacing w:before="0" w:after="283"/>
              <w:jc w:val="left"/>
              <w:rPr/>
            </w:pPr>
            <w:r>
              <w:rPr/>
              <w:t> </w:t>
            </w:r>
          </w:p>
        </w:tc>
      </w:tr>
      <w:tr>
        <w:trPr/>
        <w:tc>
          <w:tcPr>
            <w:tcW w:w="5947" w:type="dxa"/>
            <w:tcBorders/>
            <w:shd w:fill="CCEEFF" w:val="clear"/>
            <w:vAlign w:val="center"/>
          </w:tcPr>
          <w:p>
            <w:pPr>
              <w:pStyle w:val="TableContents"/>
              <w:bidi w:val="0"/>
              <w:spacing w:before="0" w:after="283"/>
              <w:jc w:val="left"/>
              <w:rPr/>
            </w:pPr>
            <w:r>
              <w:rPr/>
              <w:t>Adjusted EBITDA (non-GAAP measure)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pPr>
            <w:r>
              <w:rPr/>
              <w:t>6,357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pPr>
            <w:r>
              <w:rPr/>
              <w:t>(5,448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6,337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(8,205</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Exceptional items correspond to costs incurred outside the ordinary course of business, including transition, restructuring, or other dislocation costs arising from or related to resizing initiatives, distributor termination fees, and other similar items.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principal sources of liquidity are cash and cash equivalents totaling $41.9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evaluate whether there are conditions or events, considered in aggregate, that raise substantial doubt about our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condensed consolidated financial statements are issued.</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recurring net losses and negative cash flow in operating activities. However, for the six months ended June 30, 2026, the Company generated positive cash flow from operating activities and reported net income which was mainly impacted by a non-cash income tax benefit. We believe our $41.9 million of cash and cash equivalents, anticipated contractual Licensing Revenue and ability to address our Convertible Notes will be sufficient to meet our cash requirements through at least the 12-month period following the date that these condensed consolidated financial statements were issued.</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maturities of $80.0 million exist through February 2027, with $72.0 million held by a subsidiary of Green Thumb, a related party. If the holders of these notes elect to be paid in cash upon maturity could raise substantial doubt about our ability to continue as a going concern. However, while these contractual maturities require management attention, management believes it is probable that the obligations will be addressed through extension or conversion consistent with historical practice. As such, our financial statements have been prepared on a going concern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issued secured convertible notes with an aggregate original principal amount of $30.0 million (collectively the “May 2025 Notes”) to RSLGH and to certain other third-party accredited investors. The May 2025 Notes are secured obligations and rank senior to all of our indebtedness except for the August 2025 Notes, which rank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the $0.001 exercise price of the warrant. The conversion of the May 2025 Notes into Common Stock and/or pre-funded warrants is subject to certain customary conditions and, to the extent necessary, the receipt of stockholder approval under Nasdaq listing rules.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2025, we issued secured convertible notes with an aggregate original principal amount of $50.0 million (collectively the “August 2025 Notes” and, together with the May 2025 Notes, the “Convertible Notes”) to RSLGH and to certain other third-party accredited investors. The August 2025 Notes are secured obligations and rank senior to all of our indebtedness except for the May 2025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the $0.001 exercise price of the warrant. The conversion of the August 2025 Notes into Common Stock and/or pre-funded warrants is subject to certain customary conditions and, to the extent necessary, the receipt of stockholder approval under Nasdaq listing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with the SEC a proxy statement with respect to a special meeting of stockholders to be held August 10, 2026 for a vote on the proposed issuance to RSLGH of Common Stock underlying certain convertible promissory notes, pre-funded warrants and pursuant to shared services agreements, in accordance with Nasdaq Listing Rule 5635. If approved, the proposal would permit the conversion of the Convertible Notes, and full exercise of pre-funded warrants, irrespective of any ownership limitations contained in those instruments, including the 49.99% beneficial ownership limitations, to the extent those limitations are removed from the Convertible Notes and the pre-funded warrants pursuant to a future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impose certain customary affirmative and negative covenants upon us, including covenants relating to ranking and reservation of shares. If an event of default under one or more of the Convertible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We were in compliance with these covenants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major components of net cash flows from and used in operating, investing, and financing activities for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5922" w:type="dxa"/>
        <w:jc w:val="left"/>
        <w:tblInd w:w="0" w:type="dxa"/>
        <w:tblLayout w:type="fixed"/>
        <w:tblCellMar>
          <w:top w:w="0" w:type="dxa"/>
          <w:left w:w="0" w:type="dxa"/>
          <w:bottom w:w="0" w:type="dxa"/>
          <w:right w:w="0" w:type="dxa"/>
        </w:tblCellMar>
      </w:tblPr>
      <w:tblGrid>
        <w:gridCol w:w="3935"/>
        <w:gridCol w:w="60"/>
        <w:gridCol w:w="148"/>
        <w:gridCol w:w="594"/>
        <w:gridCol w:w="63"/>
        <w:gridCol w:w="63"/>
        <w:gridCol w:w="148"/>
        <w:gridCol w:w="801"/>
        <w:gridCol w:w="11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93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7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b/>
              </w:rPr>
            </w:pPr>
            <w:r>
              <w:rPr>
                <w:b/>
              </w:rPr>
              <w:t>Net cash provided by (used in):</w:t>
            </w:r>
          </w:p>
        </w:tc>
        <w:tc>
          <w:tcPr>
            <w:tcW w:w="60" w:type="dxa"/>
            <w:tcBorders/>
            <w:vAlign w:val="center"/>
          </w:tcPr>
          <w:p>
            <w:pPr>
              <w:pStyle w:val="TableContents"/>
              <w:bidi w:val="0"/>
              <w:spacing w:before="0" w:after="283"/>
              <w:jc w:val="left"/>
              <w:rPr/>
            </w:pPr>
            <w:r>
              <w:rPr/>
              <w:t> </w:t>
            </w:r>
          </w:p>
        </w:tc>
        <w:tc>
          <w:tcPr>
            <w:tcW w:w="742" w:type="dxa"/>
            <w:gridSpan w:val="2"/>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9,697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(15,138</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(5,075</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pPr>
            <w:r>
              <w:rPr/>
              <w:t>29,999</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4" w:type="dxa"/>
            <w:tcBorders>
              <w:bottom w:val="double" w:sz="10" w:space="0" w:color="000000"/>
            </w:tcBorders>
            <w:shd w:fill="FFFFFF" w:val="clear"/>
            <w:tcMar>
              <w:bottom w:w="28" w:type="dxa"/>
            </w:tcMar>
            <w:vAlign w:val="center"/>
          </w:tcPr>
          <w:p>
            <w:pPr>
              <w:pStyle w:val="TableContents"/>
              <w:bidi w:val="0"/>
              <w:spacing w:before="0" w:after="283"/>
              <w:jc w:val="right"/>
              <w:rPr/>
            </w:pPr>
            <w:r>
              <w:rPr/>
              <w:t>9,697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pPr>
            <w:r>
              <w:rPr/>
              <w:t>9,786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explains the major components contributing to the net cash flows from operating, investing, and financing activities for the six months ended June 30, 2026 and 2025, as summarized in the table above. Each section below provides details on the key drivers of the cash inflows and outflows for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operating cash flows included net income of $21.1 million, which included $6.9 million related to depreciation and amortization, $26.8 million non-cash deferred income tax benefit, $1.5 million non-cash interest expenses, and $1.1 million of stock-based compensation expense. Net cash was also increased by changes in operating assets and liabilities of $5.6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operating cash flows included net loss of $9.0 million, which included $735 thousand related to depreciation and amortization, $1.1 million of stock-based compensation expense, $292 thousand gain related to the change in fair value of warrant liabilities, and $3.5 million gain on disposal of the Extraction business. Net cash was also decreased by changes in operating assets and liabilities of $4.6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there were no cash flows from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investing activities was $5.1 million, which primarily resulted from the related party acquisition of MC Brands, LLC and its wholly-owned subsidiary Core Growth LLC (together referred to as “MC Brands”).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there were no cash flows from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financing activities was $30.0 million, which resulted from proceeds from the May 2025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firstLine="4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 Item, 2, “Management’s Discussion and Analysis of Financial Condition and Results of Operations” discusses our unaudited condensed consolidated financial statements, which have been prepared in accordance with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net realizable value of inventory, goodwill impairment assessment, intangible assets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and estimates that have been adopted and followed in the preparation of our condensed consolidated financial statements are detailed in Note 1 - Overview, Basis of Presentation and Significant Accounting Policies included in the Form 10-K and Note 1 - Overview, Basis of Presentation and Significant Accounting Policies to our unaudited condensed consolidated financial statements in Part I, Item 1 of this Quarterly Report. Other than the addition of the accounting policies related to business combinations and asset acquisitions described in Note 1 – Overview, Basis of Presentation and Significant Accounting Policies, there have been no changes in these policies and estimates that had a significant impact on the financial condition and results of operations for the periods covered in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recently issued accounting pronouncements, see Note 1—Overview, Basis of Presentation and Significant Accounting Policies, included elsewhere in the notes to the unaudited condensed consolidated financial statements under Part I, Item 1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recently issued accounting pronouncements, see Note 1—Overview, Basis of Presentation and Significant Accounting Policies, included elsewhere in the notes to the unaudited condensed consolidated financial statements under Part I, Item 1 of this Quarterly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17 C.F.R. § 229.10, the Company is not required to provide information required by this Item.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paragraph (b) of Rules 13a-15 and 15d-15 under the Exchange Act, Management, with the participation of our Interim Chief Executive Officer and Chief Financial Officer, evaluated the effectiveness of the design and operation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Interim Chief Executive Officer and Chief Financial Officer concluded that our disclosure controls and procedures were effective at the reasonable assurance level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such term is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various legal proceedings or claims arising in the ordinary course of business. For information related to legal proceedings, see the discussion under the caption Legal Proceedings in Note 15 - Commitments and Contingencies to our unaudited condensed consolidated financial statements included in Part I, Item 1 of this Quarterly Report, which information is incorporated by reference into this Part II, Item 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1A. Risk Factors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there are no material changes to our risk factors as previously disclosed in Part I, Item 1A of the Form 10-K.  The risks described in this Quarterly Report and in the Form 10-K, among others, could materially and adversely affect our business, reputation, financial condition, results of operations, and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for the three months ended 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3. Defaults Upon Senior Securities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4. Mine Safety Disclosures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5. Other Information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officers or directors, as defined in Rule 16a-1(f), adopted, modified or terminated a Rule 10b5-1 trading arrangement or a non-Rule 10b5-1 trading arrangement as defined in item 408 of Regulation S-K, during the three months ended June 30,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8" w:name="a_017"/>
      <w:bookmarkEnd w:id="18"/>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"http://www.sec.gov/Archives/edgar/data/1800637/000121390026047684/ea0286708-02.htm" \l "T515"</w:instrText>
            </w:r>
            <w:r>
              <w:rPr>
                <w:rStyle w:val="InternetLink"/>
              </w:rPr>
              <w:fldChar w:fldCharType="separate"/>
            </w:r>
            <w:r>
              <w:rPr>
                <w:rStyle w:val="InternetLink"/>
              </w:rPr>
              <w:t>RYTHM, Inc. 2022 Omnibus Equity Incentive Plan (incorporated by reference to Appendix A of the Company’s Definitive Proxy Statement on Schedule 14A filed with the Securities Exchange Commission on April 27, 2026</w:t>
            </w:r>
            <w:r>
              <w:rPr>
                <w:rStyle w:val="InternetLink"/>
              </w:rPr>
              <w:fldChar w:fldCharType="end"/>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927801ex31-1.htm">
              <w:r>
                <w:rPr>
                  <w:rStyle w:val="InternetLink"/>
                  <w:rFonts w:ascii="Times New Roman;Times;Serif" w:hAnsi="Times New Roman;Times;Serif"/>
                  <w:sz w:val="20"/>
                </w:rPr>
                <w:t>Rule 13(a)-14(a)/15(d)-14(a) Certification of principal executive officer</w:t>
              </w:r>
            </w:hyperlink>
            <w:r>
              <w:rPr>
                <w:rFonts w:ascii="Times New Roman;Times;Serif" w:hAnsi="Times New Roman;Times;Serif"/>
                <w:sz w:val="20"/>
              </w:rPr>
              <w:t xml:space="preserve">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927801ex31-2.htm">
              <w:r>
                <w:rPr>
                  <w:rStyle w:val="InternetLink"/>
                  <w:rFonts w:ascii="Times New Roman;Times;Serif" w:hAnsi="Times New Roman;Times;Serif"/>
                  <w:sz w:val="20"/>
                </w:rPr>
                <w:t>Rule 13(a)-14(a)/15(d)-14(a) Certification of principal financial and accounting officer</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927801ex32-1.htm">
              <w:r>
                <w:rPr>
                  <w:rStyle w:val="InternetLink"/>
                  <w:rFonts w:ascii="Times New Roman;Times;Serif" w:hAnsi="Times New Roman;Times;Serif"/>
                  <w:sz w:val="20"/>
                </w:rPr>
                <w:t>Section 1350 Certification of principal executive officer</w:t>
              </w:r>
            </w:hyperlink>
            <w:r>
              <w:rPr>
                <w:rFonts w:ascii="Times New Roman;Times;Serif" w:hAnsi="Times New Roman;Times;Serif"/>
                <w:sz w:val="20"/>
              </w:rPr>
              <w:t xml:space="preserve">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927801ex32-2.htm">
              <w:r>
                <w:rPr>
                  <w:rStyle w:val="InternetLink"/>
                  <w:rFonts w:ascii="Times New Roman;Times;Serif" w:hAnsi="Times New Roman;Times;Serif"/>
                  <w:sz w:val="20"/>
                </w:rPr>
                <w:t>Section 1350 Certification of principal financial and accounting officer</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245"/>
        <w:gridCol w:w="605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 in accordance with Item 601(b)(32) of Regulation 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1760"/>
        <w:gridCol w:w="320"/>
        <w:gridCol w:w="3815"/>
      </w:tblGrid>
      <w:tr>
        <w:trPr/>
        <w:tc>
          <w:tcPr>
            <w:tcW w:w="1760" w:type="dxa"/>
            <w:tcBorders/>
            <w:vAlign w:val="center"/>
          </w:tcPr>
          <w:p>
            <w:pPr>
              <w:pStyle w:val="TableContents"/>
              <w:bidi w:val="0"/>
              <w:spacing w:before="0" w:after="283"/>
              <w:jc w:val="left"/>
              <w:rPr/>
            </w:pPr>
            <w:r>
              <w:rPr/>
              <w:t> </w:t>
            </w:r>
          </w:p>
        </w:tc>
        <w:tc>
          <w:tcPr>
            <w:tcW w:w="413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RYTHM,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Benjamin Kovler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Benjamin Kovler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Chairman and Interim Chief Executive Officer </w:t>
              <w:br/>
              <w:t>(Principal Executive Officer)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 Asher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 Asher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29927801ex31-1.htm"/>
      <w:bookmarkStart w:id="21" w:name="ksea029927801ex311"/>
      <w:bookmarkEnd w:id="20"/>
      <w:bookmarkEnd w:id="21"/>
      <w:r>
        <w:rPr>
          <w:rFonts w:ascii="Times New Roman;Times;Serif" w:hAnsi="Times New Roman;Times;Serif"/>
          <w:b/>
          <w:i w:val="false"/>
          <w:caps w:val="false"/>
          <w:smallCaps w:val="false"/>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13a-14(a) AND 15D-14(a)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Benjamin Kovler,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period ended June 30, 2026 of RYTHM,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3845" w:type="dxa"/>
        <w:jc w:val="left"/>
        <w:tblInd w:w="0" w:type="dxa"/>
        <w:tblLayout w:type="fixed"/>
        <w:tblCellMar>
          <w:top w:w="0" w:type="dxa"/>
          <w:left w:w="0" w:type="dxa"/>
          <w:bottom w:w="0" w:type="dxa"/>
          <w:right w:w="0" w:type="dxa"/>
        </w:tblCellMar>
      </w:tblPr>
      <w:tblGrid>
        <w:gridCol w:w="3770"/>
        <w:gridCol w:w="75"/>
      </w:tblGrid>
      <w:tr>
        <w:trPr/>
        <w:tc>
          <w:tcPr>
            <w:tcW w:w="3770" w:type="dxa"/>
            <w:tcBorders/>
            <w:vAlign w:val="center"/>
          </w:tcPr>
          <w:p>
            <w:pPr>
              <w:pStyle w:val="TableContents"/>
              <w:bidi w:val="0"/>
              <w:spacing w:before="0" w:after="283"/>
              <w:jc w:val="left"/>
              <w:rPr>
                <w:sz w:val="20"/>
              </w:rPr>
            </w:pPr>
            <w:r>
              <w:rPr>
                <w:sz w:val="20"/>
              </w:rPr>
              <w:t>August 4, 2026</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Benjamin Kovler</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20"/>
              </w:rPr>
            </w:pPr>
            <w:r>
              <w:rPr>
                <w:sz w:val="20"/>
              </w:rPr>
              <w:t>Benjamin Kovler</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20"/>
              </w:rPr>
            </w:pPr>
            <w:r>
              <w:rPr>
                <w:sz w:val="20"/>
              </w:rPr>
              <w:t>Chairman and Interim Chief Executive Officer</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20"/>
              </w:rPr>
            </w:pPr>
            <w:r>
              <w:rPr>
                <w:sz w:val="20"/>
              </w:rPr>
              <w:t>(Principal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927801ex31-2.htm"/>
      <w:bookmarkStart w:id="23" w:name="ksea029927801ex312"/>
      <w:bookmarkEnd w:id="22"/>
      <w:bookmarkEnd w:id="23"/>
      <w:r>
        <w:rPr>
          <w:rFonts w:ascii="Times New Roman;Times;Serif" w:hAnsi="Times New Roman;Times;Serif"/>
          <w:b/>
          <w:i w:val="false"/>
          <w:caps w:val="false"/>
          <w:smallCaps w:val="false"/>
          <w:sz w:val="20"/>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OF PRINCIPAL FINANCIAL OFFICER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RULES 13a-14(a) AND 15D-14(a)</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UNDER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ADOPTED PURSUANT TO SECTION 302 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Brad Asher,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period ended June 30, 2026 of RYTHM,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650"/>
        <w:gridCol w:w="75"/>
      </w:tblGrid>
      <w:tr>
        <w:trPr/>
        <w:tc>
          <w:tcPr>
            <w:tcW w:w="3650" w:type="dxa"/>
            <w:tcBorders/>
            <w:vAlign w:val="center"/>
          </w:tcPr>
          <w:p>
            <w:pPr>
              <w:pStyle w:val="TableContents"/>
              <w:bidi w:val="0"/>
              <w:spacing w:before="0" w:after="283"/>
              <w:jc w:val="left"/>
              <w:rPr>
                <w:sz w:val="20"/>
              </w:rPr>
            </w:pPr>
            <w:r>
              <w:rPr>
                <w:sz w:val="20"/>
              </w:rPr>
              <w:t>August 4, 2026</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i/>
                <w:sz w:val="20"/>
              </w:rPr>
              <w:t>/s/</w:t>
            </w:r>
            <w:r>
              <w:rPr>
                <w:sz w:val="20"/>
              </w:rPr>
              <w:t xml:space="preserve"> </w:t>
            </w:r>
            <w:r>
              <w:rPr>
                <w:i/>
                <w:sz w:val="20"/>
              </w:rPr>
              <w:t>Brad Asher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Brad Asher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927801ex32-1.htm"/>
      <w:bookmarkStart w:id="25" w:name="ksea029927801ex321"/>
      <w:bookmarkEnd w:id="24"/>
      <w:bookmarkEnd w:id="25"/>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ADOPTED PURSUANT TO SECTION 906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RYTHM, Inc. (the “Company”) on Form 10-Q, for the period ended June 30, 2026, as filed with the Securities and Exchange Commission on the date hereof (the “Report”), I, Benjamin Kovler, Chairman and Interim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sz w:val="20"/>
              </w:rPr>
            </w:pPr>
            <w:r>
              <w:rPr>
                <w:sz w:val="20"/>
              </w:rPr>
              <w:t>(2)</w:t>
            </w:r>
          </w:p>
        </w:tc>
        <w:tc>
          <w:tcPr>
            <w:tcW w:w="98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815"/>
        <w:gridCol w:w="75"/>
      </w:tblGrid>
      <w:tr>
        <w:trPr/>
        <w:tc>
          <w:tcPr>
            <w:tcW w:w="3815" w:type="dxa"/>
            <w:tcBorders/>
            <w:vAlign w:val="center"/>
          </w:tcPr>
          <w:p>
            <w:pPr>
              <w:pStyle w:val="TableContents"/>
              <w:bidi w:val="0"/>
              <w:spacing w:before="0" w:after="283"/>
              <w:jc w:val="left"/>
              <w:rPr>
                <w:sz w:val="20"/>
              </w:rPr>
            </w:pPr>
            <w:r>
              <w:rPr>
                <w:sz w:val="20"/>
              </w:rPr>
              <w:t>August 4, 2026</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1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Benjamin Kovler</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0"/>
              </w:rPr>
            </w:pPr>
            <w:r>
              <w:rPr>
                <w:sz w:val="20"/>
              </w:rPr>
              <w:t>Benjamin Kovler</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0"/>
              </w:rPr>
            </w:pPr>
            <w:r>
              <w:rPr>
                <w:sz w:val="20"/>
              </w:rPr>
              <w:t xml:space="preserve">Chairman and Interim Chief Executive Officer </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9927801ex32-2.htm"/>
      <w:bookmarkStart w:id="27" w:name="ksea029927801ex322"/>
      <w:bookmarkEnd w:id="26"/>
      <w:bookmarkEnd w:id="27"/>
      <w:r>
        <w:rPr>
          <w:rFonts w:ascii="Times New Roman;Times;Serif" w:hAnsi="Times New Roman;Times;Serif"/>
          <w:b/>
          <w:i w:val="false"/>
          <w:caps w:val="false"/>
          <w:smallCaps w:val="false"/>
          <w:sz w:val="20"/>
        </w:rPr>
        <w:t>Exhibit 32.2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ADOPTED PURSUANT TO SECTION 906</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RYTHM, Inc. (the “Company”) on Form 10-Q, for the period ended June 30, 2026, as filed with the Securities and Exchange Commission on the date hereof (the “Report”), I, Brad Asher,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both"/>
              <w:rPr>
                <w:sz w:val="20"/>
              </w:rPr>
            </w:pPr>
            <w:r>
              <w:rPr>
                <w:sz w:val="20"/>
              </w:rPr>
              <w:t>(2)</w:t>
            </w:r>
          </w:p>
        </w:tc>
        <w:tc>
          <w:tcPr>
            <w:tcW w:w="98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3650"/>
        <w:gridCol w:w="75"/>
      </w:tblGrid>
      <w:tr>
        <w:trPr/>
        <w:tc>
          <w:tcPr>
            <w:tcW w:w="3650" w:type="dxa"/>
            <w:tcBorders/>
            <w:vAlign w:val="center"/>
          </w:tcPr>
          <w:p>
            <w:pPr>
              <w:pStyle w:val="TableContents"/>
              <w:bidi w:val="0"/>
              <w:spacing w:before="0" w:after="283"/>
              <w:jc w:val="left"/>
              <w:rPr>
                <w:sz w:val="20"/>
              </w:rPr>
            </w:pPr>
            <w:r>
              <w:rPr>
                <w:sz w:val="20"/>
              </w:rPr>
              <w:t>August 4, 2026</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i/>
                <w:sz w:val="20"/>
              </w:rPr>
              <w:t>/s/</w:t>
            </w:r>
            <w:r>
              <w:rPr>
                <w:sz w:val="20"/>
              </w:rPr>
              <w:t xml:space="preserve"> </w:t>
            </w:r>
            <w:r>
              <w:rPr>
                <w:i/>
                <w:sz w:val="20"/>
              </w:rPr>
              <w:t>Brad Asher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Brad Asher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sz w:val="20"/>
              </w:rPr>
            </w:pPr>
            <w:r>
              <w:rPr>
                <w:sz w:val="20"/>
              </w:rPr>
              <w:t>(Principal Financial and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25871</Words>
  <Characters>143657</Characters>
  <CharactersWithSpaces>171221</CharactersWithSpaces>
  <Paragraphs>6094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