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0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tc>
        <w:tc>
          <w:tcPr>
            <w:tcW w:w="3440" w:type="dxa"/>
            <w:vAlign w:val="bottom"/>
          </w:tcPr>
          <w:p>
            <w:pPr>
              <w:spacing w:after="0"/>
              <w:rPr>
                <w:sz w:val="20"/>
                <w:szCs w:val="20"/>
                <w:color w:val="auto"/>
              </w:rPr>
            </w:pPr>
          </w:p>
        </w:tc>
      </w:tr>
      <w:tr>
        <w:trPr>
          <w:trHeight w:val="432"/>
        </w:trPr>
        <w:tc>
          <w:tcPr>
            <w:tcW w:w="7800" w:type="dxa"/>
            <w:vAlign w:val="bottom"/>
            <w:gridSpan w:val="3"/>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Commission File Number: 001-39946</w:t>
            </w:r>
          </w:p>
        </w:tc>
        <w:tc>
          <w:tcPr>
            <w:tcW w:w="3440" w:type="dxa"/>
            <w:vAlign w:val="bottom"/>
          </w:tcPr>
          <w:p>
            <w:pPr>
              <w:spacing w:after="0"/>
              <w:rPr>
                <w:sz w:val="24"/>
                <w:szCs w:val="24"/>
                <w:color w:val="auto"/>
              </w:rPr>
            </w:pPr>
          </w:p>
        </w:tc>
      </w:tr>
      <w:tr>
        <w:trPr>
          <w:trHeight w:val="414"/>
        </w:trPr>
        <w:tc>
          <w:tcPr>
            <w:tcW w:w="7800" w:type="dxa"/>
            <w:vAlign w:val="bottom"/>
            <w:gridSpan w:val="3"/>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RYTHM INC.</w:t>
            </w:r>
          </w:p>
        </w:tc>
        <w:tc>
          <w:tcPr>
            <w:tcW w:w="3440" w:type="dxa"/>
            <w:vAlign w:val="bottom"/>
          </w:tcPr>
          <w:p>
            <w:pPr>
              <w:spacing w:after="0"/>
              <w:rPr>
                <w:sz w:val="24"/>
                <w:szCs w:val="24"/>
                <w:color w:val="auto"/>
              </w:rPr>
            </w:pPr>
          </w:p>
        </w:tc>
      </w:tr>
      <w:tr>
        <w:trPr>
          <w:trHeight w:val="234"/>
        </w:trPr>
        <w:tc>
          <w:tcPr>
            <w:tcW w:w="780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40" w:type="dxa"/>
            <w:vAlign w:val="bottom"/>
          </w:tcPr>
          <w:p>
            <w:pPr>
              <w:spacing w:after="0"/>
              <w:rPr>
                <w:sz w:val="20"/>
                <w:szCs w:val="20"/>
                <w:color w:val="auto"/>
              </w:rPr>
            </w:pPr>
          </w:p>
        </w:tc>
      </w:tr>
      <w:tr>
        <w:trPr>
          <w:trHeight w:val="439"/>
        </w:trPr>
        <w:tc>
          <w:tcPr>
            <w:tcW w:w="780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40" w:type="dxa"/>
            <w:vAlign w:val="bottom"/>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jc w:val="center"/>
              <w:ind w:right="20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800" w:type="dxa"/>
            <w:vAlign w:val="bottom"/>
            <w:gridSpan w:val="3"/>
          </w:tcPr>
          <w:p>
            <w:pPr>
              <w:jc w:val="center"/>
              <w:ind w:right="22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4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80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3440" w:type="dxa"/>
            <w:vAlign w:val="bottom"/>
          </w:tcPr>
          <w:p>
            <w:pPr>
              <w:spacing w:after="0"/>
              <w:rPr>
                <w:sz w:val="24"/>
                <w:szCs w:val="24"/>
                <w:color w:val="auto"/>
              </w:rPr>
            </w:pPr>
          </w:p>
        </w:tc>
      </w:tr>
      <w:tr>
        <w:trPr>
          <w:trHeight w:val="220"/>
        </w:trPr>
        <w:tc>
          <w:tcPr>
            <w:tcW w:w="780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rPr>
              <w:t>Rolling Meadows, IL 60008</w:t>
            </w:r>
          </w:p>
        </w:tc>
        <w:tc>
          <w:tcPr>
            <w:tcW w:w="3440" w:type="dxa"/>
            <w:vAlign w:val="bottom"/>
          </w:tcPr>
          <w:p>
            <w:pPr>
              <w:spacing w:after="0"/>
              <w:rPr>
                <w:sz w:val="19"/>
                <w:szCs w:val="19"/>
                <w:color w:val="auto"/>
              </w:rPr>
            </w:pPr>
          </w:p>
        </w:tc>
      </w:tr>
      <w:tr>
        <w:trPr>
          <w:trHeight w:val="234"/>
        </w:trPr>
        <w:tc>
          <w:tcPr>
            <w:tcW w:w="780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440" w:type="dxa"/>
            <w:vAlign w:val="bottom"/>
          </w:tcPr>
          <w:p>
            <w:pPr>
              <w:spacing w:after="0"/>
              <w:rPr>
                <w:sz w:val="20"/>
                <w:szCs w:val="20"/>
                <w:color w:val="auto"/>
              </w:rPr>
            </w:pPr>
          </w:p>
        </w:tc>
      </w:tr>
      <w:tr>
        <w:trPr>
          <w:trHeight w:val="414"/>
        </w:trPr>
        <w:tc>
          <w:tcPr>
            <w:tcW w:w="780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(855) 420-0020</w:t>
            </w:r>
          </w:p>
        </w:tc>
        <w:tc>
          <w:tcPr>
            <w:tcW w:w="3440" w:type="dxa"/>
            <w:vAlign w:val="bottom"/>
          </w:tcPr>
          <w:p>
            <w:pPr>
              <w:spacing w:after="0"/>
              <w:rPr>
                <w:sz w:val="24"/>
                <w:szCs w:val="24"/>
                <w:color w:val="auto"/>
              </w:rPr>
            </w:pPr>
          </w:p>
        </w:tc>
      </w:tr>
      <w:tr>
        <w:trPr>
          <w:trHeight w:val="234"/>
        </w:trPr>
        <w:tc>
          <w:tcPr>
            <w:tcW w:w="780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7"/>
              </w:rPr>
              <w:t>RYM</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7, 2025, the registrant had 2,002,568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7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8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FINANCIAL STATEMENTS (UNAUDITED)</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7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3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6280" w:type="dxa"/>
            <w:vAlign w:val="bottom"/>
            <w:tcBorders>
              <w:top w:val="single" w:sz="8" w:color="CCEEFF"/>
            </w:tcBorders>
            <w:gridSpan w:val="8"/>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(Deficit)</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594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5"/>
        </w:trPr>
        <w:tc>
          <w:tcPr>
            <w:tcW w:w="720" w:type="dxa"/>
            <w:vAlign w:val="bottom"/>
          </w:tcPr>
          <w:p>
            <w:pPr>
              <w:spacing w:after="0"/>
              <w:rPr>
                <w:sz w:val="15"/>
                <w:szCs w:val="15"/>
                <w:color w:val="auto"/>
              </w:rPr>
            </w:pPr>
          </w:p>
        </w:tc>
        <w:tc>
          <w:tcPr>
            <w:tcW w:w="9740" w:type="dxa"/>
            <w:vAlign w:val="bottom"/>
            <w:gridSpan w:val="20"/>
          </w:tcPr>
          <w:p>
            <w:pPr>
              <w:ind w:left="80"/>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0"/>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20"/>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20"/>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8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04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RYTHM, INC. (Formerly known as Agrify Corporation)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31,170</w:t>
            </w:r>
          </w:p>
        </w:tc>
        <w:tc>
          <w:tcPr>
            <w:tcW w:w="80" w:type="dxa"/>
            <w:vAlign w:val="bottom"/>
            <w:shd w:val="clear" w:color="auto" w:fill="CCEEFF"/>
          </w:tcPr>
          <w:p>
            <w:pPr>
              <w:spacing w:after="0"/>
              <w:rPr>
                <w:sz w:val="18"/>
                <w:szCs w:val="18"/>
                <w:color w:val="auto"/>
              </w:rPr>
            </w:pP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2,581</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2"/>
                <w:szCs w:val="22"/>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associated with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2,596</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43,894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34,694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9,713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61,497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associated with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21"/>
                <w:szCs w:val="21"/>
                <w:color w:val="auto"/>
              </w:rPr>
            </w:pPr>
          </w:p>
        </w:tc>
      </w:tr>
      <w:tr>
        <w:trPr>
          <w:trHeight w:val="251"/>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115,154</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54,022</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22"/>
                <w:szCs w:val="22"/>
                <w:color w:val="auto"/>
              </w:rPr>
            </w:pP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7,543</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tcPr>
          <w:p>
            <w:pPr>
              <w:spacing w:after="0"/>
              <w:rPr>
                <w:sz w:val="22"/>
                <w:szCs w:val="22"/>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24,679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associated with discontinued operations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16)</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shares authorized; 2,002,568 and 1,952,032 shares issued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at September 30, 2025 and December 31, 2024,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338,914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335,400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(327,194)</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(307,313)</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115,154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$454 thousand and none from related parties as of September 30, 2025 and December 31, 2024, respectively.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$60 thousand and none due to a related party as of September 30,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$4.8 million and $487 thousand due to related parties as of September 30, 2025 and December 31, 2024,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RYTHM, INC. (Formerly known as 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4,043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2,668</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4,476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10,263</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1,220</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21,534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(8,888)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(15,098)</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(1,745)</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(15,136)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(10,633)</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(16,356)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(21,112)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(10,633)</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(16,356)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(21,112)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(17,283)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(10,665)</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(18,651)</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(19,651)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income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0.73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line="270" w:lineRule="exact"/>
              <w:rPr>
                <w:sz w:val="20"/>
                <w:szCs w:val="20"/>
                <w:color w:val="auto"/>
              </w:rPr>
            </w:pPr>
            <w:r>
              <w:rPr>
                <w:rFonts w:ascii="Times New Roman" w:cs="Times New Roman" w:eastAsia="Times New Roman" w:hAnsi="Times New Roman"/>
                <w:sz w:val="18"/>
                <w:szCs w:val="18"/>
                <w:color w:val="auto"/>
              </w:rPr>
              <w:t xml:space="preserve">Net loss per share attributable to Common Stockholders – basic and diluted </w:t>
            </w:r>
            <w:r>
              <w:rPr>
                <w:rFonts w:ascii="Times New Roman" w:cs="Times New Roman" w:eastAsia="Times New Roman" w:hAnsi="Times New Roman"/>
                <w:sz w:val="29"/>
                <w:szCs w:val="29"/>
                <w:color w:val="auto"/>
                <w:vertAlign w:val="superscript"/>
              </w:rPr>
              <w:t>(4)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980" w:type="dxa"/>
            <w:vAlign w:val="bottom"/>
            <w:tcBorders>
              <w:bottom w:val="single" w:sz="8" w:color="CCEEFF"/>
            </w:tcBorders>
            <w:vMerge w:val="continue"/>
          </w:tcPr>
          <w:p>
            <w:pPr>
              <w:spacing w:after="0"/>
              <w:rPr>
                <w:sz w:val="24"/>
                <w:szCs w:val="24"/>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Weighted average common shares outstanding - basic and diluted </w:t>
            </w:r>
            <w:r>
              <w:rPr>
                <w:rFonts w:ascii="Times New Roman" w:cs="Times New Roman" w:eastAsia="Times New Roman" w:hAnsi="Times New Roman"/>
                <w:sz w:val="26"/>
                <w:szCs w:val="26"/>
                <w:color w:val="auto"/>
                <w:vertAlign w:val="superscript"/>
              </w:rPr>
              <w:t>(4)</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2,002,568</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1,079,198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1,973,553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828,344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$696 thousand and $961 thousand for the three and nine months ended September 30, 2025, respectively, and none for the three and nine months ended September 30, 2024, in each case from related parties.</w:t>
      </w: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$3.1 million and $7.3 million for the three and nine months ended September 30, 2025, respectively, and none for the three and nine months ended September 30, 2024, in each case from related parties.</w:t>
      </w: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$1.4 million and $2.2 million of interest expense for the three and nine months ended September 30, 2025, respectively, and none for the three and nine months ended September 30, 2024, in each case from a related party.</w:t>
      </w: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retroactively reflect the 1-for-15 reverse stock split on October 8, 2024. Additional information regarding reverse stock splits may be found in Note 1 – Overview, Basis of Presentation, and Significant Accounting Policies, included in the notes to the condensed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RYTHM INC. (Formerly known as 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2"/>
                <w:szCs w:val="22"/>
                <w:color w:val="auto"/>
              </w:rPr>
            </w:pPr>
          </w:p>
        </w:tc>
        <w:tc>
          <w:tcPr>
            <w:tcW w:w="21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2"/>
                <w:szCs w:val="22"/>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pre-funded warrants through public</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held-back shares from Sinclair acquisition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exercise of high trail warrants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208,814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 issued through public offering</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Deemed contribution from troubled debt restructuring with related party</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split share adjustment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4,236</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885,046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20" w:type="dxa"/>
            <w:vAlign w:val="bottom"/>
            <w:vMerge w:val="continue"/>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 issued through public offering</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63,579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Excess of related party debt and pre-funded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equity classified prefunded warrants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vested RSUs, net of shares held back to offset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(2,972)</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948,666</w:t>
            </w:r>
          </w:p>
        </w:tc>
        <w:tc>
          <w:tcPr>
            <w:tcW w:w="1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272,796</w:t>
            </w:r>
          </w:p>
        </w:tc>
        <w:tc>
          <w:tcPr>
            <w:tcW w:w="1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(264,303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8,494</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issued through public offering</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related party debt into prefunded warrants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13,980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vested RSUs, net of shares held back to offset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(18,651)</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1,331,823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288,410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(282,954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5,457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2"/>
                <w:szCs w:val="22"/>
                <w:color w:val="auto"/>
              </w:rPr>
            </w:pPr>
          </w:p>
        </w:tc>
        <w:tc>
          <w:tcPr>
            <w:tcW w:w="21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Cancellation of common shares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non-controlling interests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(1,626)</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20" w:type="dxa"/>
            <w:vAlign w:val="bottom"/>
            <w:vMerge w:val="continue"/>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1,952,014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335,989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(309,169</w:t>
            </w:r>
          </w:p>
        </w:tc>
        <w:tc>
          <w:tcPr>
            <w:tcW w:w="220" w:type="dxa"/>
            <w:vAlign w:val="bottom"/>
            <w:vMerge w:val="continue"/>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26,822</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vested RSUs, net of shares held back to offset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(7,360)</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20" w:type="dxa"/>
            <w:vAlign w:val="bottom"/>
            <w:vMerge w:val="continue"/>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2,002,568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337,490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(316,529</w:t>
            </w:r>
          </w:p>
        </w:tc>
        <w:tc>
          <w:tcPr>
            <w:tcW w:w="220" w:type="dxa"/>
            <w:vAlign w:val="bottom"/>
            <w:vMerge w:val="continue"/>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20,963</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10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841</w:t>
            </w: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(10,665)</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(10,665)</w:t>
            </w:r>
          </w:p>
        </w:tc>
        <w:tc>
          <w:tcPr>
            <w:tcW w:w="0" w:type="dxa"/>
            <w:vAlign w:val="bottom"/>
          </w:tcPr>
          <w:p>
            <w:pPr>
              <w:spacing w:after="0"/>
              <w:rPr>
                <w:sz w:val="1"/>
                <w:szCs w:val="1"/>
                <w:color w:val="auto"/>
              </w:rPr>
            </w:pPr>
          </w:p>
        </w:tc>
      </w:tr>
      <w:tr>
        <w:trPr>
          <w:trHeight w:val="27"/>
        </w:trPr>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2,002,568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338,914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(327,194</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11,722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RYTHM, INC. (Formerly known as 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(17,387)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inventory reserves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abandonment of CIP projects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(20,519)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acquisition of MC Brands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acquisition of VCP</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and cash equivalents (used in) provided by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S-1 and prefunded warrants offering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S-1 Prefunded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related party notes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CP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4,403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end of period</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35,573</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or accrual of pre-funded warrants in lieu of cash interest payments on related party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accounts payable and accrued interests to notes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873"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liability classified prefunded warrants to equity</w:t>
            </w:r>
          </w:p>
        </w:tc>
        <w:tc>
          <w:tcPr>
            <w:tcW w:w="1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20,771</w:t>
            </w: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consolidated into related party debt</w:t>
            </w:r>
          </w:p>
        </w:tc>
        <w:tc>
          <w:tcPr>
            <w:tcW w:w="1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Deemed contribution from troubled debt restructuring with related party</w:t>
            </w:r>
          </w:p>
        </w:tc>
        <w:tc>
          <w:tcPr>
            <w:tcW w:w="1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of loans receivable from noncurrent to current</w:t>
            </w:r>
          </w:p>
        </w:tc>
        <w:tc>
          <w:tcPr>
            <w:tcW w:w="1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into equity</w:t>
            </w:r>
          </w:p>
        </w:tc>
        <w:tc>
          <w:tcPr>
            <w:tcW w:w="1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1,731</w:t>
            </w: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debts into warrants</w:t>
            </w:r>
          </w:p>
        </w:tc>
        <w:tc>
          <w:tcPr>
            <w:tcW w:w="1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10,044</w:t>
            </w: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Consolidation of related party debt principal</w:t>
            </w:r>
          </w:p>
        </w:tc>
        <w:tc>
          <w:tcPr>
            <w:tcW w:w="1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w:t>
            </w: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amounts of lease liabilities arising from obtaining right-of-use assets</w:t>
            </w:r>
          </w:p>
        </w:tc>
        <w:tc>
          <w:tcPr>
            <w:tcW w:w="1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RYTHM, INC. (Formerly known as 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RYTHM, Inc. (formerly Agrify Corporation) (together with its subsidiaries, the “Company” or “RYTHM”) delivers well-being to consumers through its portfolio of hemp-derived THC products and iconic licensed brands. The Company’s portfolio of consumer-packaged goods brands includes RYTHM,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Dogwalkers, Beboe, &amp;Shine, Doctor Solomon’s, Good Green and Señorita. The Señorita brand offers consumers hemp-derived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at top retailers including Total Wine, ABC Fine Wine &amp; Spirits, and Binny’s in eleven U.S. states and Canada, with plans for expansion and future availability in premier on-premises destinations. Other hemp-derived products including RYTHM beverages and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and Beboe edible products are primarily sold online and through direct-to-retail partnerships. In addition to the sale of hemp-derived products (“Non-licensing Revenue”), the Company licenses its brands to be manufactured and distributed in exchange for a licensing fee (“Licensing Revenue”).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RYTHM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 industry.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On August 27, 2025, the Company filed a Certificate of Amendment to the Articles of Incorporation of the Company with the Secretary of State of Nevada, to effect a change in the Company’s name from Agrify Corporation to RYTHM, Inc., effective as of September 2, 2025. In connection with the name change, the Company’s trading symbol on the Nasdaq Capital Market changed from “AGFY” to “RYM” effective as of the open of trading on September 2, 2025. The Company is sometimes referred to herein by the words “we,” “us,” “our,” and similar terminology.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twelve wholly-owned consolidated subsidiaries, which are collectively referred to as the “Subsidiaries” and seven out of twelve subsidiaries are related to discontinued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LLC (“Double or Nothing”), the owner and creator of the Señorita brand of hemp-derived drinks as part of the Company’s strategic plan to reposition itself as a distributor of hemp-derived THC beverages and similar products.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w:t>
      </w:r>
    </w:p>
    <w:p>
      <w:pPr>
        <w:jc w:val="both"/>
        <w:spacing w:after="0" w:line="234" w:lineRule="auto"/>
        <w:rPr>
          <w:sz w:val="20"/>
          <w:szCs w:val="20"/>
          <w:color w:val="auto"/>
        </w:rPr>
      </w:pPr>
      <w:r>
        <w:rPr>
          <w:rFonts w:ascii="Times New Roman" w:cs="Times New Roman" w:eastAsia="Times New Roman" w:hAnsi="Times New Roman"/>
          <w:sz w:val="18"/>
          <w:szCs w:val="18"/>
          <w:color w:val="auto"/>
        </w:rPr>
        <w:t>from the Company relating to the Company’s VFUs, including the related Agrify total-turnkey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sale of the Cultivation Business occurred following signing on December 31, 2024. The results of the Cultivation Business are presented as discontinued operations in the Condensed Consolidated Statements of Operations and, as such, have been excluded from continuing operations. Further, the Company reclassified the assets and liabilities of the Cultivation Business associated with discontinued operations in the Condensed Consolidated Balance Sheets as of September 30, 2025 and December 31, 2024. For further discussion on the discontinued operations, refer to Note 6 included elsewhere in the notes to the unaudited condensed consolidated financial statements.</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30, 2025, the Company approved the winding down of the Extraction Business by March 31, 2025, including but not limited to, the sale or other disposal of all remaining assets constituting the Extraction Business, the cessation of all business operations related to the Extraction Business, the termination of any outstanding contracts related to the Extraction Business, and termination of any employees primarily involved in the Extraction Business. The results of the Extraction Business are presented as discontinued operations in the Condensed Consolidated Statements of Operations and, as such, have been excluded from continuing operations. Further, the Company reclassified the assets and liabilities of the Extraction Business associated with discontinued operations in the Condensed Consolidated Balance Sheets as of September 30, 2025 and December 31, 2024. The balances as of December 31, 2024 reflect historical carrying values, without remeasurement. For further discussion on the discontinued operations, refer to Note 6 included elsewhere in the notes to the unaudited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20, 2025, the Company entered into a purchase agreement with VCP IP Holdings, LLC (“VCP”), an indirectly wholly-owned subsidiary of Green Thumb Industries Inc. (“Green Thumb”), a related party, pursuant to which the Company acquired all of the equity interests in MC Brands LLC and its wholly-owned subsidiary Core Growth LLC (together referred to as “MC Brands”). The assets of MC Brands consist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The aggregate consideration exchanged for the equity interest was cash consideration of $5.1 million. In connection with the purchase of MC Brands, the Company also licensed the right to use the RYTHM and Beboe brands from Green Thumb for hemp-derived THC beverages and similar products.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27, 2025, the Company entered into a purchase agreement with VCP23, LLC (“VCP23”), an indirectly wholly-owned subsidiary of Green Thumb, a related party, pursuant to which the Company acquired all of the equity interests in VCP. The assets of VCP consist primarily of intellectual property rights to several brands including RYTHM, Dogwalkers, Beboe, &amp;Shine, Doctor Solomon’s and Good Green (the “Acquired Brands”). Cash consideration of $50.0 million was exchanged for 100% of the equity interest in VCP. In connection with the purchase of VCP, the Company also entered a license agreement with GTI Core, LLC (“GTI Core”), an indirect wholly-owned subsidiary of Green Thumb, related to the Acquired Brands in connection with GTI Core’s existing businesses, with an effective date of November 1, 2025. The consideration payable by GTI Core for the license rights consists of a monthly license fee, payable in cash, for using the licensed intellectual property. The May 20, 2025 license agreements granting the Company rights to use the RYTHM and Beboe brands were terminated concurrently on August 27,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Nasdaq Hearings Panel (the “Panel”) of the Nasdaq Stock Market LLC (“Nasdaq”) had granted the Company’s request for an exception through April 15, 2024 to evidence compliance with the Nasdaq Listing Rule 5550(b)(1) (the “Listing Rule 5550(b)(1)”), which was subsequently extended to May 15, 2024. As a result of the conversion of a convertible note and a junior note held in favor of CP, the Company regained compliance with the stockholders’ equity requirement. On May 28, 2024, the Company received formal written notice from Nasdaq confirming that the Company had regained compliance with the minimum stockholders’ equity requirement as set forth in Listing Rule 5550(b)(1).</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5, 2024, the Company received a deficiency letter from the Nasdaq Listing Qualifications Department (the “Staff”)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had no immediate effect on the listing of the Company’s Common Stock on Nasdaq. In accordance with Nasdaq Listing Rule 5810(c)(3)(A), the Company had 180 calendar days to regain compliance with the Minimum Bid Requirement. The compliance period for the Company expired on September 3, 2024. On September 4, 2024, the Staff notified the company in writing that it was eligible for an additional 180-day compliance period, or until March 3, 2025, to regain compliance with the Minimum Bid Requirement. On October 8, 2024, the Company completed a 1-for-15 reverse stock split of its Common Stock, in which each fifteen shares of Common Stock issued and outstanding was combined and converted into one share of Common Stock to regain compliance with the Minimum Bid Requirement. On October 22, 2024, the Staff notified the Company that it had regained compliance with the Minimum Bid Requirement.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interim condensed consolidated financial statements of the Company are unaudited. In the opinion of management, all adjustments (consisting of normal recurring adjustments) and disclosures necessary for a fair presentation of these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Securities and Exchange Commission (the “SEC”) and do not include all information and footnotes necessary for a complete presentation of financial statements in conformity with accounting principles generally accepted in the United States (“U.S. GAAP”).</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annual consolidated financial statements prepared in accordance with U.S. GAAP have been condensed or omitted. These unaudited interim condensed consolidated financial statements should be read in conjunction with the Company’s audited consolidated financial statements and notes thereto included in the Company’s Annual Report on Form 10-K for the year ended December 31, 2024 filed with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annual consolidated financial statements prepared in accordance with U.S. GAAP have been condensed or omitted. These unaudited interim condensed consolidated financial statements should be read in conjunction with the Company’s audited consolidated financial statements and notes thereto included in the Company’s Annual Report on Form 10-K for the year ended December 31, 2024, filed with the SEC on March 21, 2025, as amended on March 28, 2025, with Items 7 and 9 from such Annual Report having been recast to retrospectively reflect discontinued operations as reflected in the Current Report on Form 8-K filed with the SEC on October 8, 2025 (the “Form 10-K). The December 31, 2024 balances reported herein are derived from the audited consolidated financial statements for the year ended December 31, 2024, retrospectively adjusted for discontinued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Wholly-Owned Subsidiaries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have been prepared in accordance with U.S. GAAP and include the accounts of the Company and its wholly-owned Subsidiaries, as described above, in accordance with the provisions required by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of the Financial Accounting Standards Board (“FASB”). The Company includes results of operations of acquired companies from the date of acquisition. All significant intercompany transactions and balances are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On an ongoing basis, we evaluate estimates, which include estimates related to accruals, stock-based compensation expense, reported amounts of revenues and expenses during the reported period, fair value of warrant liabilities, sales tax liabilities, valuation of deferred tax assets, net realizable value of inventory, intangible assets, goodwill, and litigation. The Company bases its estimates on historical experience and other market-specific or other relevant assumptions that it believes to be reasonable under the circumstances. Actual results may differ materially from those estimates or assumptions.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regularly evaluates its assets, including asset groups or reporting units, for impairment in accordance with ASC 360-10, </w:t>
      </w:r>
      <w:r>
        <w:rPr>
          <w:rFonts w:ascii="Times New Roman" w:cs="Times New Roman" w:eastAsia="Times New Roman" w:hAnsi="Times New Roman"/>
          <w:sz w:val="18"/>
          <w:szCs w:val="18"/>
          <w:i w:val="1"/>
          <w:iCs w:val="1"/>
          <w:color w:val="auto"/>
        </w:rPr>
        <w:t>Impairment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Disposal of Long-Lived Assets</w:t>
      </w:r>
      <w:r>
        <w:rPr>
          <w:rFonts w:ascii="Times New Roman" w:cs="Times New Roman" w:eastAsia="Times New Roman" w:hAnsi="Times New Roman"/>
          <w:sz w:val="18"/>
          <w:szCs w:val="18"/>
          <w:color w:val="auto"/>
        </w:rPr>
        <w:t>. The Company is aware of the impact that prolonged net losses can have on the fair value of underlying assets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company. The Company is committed to ensuring that the carrying amounts of its assets are appropriately assessed and adjusted for any impairment, reflecting a true and fair view of its financial 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effected a 1-for-15 reverse stock split of its Common Stock on October 8, 2024.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condensed consolidated balance sheets reflects the reverse stock split by reclassifying from Common Stock to additional paid-in capital an amount equal to the par value of the decreased shares resulting from the reverse stock split.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condensed consolidated financial statements related to the prior years have been reclassified to conform to the current year’s presentation, specifically related to discontinued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2024, the Company entered into and closed the Purchase Agreement with CP. Under the Purchase Agreement, CP acquired assets from the Company relating to the Cultivation Business. On March 30, 2025, the Company discontinued the Extraction Business (together with the Cultivation Business, the “Discontinued Operations”).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the sale of the Cultivation Business and the exit of the Extraction Business represented strategic shifts that will have a major effect on the Company’s operations and financial results, they have been presented in discontinued operations in accordance with ASC 205,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separate from continuing operations for the three months and nine months ended September 30, 2025 and 2024, and as of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December 31, 2024, as applicable. For further discussion, refer to Note 6 included elsewhere in the notes to the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net, primarily consists of amounts for goods and services that are billed and currently due from customers. In accordance with the current expected credit loss (“CECL”) impairment model under Accounting Standards Update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accounts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unaudited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 Company had one related party customer and three third-party customers that accounted for 10% or more of the total revenue from continuing operations. These customers each represented between 11% and 26% of total revenue from continuing operations for the period. For the three months ended September 30, 2024, the Company had no revenue from continuing operations and therefore no customer represented a significant portion of revenue from continuing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the Company had one related party customer and three third-party customers that accounted for 10% or more of the total revenue from continuing operations. These customers each represented between 10% and 28% of total revenue from continuing operations for the period. For the nine months ended September 30, 2024, the Company had no revenue from continuing operations and therefore no customer represented a significant portion of revenue from continuing operations.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one of the Company’s related party customers accounted for 18% of accounts receivable and three of the Company’s third-party customers accounted for 45% of accounts receivable. As of December 31, 2024, one third-party customer accounted for 100% of accounts receivable.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finished goods and raw materials,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a physical inventory count at least annually at all significant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business combinations under the provisions of Accounting Standards Codification Topic 805-10,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which requires that the purchase method of accounting be used for all business combinations.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are recorded at the date of acquisition at their respective fair values. For transactions that are business combinations, the Company evaluates the existence of goodwill. Goodwill represents the excess purchase price over the fair value of the tangible net assets and intangible assets acquired in a business combination. ASC 805 also specifies criteria that intangible assets acquired in a business combination must meet to be recognized and reported apart from goodwill. Acquisition-related expenses are recognized separately from the business combinations and are expensed as incurred.</w:t>
      </w:r>
    </w:p>
    <w:p>
      <w:pPr>
        <w:spacing w:after="0" w:line="1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estimated fair value of net assets acquired, including the allocation of the fair value to identifiable assets and liabilities, is determined using established valuation techniques. A fair value measurement is determined as the price received to sell an asset or pay to transfer a liability in an orderly transaction between market participants at the measurement date. In the context of purchase accounting, the determination of fair value often involves significant judgments and estimates by management, including the selection of valuation methodologies, estimates of future revenues, costs and cash flows, discount rates, and selection of comparable companies. The estimated fair values reflected in the purchase accounting rely on management’s judgment and the expertise of a third-party valuation firm engaged to assist in concluding on the fair value measurements. In determining the fair value of all identifiable assets and liabilities acquired, the most significant estimates relate to intangible assets. For the intangible assets identified, depending on the type of intangible asset and the complexity of determining its fair value, the fair value is developed using appropriate valuation techniques, taking into account assumptions such as the expected future revenue, expected use of the asset, market conditions, uncertainty factors, the estimated useful life, and discount rate, among other factors. These assumptions may vary based on future events, perceptions of different market participants and other factors outside the control of management, and such variations may be significant to estimated values.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for determining the appropriate accounting treatment for asset acquisitions. ASU No.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provides an initial fair value screen to determine if substantially all of the fair value of the assets acquired is concentrated in a single asset or group of similar assets. If the initial screening test is not met, the set is considered a business based on whether there are inputs and substantive processes in place. Based on the results of this analysis and conclusion on an acquisition’s classification of a business combination or an asset acquisition, the accounting treatment is derived.</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acquisition is deemed to be a business, the purchase method of accounting is applied. If the transaction is deemed to be an asset acquisition, the cost accumulation and allocation model is used whereby the assets and liabilities are recorded based on the purchase price and allocated to the individual assets and liabilities based on relative fair values. For the allocation of intangible assets identified, depending on the type of intangible asset and the complexity of determining its relative fair value, an independent valuation expert or management may allocate the relative fair value, using appropriate valuation techniques, which are generally based on a forecast of the total expected future net cash flows and takes into consideration other significant assumptions such as the expected use, market uncertainty, marketing or sales support requirements and the intangible asset useful lives.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Issued or modified warrants that meet all of the criteria for equity classification are recorded as a component of additional paid-in capital at the time of issuance or when incurred. Issued or modified warrants that are precluded from equity classification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contingent consideration, operating lease liabilities, long-term debt, related party debt, and pre-funded warrants. Refer to Note 4 - Fair Value Measures, included elsewhere in the notes to the unaudited condensed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generates revenue from continuing operations through the sale of hemp-derived THC products (non-licensing) and Licensing Revenue. The Company licenses intellectual property to a related party under arrangements that provide for sales-based license fees. The Company recognizes licensing income derived from licensing agreements in accordance with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specifically, the sales-based royalty exception.</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accordance with ASC 606, revenue for hemp-derived THC products (non-licensing) is recognized through a five-step model, as outlined below:</w:t>
      </w:r>
    </w:p>
    <w:p>
      <w:pPr>
        <w:spacing w:after="0" w:line="221" w:lineRule="exact"/>
        <w:rPr>
          <w:sz w:val="20"/>
          <w:szCs w:val="20"/>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the customer contract</w:t>
      </w:r>
      <w:r>
        <w:rPr>
          <w:rFonts w:ascii="Times New Roman" w:cs="Times New Roman" w:eastAsia="Times New Roman" w:hAnsi="Times New Roman"/>
          <w:sz w:val="18"/>
          <w:szCs w:val="18"/>
          <w:color w:val="auto"/>
        </w:rPr>
        <w:t>: A customer contract is identified when there is mutual approval and commitment between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performance obligations that are distinct</w:t>
      </w:r>
      <w:r>
        <w:rPr>
          <w:rFonts w:ascii="Times New Roman" w:cs="Times New Roman" w:eastAsia="Times New Roman" w:hAnsi="Times New Roman"/>
          <w:sz w:val="18"/>
          <w:szCs w:val="18"/>
          <w:color w:val="auto"/>
        </w:rPr>
        <w:t>: The Company identifies distinct performance obligations in each contract. A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p>
      <w:pPr>
        <w:spacing w:after="0" w:line="17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The transaction price is the amount of consideration the Company expects to receive in exchange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 This amount is determined excluding sales taxes collected on behalf of government agencies and net of any sales discounts, incentives, and returns.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Allocate the transaction price to distinct performance obligations</w:t>
      </w:r>
      <w:r>
        <w:rPr>
          <w:rFonts w:ascii="Times New Roman" w:cs="Times New Roman" w:eastAsia="Times New Roman" w:hAnsi="Times New Roman"/>
          <w:sz w:val="18"/>
          <w:szCs w:val="18"/>
          <w:color w:val="auto"/>
        </w:rPr>
        <w:t>: The transaction price is allocated to each distinct performance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relative standalone selling prices (“SSP”) of the goods or services provided. If a contract involves multiple performance obligations, each is accounted for separately if distinct, and the SSP reflects the price the Company would charge if the good or service were sold separately in similar circumstances and to similar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Recognize revenue as the performance obligations are satisfied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hemp-derived THC products (non-licensing)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The Company does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 exchange.</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606-10-55-65 through 55-65B, Licensing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 Per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presents basic and diluted net (loss) income per share attributable to Common Stockholders in conformity with the one-class method. The Company computes basic (loss) income per share by dividing net (loss) income available to Common Stockholders by the weighted-average number of Common Stock outstanding. Diluted (loss) income per share adjusts basic loss per share for the potentially dilutive impact of convertible notes, stock options, restricted stock units and warrants. For the nine months ended September 30, 2024, the Company adjusts the net income available to common stockholders and the weighted average common stock outstanding for the effective of dilutive securities as presented within Note 15 – Net (Loss) Income Per Share. As the Company has reported losses for the three months ended September 30, 2025 and 2024 and the nine months ended September 30, 2025, all potentially dilutive securities including convertible notes, stock options, restricted stock units and warrants, are anti-dilutive, and accordingly, basic net loss per share equals diluted net loss per share for those periods.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(loss) income per share calculations for all periods have been adjusted to reflect the reverse stock split effected on October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December 14, 2023, the Financial Accounting Standards Board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adopted this new standard on January 1, 2025 and the effect of this guidance will be reflected in the financial statements for the year ending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(Topic 220): Disaggregation of Income Statement Expenses. This 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condensed consolidated financial statements and related disclosures.</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ASU 2020-06. Adoption can be on a prospective or retrospective basis. The Company is currently evaluating the disclosure impact that ASU 2024-04 may have on its condensed consolidated financial statement presentation and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(“ASU 2025-05”), to introduce a practical expedient for all entities, which simplifies the calculation required for estimating credit losses and assumes that current conditions as of the balance sheet date do not change for the remaining life of the asset. ASU 2025-05 is effective for annual reporting periods beginning after December 15, 2025, and interim reporting periods within those annual reporting periods; however, early adoption is permitted. ASU 2025-25 allows for adoption using a prospective method. The Company is currently evaluating the impact of ASU 2025-05 on its condensed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continuing operations from Non-licensing Revenue and Licensing Revenue.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generated revenue from continuing operations from non-hemp-derived product sales and sales-based Licensing Revenue. Non-licensing Revenue from hemp-derived product sales is recognized at a point-in-time when control transfers to the customer. Licensing Revenue is recognized over time as the underlying sales occur in accordance with the terms of the related party license agreements. For the three and nine months ended September 30, 2024, the Company had no revenue from continuing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revenue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3"/>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532</w:t>
            </w:r>
          </w:p>
        </w:tc>
        <w:tc>
          <w:tcPr>
            <w:tcW w:w="84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Condensed Consolidated Balance Sheet Information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as of September 30, 2025 and December 31, 2024: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movement in the Company’s credit losses accounts were as follows: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(Recovery of) allowance for credit losses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of uncollectible accounts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Allowance for credit losses - end of period</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September 30, 2025 and December 31, 2024: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fulfillment and manufacturing related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gridSpan w:val="2"/>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7,543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paid $1.5 million into escrow related to Cultivation Sale Agreement. See related legal matters in Note 16.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related party accrued consulting fees with Green Thumb of approximately $4.1 million and $332 thousand,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2025 and December 31, 2024, the Company’s assets and liabilities measured at fair value on a recurring basis were as follows:</w:t>
      </w:r>
    </w:p>
    <w:p>
      <w:pPr>
        <w:sectPr>
          <w:pgSz w:w="11900" w:h="16838" w:orient="portrait"/>
          <w:cols w:equalWidth="0" w:num="1">
            <w:col w:w="11240"/>
          </w:cols>
          <w:pgMar w:left="320" w:top="877" w:right="339" w:bottom="1440" w:gutter="0" w:footer="0" w:header="0"/>
        </w:sectPr>
      </w:pPr>
    </w:p>
    <w:p>
      <w:pPr>
        <w:spacing w:after="0" w:line="235"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19685</wp:posOffset>
            </wp:positionV>
            <wp:extent cx="2674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19685</wp:posOffset>
            </wp:positionV>
            <wp:extent cx="2674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6640" w:space="720"/>
            <w:col w:w="388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2"/>
          </w:tcPr>
          <w:p>
            <w:pPr>
              <w:spacing w:after="0"/>
              <w:rPr>
                <w:sz w:val="21"/>
                <w:szCs w:val="21"/>
                <w:color w:val="auto"/>
              </w:rPr>
            </w:pPr>
          </w:p>
        </w:tc>
      </w:tr>
      <w:tr>
        <w:trPr>
          <w:trHeight w:val="216"/>
        </w:trPr>
        <w:tc>
          <w:tcPr>
            <w:tcW w:w="2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c>
          <w:tcPr>
            <w:tcW w:w="40" w:type="dxa"/>
            <w:vAlign w:val="bottom"/>
            <w:shd w:val="clear" w:color="auto" w:fill="CCEEFF"/>
          </w:tcPr>
          <w:p>
            <w:pPr>
              <w:spacing w:after="0"/>
              <w:rPr>
                <w:sz w:val="21"/>
                <w:szCs w:val="21"/>
                <w:color w:val="auto"/>
              </w:rPr>
            </w:pPr>
          </w:p>
        </w:tc>
      </w:tr>
      <w:tr>
        <w:trPr>
          <w:trHeight w:val="210"/>
        </w:trPr>
        <w:tc>
          <w:tcPr>
            <w:tcW w:w="26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accounts receivable, contingent consideration, operating lease liabilities, long-term debt, related party debt, and warrant liabilities. Fair value information for each of these instruments as well as other balances of the Company are as follows:</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approximate their fair value based on the short-term nature of these instruments.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is presented net of an allowance for estimated credit losses, which approximates fair value.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at each reporting period with the changes in fair value of warrant liabilities recorded in other income (expense), net in the accompanying unaudited condensed consolidated statements of operations until the warrants are exercised or expire. The fair value of the warrant liabilities is estimated using a Black-Scholes option-pricing model.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pre-funded warrants issued to a related party. As a result of the latest amendment executed as of December 31, 2024, the warrants met the requirements for equity classification and were marked to fair value as of December 31, 2024. The warrants will not be marked to fair value on a recurring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September 30, 2025 and December 31, 2024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valuations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820" w:type="dxa"/>
            <w:vAlign w:val="bottom"/>
          </w:tcPr>
          <w:p>
            <w:pPr>
              <w:spacing w:after="0"/>
              <w:rPr>
                <w:sz w:val="21"/>
                <w:szCs w:val="21"/>
                <w:color w:val="auto"/>
              </w:rPr>
            </w:pPr>
          </w:p>
        </w:tc>
        <w:tc>
          <w:tcPr>
            <w:tcW w:w="58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$41.00</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840" w:type="dxa"/>
            <w:vAlign w:val="bottom"/>
            <w:gridSpan w:val="2"/>
          </w:tcPr>
          <w:p>
            <w:pPr>
              <w:jc w:val="center"/>
              <w:ind w:left="4610"/>
              <w:spacing w:after="0"/>
              <w:rPr>
                <w:sz w:val="20"/>
                <w:szCs w:val="20"/>
                <w:color w:val="auto"/>
              </w:rPr>
            </w:pPr>
            <w:r>
              <w:rPr>
                <w:rFonts w:ascii="Times New Roman" w:cs="Times New Roman" w:eastAsia="Times New Roman" w:hAnsi="Times New Roman"/>
                <w:sz w:val="18"/>
                <w:szCs w:val="18"/>
                <w:color w:val="auto"/>
                <w:w w:val="99"/>
              </w:rPr>
              <w:t>$0.14 - $22,440</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$0.14 - $22,440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40" w:type="dxa"/>
            <w:vAlign w:val="bottom"/>
            <w:gridSpan w:val="2"/>
            <w:shd w:val="clear" w:color="auto" w:fill="CCEEFF"/>
          </w:tcPr>
          <w:p>
            <w:pPr>
              <w:jc w:val="center"/>
              <w:ind w:left="4610"/>
              <w:spacing w:after="0"/>
              <w:rPr>
                <w:sz w:val="20"/>
                <w:szCs w:val="20"/>
                <w:color w:val="auto"/>
              </w:rPr>
            </w:pPr>
            <w:r>
              <w:rPr>
                <w:rFonts w:ascii="Times New Roman" w:cs="Times New Roman" w:eastAsia="Times New Roman" w:hAnsi="Times New Roman"/>
                <w:sz w:val="18"/>
                <w:szCs w:val="18"/>
                <w:color w:val="auto"/>
              </w:rPr>
              <w:t>1.33-2.39</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2.08 - 3.14</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840" w:type="dxa"/>
            <w:vAlign w:val="bottom"/>
            <w:gridSpan w:val="2"/>
          </w:tcPr>
          <w:p>
            <w:pPr>
              <w:jc w:val="center"/>
              <w:ind w:left="4590"/>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tcPr>
          <w:p>
            <w:pPr>
              <w:spacing w:after="0"/>
              <w:rPr>
                <w:sz w:val="18"/>
                <w:szCs w:val="18"/>
                <w:color w:val="auto"/>
              </w:rPr>
            </w:pP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5840" w:type="dxa"/>
            <w:vAlign w:val="bottom"/>
            <w:gridSpan w:val="2"/>
            <w:shd w:val="clear" w:color="auto" w:fill="CCEEFF"/>
          </w:tcPr>
          <w:p>
            <w:pPr>
              <w:jc w:val="center"/>
              <w:ind w:left="4590"/>
              <w:spacing w:after="0"/>
              <w:rPr>
                <w:sz w:val="20"/>
                <w:szCs w:val="20"/>
                <w:color w:val="auto"/>
              </w:rPr>
            </w:pPr>
            <w:r>
              <w:rPr>
                <w:rFonts w:ascii="Times New Roman" w:cs="Times New Roman" w:eastAsia="Times New Roman" w:hAnsi="Times New Roman"/>
                <w:sz w:val="18"/>
                <w:szCs w:val="18"/>
                <w:color w:val="auto"/>
                <w:w w:val="99"/>
              </w:rPr>
              <w:t>3.60-3.68%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8"/>
                <w:szCs w:val="18"/>
                <w:color w:val="auto"/>
              </w:rPr>
            </w:pPr>
          </w:p>
        </w:tc>
      </w:tr>
      <w:tr>
        <w:trPr>
          <w:trHeight w:val="655"/>
        </w:trPr>
        <w:tc>
          <w:tcPr>
            <w:tcW w:w="38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259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17" w:name="page18"/>
    <w:bookmarkEnd w:id="1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nine months ended September 30, 2025 and for the year ended December 31, 2024 and changes in the number of outstanding warrant liabilities for the nine months ended September 30,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number of outstanding warrant liabilities)</w:t>
            </w: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(20,771)</w:t>
            </w: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17,902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Warrant liabilities end of period</w:t>
            </w: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number of outstanding warrants subject to liability classification was 40,017, of which 15,394 are held by RSLGH, a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related to hemp-derived THC products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3,415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materials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3"/>
              </w:rPr>
              <w:t>5,125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inventory, net</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3"/>
              </w:rPr>
              <w:t>4,618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6 —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Business Discontinued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2024, the Company executed and closed the Purchase Agreement with CP for the sale of assets relating to the Company’s Cultivation Business. The consideration for the sale of the Cultivation Business consisted of the assumption by CP of all the Company’s secured indebtedness currently held by CP with an aggregate amount of principal and accrued interest of approximately $7 million, as well as certain other liabilities related to the Cultivation Business. The sale represents efforts to strategically shift the Company’s direction to focus on its hemp-related business operations. As a result, the Cultivation Business has been presented as discontinued operations in the condensed consolidated financial statements for all periods presented.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disposition resulted in a loss on sale of $11.9 million, which was recorded in net loss from discontinued operations in the consolidated statement of operations for the year ended December 31, 2024. The operating results of the Cultivation Business were reported as a net loss from discontinued operations in the consolidated statements of operations through December 31, 2024, the date of disposition, and were considered material. The assets and liabilities related to the Cultivation Business have been separately classified in the accompanying condensed consolidated balance sheets as of September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Business Discontinued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30, 2025, the Company approved the discontinuation and wind down of its legacy Extraction Business. As a result, all operations associated with the Extraction Business have ceased as of March 31, 2025, and the Company has initiated the sale or disposal of all remaining assets related to the Extraction Business. In addition, all outstanding contracts associated with the Extraction Business have been or are in the process of being terminated in accordance with their respective terms. In connection with the discontinuation of the business, the Company reduced its workforce by nine employees on April 1, 2025. The discontinuation of the legacy Extraction Business represents efforts to strategically shift the Company’s direction to support the continued expansion of its hemp-derived products business operations. As a result, the Extraction Business has been presented as discontinued operations in the condensed consolidated financial statements for all periods presented.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decision to wind down the Extraction Business, a gain of approximately $3.5 million, was recorded in income from discontinued operations in the condensed consolidated statement of operations for the nine months ended September 30, 2025. The operating results of the Extraction Business were reported as a net loss from discontinued operations in the condensed consolidated statements of operations for the three and nine months ended September 30, 2025 and 2024, and were considered material. The assets and liabilities related to the Extraction Business have been separately classified in the accompanying condensed consolidated balance sheets as of September 30, 2025 and December 31, 2024.</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assets and liabilities associated with Discontinued Operations consisted of the following as of September 30, 2025 and December 31,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380" w:type="dxa"/>
            <w:vAlign w:val="bottom"/>
            <w:gridSpan w:val="3"/>
            <w:shd w:val="clear" w:color="auto" w:fill="CCEEFF"/>
          </w:tcPr>
          <w:p>
            <w:pPr>
              <w:ind w:left="4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assets of discontinued operations</w:t>
            </w:r>
          </w:p>
        </w:tc>
        <w:tc>
          <w:tcPr>
            <w:tcW w:w="4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48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4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50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4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98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380" w:type="dxa"/>
            <w:vAlign w:val="bottom"/>
            <w:gridSpan w:val="3"/>
          </w:tcPr>
          <w:p>
            <w:pPr>
              <w:ind w:left="4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4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4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3"/>
              </w:rPr>
              <w:t>2,160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9,242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4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4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2,160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02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9" w:name="page20"/>
    <w:bookmarkEnd w:id="1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(loss) income from Discontinued Operations for the three and nine months ended September30,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20" w:type="dxa"/>
            <w:vAlign w:val="bottom"/>
          </w:tcPr>
          <w:p>
            <w:pPr>
              <w:spacing w:after="0"/>
              <w:rPr>
                <w:sz w:val="20"/>
                <w:szCs w:val="20"/>
                <w:color w:val="auto"/>
              </w:rPr>
            </w:pPr>
          </w:p>
        </w:tc>
        <w:tc>
          <w:tcPr>
            <w:tcW w:w="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1,709</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820" w:type="dxa"/>
            <w:vAlign w:val="bottom"/>
          </w:tcPr>
          <w:p>
            <w:pPr>
              <w:spacing w:after="0"/>
              <w:rPr>
                <w:sz w:val="18"/>
                <w:szCs w:val="18"/>
                <w:color w:val="auto"/>
              </w:rPr>
            </w:pPr>
          </w:p>
        </w:tc>
        <w:tc>
          <w:tcPr>
            <w:tcW w:w="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8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on property and equipment</w:t>
            </w:r>
          </w:p>
        </w:tc>
        <w:tc>
          <w:tcPr>
            <w:tcW w:w="820" w:type="dxa"/>
            <w:vAlign w:val="bottom"/>
          </w:tcPr>
          <w:p>
            <w:pPr>
              <w:spacing w:after="0"/>
              <w:rPr>
                <w:sz w:val="20"/>
                <w:szCs w:val="20"/>
                <w:color w:val="auto"/>
              </w:rPr>
            </w:pPr>
          </w:p>
        </w:tc>
        <w:tc>
          <w:tcPr>
            <w:tcW w:w="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31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discontinued operations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820" w:type="dxa"/>
            <w:vAlign w:val="bottom"/>
          </w:tcPr>
          <w:p>
            <w:pPr>
              <w:spacing w:after="0"/>
              <w:rPr>
                <w:sz w:val="18"/>
                <w:szCs w:val="18"/>
                <w:color w:val="auto"/>
              </w:rPr>
            </w:pPr>
          </w:p>
        </w:tc>
        <w:tc>
          <w:tcPr>
            <w:tcW w:w="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3,533</w:t>
            </w: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8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(2,295)</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8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(32)</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statements of cash flows include continuing operations and discontinued operations. The following table summarizes the depreciation and amortization of long-lived assets, provisions for credit losses, change in inventory reserves, and capital expenditures and disposals related to the Discontinued Operations for the three and nine months ended September 30: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4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16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4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top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52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inventory reserves</w:t>
            </w: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(1,833)</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637"/>
        </w:trPr>
        <w:tc>
          <w:tcPr>
            <w:tcW w:w="4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7 — Business Combinations and Asset Acquisitions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performs an assessment of whether an acquisition is a business combination or asset acquisition based on the conditions surrounding the event using guidance from ASC 805. Judgement is applied in determining whether a transaction is a business combination or an asset acquisition by considering the nature of the assets acquired and the processes applied to those assets, or if the integrated set of assets and activities is capable of being conducted and managed for the purpose of providing a return to investors or other owners. Business combinations and asset acquisitions have been accounted for in accordance with ASC 805. Business Combinations are accounted for by applying the acquisition method, whereby the assets acquired, and the liabilities assumed are recorded at their fair values with any excess of the aggregate consideration over the fair values of the identifiable net assets allocated to goodwill (where applicable). If an acquisition is deemed to be a business, the purchase method of accounting is applied. Identifiable assets acquired and liabilities assumed at the acquisition date are recorded at fair value. If a transaction is deemed to be an asset acquisition, the cost accumulation and allocation model is used whereby the assets and liabilities are recorded based on the purchase price and allocated to the individual assets and liabilities based on relative fair values. Goodwill is not recognized in asset acquisitions.</w:t>
      </w:r>
    </w:p>
    <w:p>
      <w:pPr>
        <w:spacing w:after="0" w:line="19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Operating results have been included in these consolidated financial statements from the date of each respective acquisition. Supplemental pro forma financial information has not been presented as the impact for Business Combinations was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 of VCP</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27, 2025, the Company entered into a purchase agreement with VCP23, an indirect wholly-owned subsidiary of Green Thumb, a related party, pursuant to which the Company acquired all of the equity interests in VCP. The assets of VCP consist primarily of intellectual property rights to several brands including the Acquired Brands. The consideration exchanged for the equity interest was cash consideration of $50.0 million.</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Acquisition of VCP did not meet the definition of a business according to ASC 805 because substantially all of the fair value of the gross assets acquired was concentrated in a single identifiable asset or a group of similar identifiable assets. The Company recorded intangible assets relating to trade names of the Acquired Brands in the amount of the $50.0 million purchase consideration. In addition, no process or output exists and there is not an integrated set of activities capable of providing a return. The useful lives of the identified intangibles range from 2.4 to 4.4 years with a weighted average useful life of 3.9 years. As the transaction was determined to be an asset acquisition, the total purchase price was allocated to the fair value of the net identifiable assets acquired and goodwill was not recognized.</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MC Brands LLC</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May 20, 2025, the Company entered into a purchase agreement with VCP, an indirect wholly-owned subsidiary of Green Thumb, a related party, pursuant to which the Company acquired all of the equity interests in MC Brands LLC and its wholly-owned subsidiary Core Growth LLC (together referred to as “MC Brands”). The assets of MC Brands consist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The aggregate consideration exchanged for the equity interest was $5.1 million of cash.</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prepared a purchase price allocation based on management’s estimates and assumptions which are subject to change within the purchase price allocation period (generally not more than one year from the acquisition date). As part of the purchase accounting, the Company recorded intangible assets of $4.8 million relating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trade name intellectual property and $275 thousand of customer relationships. The estimates for useful lives of the identified intangibles are five years for trade names and seven years for customer relationships with a weighted average useful life of 5.11 years. As the total purchase price equaled the fair value of the net identifiable assets acquired, no goodwill was recorded.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allocation of the purchase price:</w:t>
            </w: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 (in thousands)</w:t>
            </w:r>
          </w:p>
        </w:tc>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Inventory (non-cannabis)</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4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assets acquired at fair value</w:t>
            </w:r>
          </w:p>
        </w:tc>
        <w:tc>
          <w:tcPr>
            <w:tcW w:w="4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 at fair value</w:t>
            </w:r>
          </w:p>
        </w:tc>
        <w:tc>
          <w:tcPr>
            <w:tcW w:w="4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5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1"/>
        </w:trPr>
        <w:tc>
          <w:tcPr>
            <w:tcW w:w="54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4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Intangible assets, net at September 30, 2025 and December 31, 2024 are summarized as follows: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0"/>
        </w:trPr>
        <w:tc>
          <w:tcPr>
            <w:tcW w:w="46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9"/>
                <w:szCs w:val="19"/>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4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2 - 7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7 - 10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w:t>
            </w:r>
          </w:p>
        </w:tc>
      </w:tr>
      <w:tr>
        <w:trPr>
          <w:trHeight w:val="223"/>
        </w:trPr>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4"/>
        </w:trPr>
        <w:tc>
          <w:tcPr>
            <w:tcW w:w="462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29"/>
        </w:trPr>
        <w:tc>
          <w:tcPr>
            <w:tcW w:w="46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9"/>
                <w:szCs w:val="19"/>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4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w:t>
            </w:r>
          </w:p>
        </w:tc>
      </w:tr>
      <w:tr>
        <w:trPr>
          <w:trHeight w:val="223"/>
        </w:trPr>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$1.8 million and $0, respectively, in general and administrative expense in the condensed consolidated statements of operations for the three months ended September 30, 2025 and 2024,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$2.5 million and $0, respectively, in general and administrative expense in the condensed consolidated statements of operations for the nine months ended September 30, 2025 and 2024,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amortization expense of the Company’s intangible assets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6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3,835</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15,214</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15,214</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10,035</w:t>
            </w:r>
          </w:p>
        </w:tc>
      </w:tr>
      <w:tr>
        <w:trPr>
          <w:trHeight w:val="23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3,599</w:t>
            </w:r>
          </w:p>
        </w:tc>
      </w:tr>
      <w:tr>
        <w:trPr>
          <w:trHeight w:val="216"/>
        </w:trPr>
        <w:tc>
          <w:tcPr>
            <w:tcW w:w="3460" w:type="dxa"/>
            <w:vAlign w:val="bottom"/>
            <w:tcBorders>
              <w:top w:val="single" w:sz="8" w:color="CCEEFF"/>
            </w:tcBorders>
            <w:shd w:val="clear" w:color="auto" w:fill="CCEEFF"/>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61,497</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34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jc w:val="right"/>
              <w:ind w:right="421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color w:val="auto"/>
        </w:rPr>
        <w:t>The Company’s debt consisted of:</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related party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debt, net of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5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82,000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24"/>
                <w:szCs w:val="24"/>
                <w:color w:val="auto"/>
              </w:rPr>
            </w:pPr>
          </w:p>
        </w:tc>
      </w:tr>
      <w:tr>
        <w:trPr>
          <w:trHeight w:val="198"/>
        </w:trPr>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400"/>
              <w:spacing w:after="0" w:line="198" w:lineRule="exact"/>
              <w:rPr>
                <w:sz w:val="20"/>
                <w:szCs w:val="20"/>
                <w:color w:val="auto"/>
              </w:rPr>
            </w:pPr>
            <w:r>
              <w:rPr>
                <w:rFonts w:ascii="Times New Roman" w:cs="Times New Roman" w:eastAsia="Times New Roman" w:hAnsi="Times New Roman"/>
                <w:sz w:val="18"/>
                <w:szCs w:val="18"/>
                <w:color w:val="auto"/>
                <w:w w:val="92"/>
              </w:rPr>
              <w:t>82,000</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17"/>
                <w:szCs w:val="17"/>
                <w:color w:val="auto"/>
              </w:rPr>
            </w:pPr>
          </w:p>
        </w:tc>
      </w:tr>
      <w:tr>
        <w:trPr>
          <w:trHeight w:val="255"/>
        </w:trPr>
        <w:tc>
          <w:tcPr>
            <w:tcW w:w="2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2"/>
              </w:rPr>
              <w:t>72,000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 loan</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notes payable - current</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short-term debt</w:t>
            </w: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4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Long-term debt, net of current</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5, 2024, the Company issued a secured convertible note (the “November 2024 Note”) to RSLGH, LLC (“RSLGH”), a subsidiary of Green Thumb, a related party. The November 2024 Note is a secured obligation of the Company and ranks senior to all indebtedness of the Company except for the May 2025 Notes and the August 2025 Notes (both as defined below), which rank on parity with the November 2024 Note. The November 2024 Note will mature on November 5, 2025 and accrue interest at a 10.0% annualized rate. The principal amount of the November 2024 Note will be payable on the maturity date. The November 2024 Note provides for advances of up to $20 million in the aggregate, of which $10 million was advanced upon issuance. The November 2024 Note was amended on May 8, 2025 to issue pre-funded warrants in lieu of cash interest, with 18,614 pre-funded warrants issued on May 8, 2025 and an additional 11,373 pre-funded warrants issued on September 1, 2025, which were issued in lieu of the cash interest that would otherwise be payable under the November 2024 Note. The number of pre-funded warrants is equal to the cash interest amount otherwise payable on the November 2024 Note divided by the closing share price on May 8, 2025, the effective date of the amendment. No changes were made to the conversion price of the principal amount of the November 2024 Note. On May 22, 2025, the Company and RSLGH entered into a second amendment to the November 2024 Note, which amended the terms to, among other things, permit RSLGH to elect, subject to any required approvals under Nasdaq listing rules, to receive pre-funded warrants in lieu of shares of Common Stock upon conversion of the November 2024 Note at a conversion price equal to the existing conversion price of $3.158 less the $0.001 exercise price of each pre-funded warrant. Subsequent to September 30, 2025, the holder of the November 2024 Note elected to convert the outstanding principal and interest through November 3, 2025, into pre-funded warrants. The outstanding principal and accrued interest amounts of $10 million and $175 thousand respectively, resulted in the issuance of 3,167,564 and 55,433 pre-funded warrants, respectively.</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November 2024 Note and the August 2025 Notes,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3" w:name="page24"/>
    <w:bookmarkEnd w:id="2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25, 2025, the Company issued secured convertible notes with an aggregate original principal amount of $50.0 million (collectively the “August 2025 Notes”) to RSLGH and to certain other third-party accredited investors. The August 2025 Notes are secured obligations of the Company and rank senior to all indebtedness of the Company except for the May 2025 and November 2024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November 2024 Note, May 2025 Notes and August 2025 Notes (together referred to as “the Notes”) impose certain customary affirmative and negative covenants upon the Company, including covenants relating to ranking and reservation of shares. If an event of default under a Note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was in compliance with these covenants as of September 30, 2025.</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the Notes do not contain features that qualify as embedded derivatives in accordance with ASC 815. Borrowings under the Notes as of September 30, 2025 totaled $90.0 million, $10.0 million of which are recorded on the Company’s condensed consolidated balance sheets in related party debt, current, $72.0 million of which are recorded in related party debt, net of current, and the remaining are reported in long-term debt, net of current.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Related party interest expense incurred on the Notes amounted to approximately $1.4 million and $0 for the three months ended September 30, 2025 and 2024, respectively. Related party interest expense incurred on the Notes amounted to approximately $2.2 million and $0 for the nine months ended September 30, 2025 and 2024,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incurred on the Notes related to unaffiliated third parties amounted to approximately $123 thousand and $0 for the three months ended September 30, 2025 and 2024, respectively. Interest expense incurred on the Notes related to unaffiliated third parties amounted to approximately $156 thousand and $0 for the nine months ended September 30, 2025 and 2024,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2025, future minimum principal payments on all debt positions, excluding accrued interest amounts,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10,621</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4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21"/>
        </w:trPr>
        <w:tc>
          <w:tcPr>
            <w:tcW w:w="100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90,621</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as to whether any arrangement contained a lease at its inception was performed based on whether or not the Company has the right to control the asset during the contract period. The lease term was determined assuming the exercise of options that were reasonably certain to occur. Leases with an original lease term of 12 months or less at inception were not reflected in the Company’s condensed consolidated balance sheets and those lease costs are expensed on a straight-line basis over the respective term. Leases with a term greater than 12 months were reflected as non-current right-of-use assets and current and non-current lease liabilities in the Company’s condensed consolidated balance sheets.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 used its incremental borrowing rate as the discount rate for purposes of determining the present value of its lease liabilities. The Company’s incremental borrowing rate was determined using the interest rate on a long term debt position entered into at approximately the same time and for the same duration as the lease.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had no active finance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Also during the nine months ended September 30, 2025, in connection with the discontinuation of Extraction Business, the Company subleased the assets under one of its leases, with the sublease commencement date on April 1, 2025, for $9 thousand per month. The Company recognized a sublease income of $27 thousand, within loss from discontinued operations in the condensed consolidated statements of operations. The Company recognized an impairment of right-of-use assets of $24 thousand, within loss from discontinued operations in the condensed consolidated statements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in connection with the discontinuation of Extraction Business, the Company terminated a lease early and recognized a loss on lease termination of $161 thousand, within gain on disposal of Extraction Business in the condensed consolidated statements of operations.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did not have any operating leases related to continuing operations. As such, no operating lease cost, weighted average remaining lease term, or weighted average discount rate, and cash paid for operating leases are presented for continuing operations for the three and nine months ended September 30, 2025 and 2024, respectively. As of September 30, 2025, there was no future lease payment related to continuing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as placement agent (the “Placement Agent”), pursuant to which the Company agreed to issue and sell an aggregate of 184,000 shares of its Common Stock, and, in lieu of Common Stock to certain investors that so chose, pre-funded warrants to purchase 264,246 shares of its Common Stock (the “S-1 Offering”). The public offering price for each share of Common Stock was $5.70, and the offering price for each pre-funded warrant is $5.685, which equals the public offering price per share of the Common Stock, less the $0.015 per share exercise price of each pre-funded warrant.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issued 4,482 warrants to purchase Common Stock to Alexander Capital (the “Placement Agents Warrants”). The Placement Agents Warrants were classified as equity warrants and recorded under additional paid-in capital in the condensed consolidated balance sheets. The Placement Agents Warrants had a five-year term and exercise price of 100% of the offering price, and were subject to adjustment for stock splits, reverse stock splits, stock dividends, and similar transactions. The Placement Agents Warrants were exercisable on a cash basis, unless there was not an effective registration statement covering the issuance of the shares issuable upon exercise of the Placement Agents Warrants or if shareholder approval for the full exercise of the Placement Agents Warrants was not received, in which case the Placement Agents Warrants would also be exercisable on a cashless exercise basis at Alexander Capital’s election. The Placement Agent Warrants were exercised in full during November 2024.</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measurement of fair value of the Placement Agents Warrants was determined utilizing a Black-Scholes model considering all relevant assumptions current at the date of issuance (i.e., share price of $7.80, exercise price of $5.70, term of five years, volatility of 128%, risk-free rate of 4.32%, and expected dividend rate of 0%). The grant date fair value of these Placement Agents Warrants was estimated to be $31 thousand on February 27, 2024, and was originally recorded within additional paid-in capital. As the Placement Agents Warrants were exercised during the year ended December 31, 2024, the related amounts remain within equity as part of the total proceeds from the issuance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Warrant Issuance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21, 2024, in connection with the amendment of previously outstanding notes, the Company issued 492,204 and 525,114 Pre-Funded Warrants to GIC Acquisitions and CP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Related Party Pre-Funded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Ionic at an effective purchase price of $2.109 per share of Common Stock, the number of shares of Common Stock underlying the Related Party Pre-Funded Warrant held by CP Acquisitions was adjusted to 5,452,288 and the number of shares of Common Stock underlying the Related Party Pre-Funded Warrant held by GIC Acquisition was adjusted to 1,085,122. On August 30, 2024, CP Acquisitions partially exercised its Pre-Funded Warrant and entities affiliated with Raymond Chang and I-Tseng Jenny Chan received an aggregate of 383,127 shares of Common Stock upon the exercise.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nine months ended September 30, 2025, 61,759 warrants were issued in lieu of cash interest payments of $1.4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1,765 shares and 16,667 additional shares issued upon approval by the Board of Directors on January 8, 2024. On August 12, 2024, the Company’s stockholders approved an amendment to the 2022 Plan to increase the number of shares issuable thereunder by 166,667. Shares will be deemed to have been issued under the 2022 Plan solely to the extent actually issued and delivered pursuant to an award. The 2022 Plan shall continue in effect, unless sooner terminated, until the tenth anniversary of the date on which it was adopted by the Board of Directors. On June 11, 2025, the Company’s stockholders approved an amendment to the 2022 Plan to increase the number of shares issuable thereunder by 250,000 shares. As of September 30, 2025, there were 229,815 shares of Common Stock available to be granted under the Company’s 2022 Plan.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stock compensation expense from continuing operations was $507 thousand and $127 thousand for the three months ended September 30, 2025 and 2024, respectively. The Company’s stock compensation expense from continuing operations was $1.6 million and $638 thousand for the nine months ended September 30, 2025 and 2024,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stock compensation expense from discontinued operations was $0 and $156 thousand for the three months ended September 30, 2025 and 2024, respectively. The Company’s stock compensation expense from discontinued operations was a forfeiture of $20 thousand and an expense of $216 thousand for the nine months ended September 30, 2025 and 2024,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nine months ended September 30, 2025, there were no options granted or exercised under the Company’s stock option plans. For the same period, there were 141 options expired with a weighted average exercise price of $11 thousand. There were 75 and 216 options outstanding with a weighted average exercise price of $27 thousand and $19 thousand as of September 30, 2025 and December 31, 2024, respectively. There were 75 options vested and exercisable with a weighted average exercise price of $27 thousand as of September 30, 2025. There were no unvested options as of September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color w:val="auto"/>
        </w:rPr>
        <w:t>As of September 30, 2025, there was no unrecognized compensation expense related to unvested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September 30,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 Vested and Exercisable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5.39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14,208</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officers and consultants. The restricted stock units granted generally vest equally over periods ranging from one to three years, subject to certain exceptions for directors.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for the nine months ended September 30, 2025: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(14,109)</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total unrecognized compensation expense related to unvested restricted stock units was $760 thousand, which is expected to be recognized over a weighted average period of 0.37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Stock 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nine months ended September 30, 2025:</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7,576,573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7,641,863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were 0% for each of the three and nine months ended September 30, 2025 and 2024. There was no provision for (benefit from) income taxes for the three and nine months ended September 30, 2025 and 2024. There is no difference between the Company’s effective tax rates for the 2025 and 2024 periods. There was no change in the provision for (benefit from) income taxes for the three and nine months ended September 30, 2025 compared to the three and nine months ended September 30, 2024.</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utilization of the Company’s net operating loss (“NOL”) carryforwards is subject to limitations under Section 382 of the Internal Revenue Code of 1986, as amended and similar provisions in various state jurisdictions due to historical change in ownership provisions (“Ownership Changes”). These limitations may reduce the amount of NOLs available in future periods and may result in the expiration of certain NOLs before they can be utilized. During the quarter ended June 30, 2025, the Company completed an analysis of Ownership Changes, which had not previously been performed. The analysis identified multiple historical ownership changes that significantly limit the utilization of federal NOLs through the date of the most recent change on November 5, 2024, subjecting them to a minimal annual limitation. The Company is in the process of conducting a similar analysis for state income tax purposes. NOLs generated after November 5, 2024 are not currently subject to this limitation and may be available to offset future taxable income, although any future ownership changes could impose additional limitations. The Company continues to maintain a full valuation allowance against its deferred tax assets, including NOLs, due to the Section 382 limitations resulting from historical ownership changes and the uncertainty surrounding the Company’s ability to generate sufficient taxable income to utilize the remaining NOLs before they expire.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(“OBBA”) was enacted, introducing significant and wide-ranging changes to the U.S. tax system. The bill includes restoration of 100% accelerated tax depreciation on qualifying property including expansion to cover qualified production property. Another key point is the return to immediate expensing of domestic research and experimental expenditures (“R&amp;E”) and accelerated tax deductions of R&amp;E that were previously capitalized for large businesses. The legislation also reinstates EBITDA-based interest deduction for tax purposes. The impacts of the OBBA are reflected in our results for the quarter ended September 30, 2025, and there was no material impact to our income tax expense or effective tax 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15 — Net (Loss) Income Per Share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(loss) income per share calculations for all periods have been adjusted to reflect the Company’s reverse stock splits. Net (loss) income per share was calculated based on the weighted-average number of shares of the Company’s Common Stock outstanding.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net (loss) income per share is calculated using the weighted-average number of shares of Common Stock outstanding during the periods. Diluted net (loss) income per share is computed by giving effect to all potential shares of Common Stock, including the reflection of as-converted convertible notes, outstanding stock options, stock related to unvested restricted stock units, and outstanding warrants to the extent dilutive. Net (loss) income per share, assuming dilution, is equal to basic net (loss) income per share for the three and nine months ended September 30, 2025 and 2024 because the effect of dilutive securities outstanding during the periods, including convertible notes, options, restricted stock units and warrants computed using the treasury stock method, is anti-dilutive.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The components of basic and diluted net loss per share were as follows: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7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(10,633)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basic EPS - net loss available for common shareholders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2,002,568</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1,079,198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1,973,553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828,344</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shareholders - basic and diluted</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9" w:name="page30"/>
    <w:bookmarkEnd w:id="2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each of the periods presented, the Company’s potential dilutive securities, which include stock options, restricted stock units, and warrants, and convertible notes, have been excluded from the computation of basic and diluted net (loss) income per share. The Convertible Notes outstanding during the nine months ended September 30, 2025 were also excluded from the computation of diluted net (loss) per share as they do not represent common stock equivalents unless and until conversion conditions are met. The weighted-average number of shares of Common Stock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8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7,641,863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136,880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7,723,938</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291,680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This matter is subject to the Cultivation sale escrow litigation reserve agreement where the Company funded $1.5 million in January 2025 into escrow for the benefit of settling this and other claims.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Massachusetts (the “Bowdoin Complaint”),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$6.3 million is included in accounts payable and $700 thousand is included in accrued expenses and other current liabilities in the consolidated balance sheet. Two of Bowdoin’s subcontractors, Hannon Electric, Inc. and Electric Supply Center Corp, have filed separate suits against the Company in the amount of $1.498 million and $93 thousand, respectively. These amounts are part of the $7.0 million claimed in Bowdoin’s Complaint. The Bowdoin suit and the subcontractor suits have been consolidated. The Company has denied liability in all such suits. This matter is subject to the sale of the Cultivation Business escrow litigation reserve agreement where the Company funded $1.5 million in January 2025 into escrow for the benefit of settling this and other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This matter is subject to the Cultivation sale escrow litigation reserve agreement where the Company funded $1.5 million in January 2025 into escrow for the benefit of settling this and other claims.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9, 2022, a former sales Vice President of the Company filed suit against the Company claiming he is owed back wages, commission and is entitled to equity in the Company, under theories of liability under Massachusetts labor laws including retaliation, breach of contract, breach of covenant of good faith and fair dealing, fraudulent inducement, tortious interference and unjust enrichment. The Company filed its answer to the initial complaint in January 2023. Litigation is currently in discovery stage with a trial anticipated in the first quarter of 2026. The parties are in the process of attempting to reach a settlement to resolve the dispute. Based on the latest settlement discussions, management currently estimates that the Company’s aggregate net loss exposure is approximately $887 thousand. Given the Company has determined this loss is probable of occurring and reasonably estimable, an accrual was recorded in the amount of $887 thousand within general and administrative expense within the Condensed Consolidated Statement of Operations for the three months ended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17 — Related Parties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of the current and former officers and directors of the Company are involved in other business activities and may, in the future, become involved in other business opportunities that become available. Ben Kovler, RYTHM’s Chairman and Interim Chief Executive Officer also serves as Green Thumb’s Chairman and Chief Executive Officer. RYTHM’s Chief Financial Officer is a Green Thumb employee and provides services under a shared services agreement. Including Mr. Kovler, two of RYTHM’s seven directors are affiliated with Green Thumb. Additional details regarding the shared services arrangement, convertible notes, and intellectual property and licensing agreements are provided in the sections below.</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3,831</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activity of $3.8 million during the three months ended September 30, 2025 consists of $2.8 million of support services performed by Green Thumb on behalf of the Company, $1.4 million interest charges for the Convertible Notes, and $201 thousand non-licensing chargeback expense, offset by $500 thousand Licensing Revenue from Green Thumb. The $500 thousand of Licensing Revenue represents a net amount and includes $32 thousand of licensing costs. The $201 thousand of non-licensing chargeback expense represents a net amount and includes a $40 thousand inventory purchase from Green Thumb.</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net activity of $8.8 million during the nine months ended September 30, 2025 consists of $7.0 million of support services performed by Green Thumb on behalf of the Company, which is comprised of $6.5 million in salary charges, $562 thousand in non-salary charges, $2.2 million interest charges, and $383 thousand non-licensing chargeback expense, offset by $80 thousand of equipment sales and beverage sales and $745 thousand Licensing Revenue from the Company to Green Thumb. The $745 thousand of Licensing Revenue represents a net amount and includes $32 thousand of licensing costs. The $383 thousand of non-licensing chargeback expense represents a net amount and includes a $283 thousand hemp-derived inventory purchase from Green Thumb.</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related party payable as of September 30, 2025 and December 31, 2024:</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related party payable of $86.4 million as of September 30, 2025, consists of $4.1 million service charge payable, $82.0 million convertible notes payable, $521 thousand accrued interest payable, $40 thousand non-licensing chargeback payable, offset by $182 thousand receivable from Licensing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Licensing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May 20, 2025, and August 27, 2025, the Company acquired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and the Acquired Brands, as part of the related party acquisition of MC Brands and VCP, respectively. In connection with the acquisitions, the Company also licensed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and the Acquired Brands brand back to a Green Thumb affiliate under a license arrangement and recognized related party Licensing Revenue. For further discussion on the acquisition and Licensing Revenue, refer to Note 7 and Note 2 included elsewhere in the notes to the unaudited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5, 2024, the Company issued the November 2024 Note with an original principal amount of $10.0 million to RSLGH, an indirect wholly-owned subsidiary of Green Thumb, a related party. On May 22, 2025, the Company issued a May 2025 Note with an original principal amount of $27.0 million to RSLGH. On August 25, 2025, the Company issued an August 2025 Note with an original principal amount of $45.0 million to RSLGH. For further discussion on these notes, refer to Note 9 included elsewhere in the notes to the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Services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20, 2025, the Company entered into an Amended and Restated Shared Services Agreement (the “Services Agreement”) with Vision Management Services, LLC (“VMS”), an indirect wholly-owned subsidiary of Green Thumb, a related party. Under the Services Agreement, VMS will provide certain administrative, supply chain, operations management, sales and marketing, and technical services to the Company and its subsidiaries. As consideration for those services, the Company pays VMS service fees equal to (i) 125% of the costs incurred by VMS in connection with any services provided by non-dedicated personnel and (ii) 100% of such costs incurred by VMS in connection with services provided by dedicated personnel and any third-party costs incurred in connection with the services. The service fees are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 The maximum cost for services provided by non-dedicated personnel during the one-year term of the Services Agreement may not exceed $3.0 million unless the parties otherwise agree in writing.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determined that it operates as a single operating and reporting segment in accordance with ASC 280, Segment Reporting. This is due to the key decisions and allocation of resources happening in a centralized manner based on the review of the Company’s Chief Operating Decision Maker (“CODM”), Benjamin Kovler, the Company’s Chairman and Interim Chief Executive Officer, of Operating income from continuing operations of the Company. This profit measure is presented in the Condensed Consolidated Statements of Operations and the disaggregation of sales from hemp-derived THC products (non-licensing) and Licensing Revenue is presented in Note 2 – Revenue. There are no significant expenses associated with the Licensing Revenue and the CODM does not review expense allocations, amortization expense or specific assets when reviewing Licensing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Subsequent to September 30, 2025, the holder of the November 2024 Note elected to convert the outstanding principal and interest through November 3, 2025, into pre-funded warrants. The outstanding principal and accrued interest amounts of $10 million and $175 thousand respectively, resulted in the issuance of 3,167,564 and 55,433 pre-funded warrants,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November 7, 2025, the date that the unaudited condensed consolidated financial statements were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is intended to update the information contained in our Annual Report on Form 10-K for the year ended December 31, 2024 filed with the Securities And Exchange Commission (the “SEC”) on March 21, 2025, as amended on March 28, with Items 7 and 9 from such Annual Report having been recast to retrospectively reflect discontinued operations as reflected in the Current Report on Form 8-K filed with the SEC on October 8, 2025 (collectively, the “Form 10-K”) and presumes that readers have access to, and will have read, the “Management’s Discussion and Analysis of Financial Condition and Results of Operations” and other information contained in the Form 10-K. The following discussion and analysis also should be read together with our financial statements and the notes to the financial statements included elsewhere in this Quarterly Report.</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Quarterly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the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The following should also be read in conjunction with the unaudited financial statements and notes thereto that appear elsewhere in this Quarterly Report.</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“RYTHM” refer to RYTHM Inc., a Nevada corporation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RYTHM delivers well-being to customers through its portfolio of hemp-derived THC products and iconic licensed brands. The Company’s portfolio of consumer-packaged goods brands includes RYTHM,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Dogwalkers, Beboe, &amp;Shine, Doctor Solomon’s and Good Green, in addition to our Señorita brand which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at top retailers including Total Wine, ABC Fine Wine &amp; Spirits, and Binny’s in eleven U.S. states and Canada, with plans for expansion and future availability in premier on-premises destinations. Other hemp-derived products including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and Beboe edible products are primarily sold online and through direct-to-retail partnerships. In addition to the sale of hemp-derived products (“Non-licensing Revenue”), we license our brands to be manufactured and distributed in exchange for a licensing fee (“Licensing Revenue”).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hemp-derived products (non-licensing) and Licensing Revenue, RYTHM has also historically been a leading provider of innovative cultivation and extraction solutions for the cannabis industry (the “Extraction Business”). Prior to our exit of the Extraction Business on March 30, 2025, our comprehensive extraction product line, which includes hydrocarbon, alcohol, solventless, post-processing, and lab equipment, empowered producers to maximize the quantity and quality of extract required for premium concentrates. Additionally, prior to its sale on December 31, 2024, our proprietary micro-environment-controlled Agrify Vertical Farming Units (“VFUs”) enabled cultivators to produce high quality products for the cannabis industry (the “Cultivation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8, 2024, we effected a 1-for-15 reverse stock split of our Common Stock. All share and per share information has been retroactively adjusted to give effect to the reverse stock splits for all periods presented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Non-licensing Revenue and Licensing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acquired the Señorita brand of hemp-derived THC beverages in November 2024. Señorita was designed and formulated by world-class winemakers Charles Bieler and Joel Gott. Recognizing a growing generational demand for adult beverage alternatives, Bieler and Gott gave the classic margarita a modern twist—replacing alcohol with hemp-derived to create a delightful adult beverage alternative. Through the use of all-natural, premium ingredients like organic Mexican agave, fresh lime juice and sweet, tangy mango, Señorita quickly gained acclaim, taking home the top spot in The High Times Cannabis Cup just one year after inception. Gott and Bieler continue to collaborate on the brand with Mr. Kovler and the RYTHM team.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Señorita currently offers four award-winning flavors – classic Lime Jalapeño Margarita, Paloma, Mango Margarita, and Ranch Water. Señorita’s hemp-derived beverages are currently available at top retailers including Total Wine, ABC Fine Wine &amp; Spirits, and Binny’s in eleven U.S. states and Canada. Products are also available for direct-to-consumer purchase where permissible under state law at senoritadrinks.com.</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May 20, 2025, we entered into a purchase agreement with VCP IP Holdings, LLC (“VCP”), an indirectly wholly-owned subsidiary of Green Thumb Industries Inc. (“Green Thumb”), a related party, pursuant to which we acquired all of the equity interests in MC Brands LLC and its wholly-owned subsidiary Core Growth LLC (both formerly wholly-owned subsidiaries of Green Thumb and together referred to as “MC Brands”). The assets of MC Brands consist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The aggregate consideration exchanged for the equity interest was cash consideration of $5.1 million. In connection with the purchase of MC Brands, we also licensed the right to use the RYTHM and Beboe brands from Green Thumb for hemp-derived THC beverages and similar products. By contrast,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licensing agreement grants GTI Core the rights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in connection with GTI Core’s existing businesses.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August 27, 2025, we entered into a purchase agreement with VCP23, LLC (“VCP23”), an indirectly wholly-owned subsidiary of Green Thumb, a related party, pursuant to which we acquired all of the equity interests in VCP. The assets of VCP consist primarily of intellectual property rights to several brands including RYTHM, Dogwalkers, Beboe, &amp;Shine, Doctor Solomon’s and Good Green. The aggregate consideration exchanged for the equity interest was cash consideration of $50.0 million. In connection with the purchase of VCP, we also entered a license agreement with GTI Core, an indirect wholly-owned subsidiary of Green Thumb, related to the Acquired Brands in connection with GTI Core’s existing businesses. The May 20, 2025 license agreements granting us rights to use the RYTHM and Beboe brands were terminated concurrently on August 27, 2025. The consideration payable by GTI Core for the license rights of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and the Acquired Brand, consists of a monthly license fee, payable in cash, for using the licensed intellectual property.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Co-Manufacturing Arrangements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finished goods are manufactured by various third-party co-manufacturers situated throughout the United States and Canada, under separate arrangements with each party. Our co-manufacturing arrangements vary in terms and, from time to time, we may enter into manufacturing contracts with agreed upon minimum quantities to ensure continuity of supply of certain products in certain territories. We continue to actively seek alternative and/or additional co-manufacturing facilities with adequate capacity and capability for the production of our various products to minimize transportation costs as well as mitigate the risk of disruption in production.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and/or procure adequate co-manufacturing arrangements and/or obtain adequate or timely shipment of our products, we might not be able to satisfy demand on a short-term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2025, we continued to expand distribution of our hemp-derived beverage products in our domestic markets. We have entered into agreements with various distributors providing for the distribution of certain of our hemp-derived beverage products, subject to certain terms and conditions, which may vary depending on the form of the agreement. Such agreements remain in effect for their then-current term as long as our products are being distributed, but are subject to specified termination rights held by each party. Additionally, we are entitled to terminate certain distribution agreements at any time without cause upon payment of a termination fee, which may be material depending on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Cultivation Solutions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Prior to its sale on December 31, 2024, we sold proprietary cultivation solutions to independent licensed cultivators as part of our Cultivation Business.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primary products we sold were the VFUs and Agrify Insights™ software.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proprietary VFU technology offered a modular, compartmentalized micro-climate growing system for indoor vertical farming. The VFU system was designed for craft farmers, single-state operators, and multi-state operators who were looking to consistently produce higher-quality crops at scale. The VFUs were designed to line up horizontally in rows, and could be stacked vertically up to three units tall.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VFUs were designed to work in conjunction with the Agrify Insights™ software. Each VFU sold included a license for Agrify Insights™ and a monthly Software-as-a-Service (“SaaS”) subscription fee was charged per VFU. The VFU could not operate successfully without Agrify Insights™. Agrify Insights™ license agreements were generally for a multi-year term, with an annual auto-renewal.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Extraction Solutions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its discontinuation on March 30, 2025, our extraction equipment and business solutions that were a part of our Extraction Business could be used within indoor processing facilities by fully licensed cannabis and hemp cultivators and processors or in some cases, by individual processors for individual use in compliance with applicable law. We sold our proprietary extraction solutions to independent, licensed cultivators and processing labs.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had strategically acquired four brands in the extraction space in late 2021 and early 2022: Precision Extraction, PurePressure, Lab Society, and Cascade Sciences. These brands encompassed hydrocarbon, alcohol, and solventless extraction and distillation and post-processing solutions. Our extraction brands provided equipment and solutions for extraction, post-processing, and testing for the cannabis and hemp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the valuation and recognition of stock-based compensation expense, valuation allowance for deferred tax assets, goodwill, impairment of long-lived assets, provision for litigation, inventory reserve, fair value measurements and useful life of fixed assets and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business combinations, asset acquisitions, and stock-based compensation expense. We base our estimates on historical experience and other market-specific or other relevant assumptions that we believe to be reasonable under the circumstances. Actual results may differ materially from those estimates or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account for warrants as either equity-classified or liability-classified instruments based on an assessment of the warrant’s specific terms and applicable authoritative guidance in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our own Common Stock among other conditions for equity classification.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or when incurred. For issued or modified warrants that are precluded from equity classification, they are recorded as a liability at their initial fair value on the date of issuance and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is determined using Level 3 inputs. Inherent in a Black-Scholes option-pricing model are assumptions used in calculating the estimated fair values that represent our best estimate. The volatility rate is determined utilizing our own share price and the share price of competitors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continuing operations through the sale of hemp-derived THC products (non-licensing) and Licensing Revenue. We license intellectual property to a related party under arrangements that provide for sales-based license fees. We recognize licensing income derived from licensing agreements in accordance with ASC 606, specifically, for sales-based license fees.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accordance with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revenue is recognized through a five-step model, as outlined below:</w:t>
      </w:r>
    </w:p>
    <w:p>
      <w:pPr>
        <w:spacing w:after="0" w:line="223" w:lineRule="exact"/>
        <w:rPr>
          <w:sz w:val="20"/>
          <w:szCs w:val="20"/>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the customer contract</w:t>
      </w:r>
      <w:r>
        <w:rPr>
          <w:rFonts w:ascii="Times New Roman" w:cs="Times New Roman" w:eastAsia="Times New Roman" w:hAnsi="Times New Roman"/>
          <w:sz w:val="18"/>
          <w:szCs w:val="18"/>
          <w:color w:val="auto"/>
        </w:rPr>
        <w:t>: A customer contract is identified when there is mutual approval and commitment between us and our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performance obligations that are distinct</w:t>
      </w:r>
      <w:r>
        <w:rPr>
          <w:rFonts w:ascii="Times New Roman" w:cs="Times New Roman" w:eastAsia="Times New Roman" w:hAnsi="Times New Roman"/>
          <w:sz w:val="18"/>
          <w:szCs w:val="18"/>
          <w:color w:val="auto"/>
        </w:rPr>
        <w:t>: We identify distinct performance obligations in each contract. A performance obligation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distinct if the customer can benefit from the good or service on its own or with readily available resources, and if it is separately identifiable from other promises in the contract. Our revenue-generating activities typically have a single performance obligation.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The transaction price is the amount of consideration we expect to receive in exchange for the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This amount is determined excluding sales taxes collected on behalf of government agencies and net of any sales discounts, incentives, and returns.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Allocate the transaction price to distinct performance obligations</w:t>
      </w:r>
      <w:r>
        <w:rPr>
          <w:rFonts w:ascii="Times New Roman" w:cs="Times New Roman" w:eastAsia="Times New Roman" w:hAnsi="Times New Roman"/>
          <w:sz w:val="18"/>
          <w:szCs w:val="18"/>
          <w:color w:val="auto"/>
        </w:rPr>
        <w:t>: The transaction price is allocated to each distinct performance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relative SSP of the goods or services provided. If a contract involves multiple performance obligations, each is accounted for separately if distinct, and the SSP reflects the price we would charge if the good or service were sold separately in similar circumstances and to similar customers.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Recognize revenue as the performance obligations are satisfied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hemp-derived THC products (non-licensing)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We do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 exchange.</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606-10-55-65 through 55-65B, Licensing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pursuant to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unaudited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have an uncertain tax position offsetting our research and development tax credits given we have not engaged any third parties to perform a study to support credits claimed under Internal Revenue Code §41 for tax years ended December 31, 2016 through December 31, 2024. If recognized, none of the unrecognized tax benefits would impact our effective tax rate.</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We follow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establishes standards surrounding the accounting for transactions in which an entity exchanges its equity instruments for goods or services. ASC 718 focuses primarily on accounting for transactions in which an entity obtains employee services in share-based payment transactions, such as options issued under our equity incentive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under ASC 718, we have made an accounting policy choice to account for forfeitures when they occur.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continuing operations for the three and nine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59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(8,888</w:t>
            </w:r>
          </w:p>
        </w:tc>
        <w:tc>
          <w:tcPr>
            <w:tcW w:w="260" w:type="dxa"/>
            <w:vAlign w:val="bottom"/>
          </w:tcPr>
          <w:p>
            <w:pPr>
              <w:jc w:val="right"/>
              <w:ind w:right="1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(19,387</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
        </w:trPr>
        <w:tc>
          <w:tcPr>
            <w:tcW w:w="59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(15,098)</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5980" w:type="dxa"/>
            <w:vAlign w:val="bottom"/>
            <w:vMerge w:val="restart"/>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(1,745</w:t>
            </w:r>
          </w:p>
        </w:tc>
        <w:tc>
          <w:tcPr>
            <w:tcW w:w="260" w:type="dxa"/>
            <w:vAlign w:val="bottom"/>
          </w:tcPr>
          <w:p>
            <w:pPr>
              <w:jc w:val="right"/>
              <w:ind w:right="1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(15,136</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(15,668</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
        </w:trPr>
        <w:tc>
          <w:tcPr>
            <w:tcW w:w="59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260" w:type="dxa"/>
            <w:vAlign w:val="bottom"/>
            <w:tcBorders>
              <w:bottom w:val="single" w:sz="8" w:color="CCEEFF"/>
            </w:tcBorders>
            <w:shd w:val="clear" w:color="auto" w:fill="CCEEFF"/>
          </w:tcPr>
          <w:p>
            <w:pPr>
              <w:jc w:val="right"/>
              <w:ind w:right="12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10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59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jc w:val="right"/>
              <w:ind w:right="1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(2,295</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1,461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
        </w:trPr>
        <w:tc>
          <w:tcPr>
            <w:tcW w:w="59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1,973,553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sales of hemp-derived THC products (non-licensing) and related party Licensing Revenue.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revenue from continuing operations for the three and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r>
      <w:tr>
        <w:trPr>
          <w:trHeight w:val="237"/>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increased by $4 million for the three months ended September 30, 2025, as compared to the same period in 2024. The comparative increase in revenue was primarily driven by the acquisition of Señorita in December 2024 and the acquisition of MC Brands in May 2025 and all revenue from the Cultivation Business and Extraction Business for the three months ended September 30, 2024 being presented as part of discontinued operations. Of the revenue recognized for the three months ended September 30, 2025, $696 thousand was attributable to related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increased by $6.6 million for the nine months ended September 30, 2025, as compared to the same period in 2024. The comparative increase in revenue was primarily driven by the acquisition of Señorita in December 2024 and the acquisition of MC Brands in May 2025 and all revenue from the Cultivation Business and Extraction Business for the nine months ended September 30, 2024 being presented as part of discontinued operations. Of the revenue recognized for the nine months ended September 30, 2025, $961 thousand was attributable to related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goods sold represents costs associated with the hemp-derived products sales (non-licensing).</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cost of goods sold from continuing operations for the three and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2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50"/>
        </w:trPr>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10"/>
        </w:trPr>
        <w:tc>
          <w:tcPr>
            <w:tcW w:w="2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cost of goods sold</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8"/>
                <w:szCs w:val="18"/>
                <w:color w:val="auto"/>
              </w:rPr>
            </w:pPr>
          </w:p>
        </w:tc>
        <w:tc>
          <w:tcPr>
            <w:tcW w:w="760" w:type="dxa"/>
            <w:vAlign w:val="bottom"/>
          </w:tcPr>
          <w:p>
            <w:pPr>
              <w:jc w:val="right"/>
              <w:ind w:right="5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2,668</w:t>
            </w:r>
          </w:p>
        </w:tc>
        <w:tc>
          <w:tcPr>
            <w:tcW w:w="120" w:type="dxa"/>
            <w:vAlign w:val="bottom"/>
          </w:tcPr>
          <w:p>
            <w:pPr>
              <w:spacing w:after="0"/>
              <w:rPr>
                <w:sz w:val="18"/>
                <w:szCs w:val="18"/>
                <w:color w:val="auto"/>
              </w:rPr>
            </w:pPr>
          </w:p>
        </w:tc>
        <w:tc>
          <w:tcPr>
            <w:tcW w:w="940" w:type="dxa"/>
            <w:vAlign w:val="bottom"/>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18"/>
                <w:szCs w:val="18"/>
                <w:color w:val="auto"/>
              </w:rPr>
            </w:pPr>
          </w:p>
        </w:tc>
        <w:tc>
          <w:tcPr>
            <w:tcW w:w="740" w:type="dxa"/>
            <w:vAlign w:val="bottom"/>
          </w:tcPr>
          <w:p>
            <w:pPr>
              <w:jc w:val="right"/>
              <w:ind w:right="5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18"/>
                <w:szCs w:val="18"/>
                <w:color w:val="auto"/>
              </w:rPr>
            </w:pPr>
          </w:p>
        </w:tc>
        <w:tc>
          <w:tcPr>
            <w:tcW w:w="940" w:type="dxa"/>
            <w:vAlign w:val="bottom"/>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gridSpan w:val="2"/>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$2.6 million for the three months ended September 30, 2025 compared to the same period in 2024. The comparative increase in cost of goods sold is associated with the acquisition of Señorita in December 2024, which aligns with the increase in revenue.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$4.5 million for the nine months ended September 30, 2025 compared to the same period in 2024. The comparative increase in cost of goods sold is associated with acquisition of Señorita in December 2024, which aligns with the increase in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0"/>
        </w:trPr>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2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r>
      <w:tr>
        <w:trPr>
          <w:trHeight w:val="237"/>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8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6"/>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totaled $1.4 million, or 34.0% of total revenue during the three months ended September 30, 2025. Gross profit totaled $2.1 million, or 32.4% of total revenue during the nine months ended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2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6"/>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10,263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21,534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principally of salaries and related costs for personnel, including stock-based compensation and travel expenses, associated with executive and other administrative functions. Other SG&amp;A expenses include, but are not limited to, professional fees for legal, consulting, and accounting services.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SG&amp;A expense increased by $9.0 million, or 741%, for the three months ended September 30, 2025, compared to the same period in 2024. The comparative change is primarily attributable to sales and marketing expense to support the growth of the hemp-derived THC products in addition to the SG&amp;A expense from the Cultivation Business and Extraction Business for the three months ended September 30, 2024 being presented as part of discontinued operations. Of the SG&amp;A expense incurred for the three months ended September 30, 2025, $3.1 million was attributable to related parties.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SG&amp;A expense increased by $17.7 million, or 467%, for the nine months ended September 30, 2025, compared to the same period in 2024. The comparative change is primarily attributable to sales and marketing expense to support the growth of the hemp-derived THC products (non-licensing) in addition to the SG&amp;A expense from the Cultivation Business and Extraction Business for the nine months ended September 30, 2024 being presented as part of discontinued operations. Of the SG&amp;A expense incurred for the nine months ended September 30, 2025, $7.3 million was attributable to related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5"/>
        </w:trPr>
        <w:tc>
          <w:tcPr>
            <w:tcW w:w="2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0"/>
                <w:szCs w:val="20"/>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w:t>
            </w: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warrant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15,130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gridSpan w:val="3"/>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4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(1,745</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(15,136</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13,391</w:t>
            </w: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(1,725</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(15,668</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13,943</w:t>
            </w: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$1.1 million for the three months ended September 30, 2025, compared to interest expense, net of $38 thousand for the three months ended September 30, 2024. The change is attributable mainly to the increase of $50.0 million principal under the Convertible Notes. Included in interest expense, net for the three months ended September 30, 2025 is $1.4 million incurred with a related party.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was $1.4 million for the nine months ended September 30, 2025, compared to interest expense, net of $166 thousand for the nine months ended September 30, 2024. The change is attributable mainly to the increase of $80.0 million principal under the Convertible Notes. Included in interest expense, net for the nine months ended September 30, 2025 is $2.2 million incurred with a related party.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increased by $14.4 million, or 96% during the three months ended September 30, 2025, compared to the same period in 2024. The increase is primarily related to the fair value remeasurement of warrants.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increased by $15.1 million or 98% during the nine months ended September 30, 2025, compared to the same period in 2024. The increase is primarily related to the fair value remeasurement of warrants.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was $53 thousand for the three months ended September 30, 2025, compared to none for the same period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was $71 thousand for the nine months ended September 30, 2025, compared to none for the same period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income tax expense or benefit for the three months ended September 30, 2025 and September 30,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income tax expense or benefit for the nine months ended September 30, 2025 and September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2025, our principal sources of liquidity were cash and cash equivalents and marketable securities totaling $35.6 million. Our current working capital needs are to support revenue growth and manage inventory to meet demand forecasts and support operational growth. Our long-term financial needs primarily include working capital requirements.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growth strategies, we may opportunistically raise debt capital and raise cash from the issuance of our securities, subject to market and other conditions.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5, 2024, we issued a secured convertible note (the “November 2024 Note”) to RSLGH, LLC (“RSLGH”), a subsidiary of Green Thumb. The November 2024 Note is a secured obligation and ranks senior to all of our indebtedness except for the May 2025 Notes and the August 2025 Notes (each as defined below), which rank on parity with the November 2024 Note. The November 2024 Note will mature on November 5, 2025 and accrue interest at a 10.0% annualized rate. The principal amount of the November 2024 Note is payable on the maturity date. The November 2024 Note provides for advances of up to $20 million in the aggregate, of which $10 million was advanced upon issuance. The November 2024 Note was amended on May 8, 2025 to issue pre-funded warrants in lieu of cash interest with 18,614 pre-funded warrants issued on May 8, 2025 and an additional 11,373 pre-funded warrants issued on September 1, 2025, which were issued in lieu of the cash interest that would otherwise be payable under the November 2024 Note. The number of pre-funded warrants is equal to the cash interest amount otherwise payable on the November 2024 Note divided by the closing share price on May 8, 2025, which was the effective date of the amendment. No changes were made to the conversion price of the principal amount of the November 2024 Note. On May 22, 2025, we and RSLGH entered into a second amendment to the November 2024 Note, which amended the terms to, among other things, permit RSLGH to elect, subject to any required approvals under Nasdaq listing rules, to receive pre-funded warrants in lieu of shares of Common Stock upon conversion of the November 2024 Note at a conversion price equal to the existing conversion price of $3.158 less the $0.001 exercise price of each pre-funded warrant. Subsequent to September 30, 2025, the holder of the November 2024 Note elected to convert the outstanding principal and interest through November 3, 2025, into pre-funded warrants. The outstanding principal and accrued interest amounts of $10 million and $175 thousand respectively, resulted in the issuance of 3,167,564 and 55,433 pre-funded warrants, respectively.</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we issued secured convertible notes with an aggregate original principal amount of $30.0 million (collectively the “May 2025 Notes”) to RSLGH and to certain other third-party accredited investors. The May 2025 Notes are secured obligations and rank senior to all of our indebtedness except for the November 2024 Note and the August 2025 Notes, which rank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25, 2025, we issued secured convertible notes with an aggregate original principal amount of $50.0 million (collectively the “August 2025 Notes”) to RSLGH and to certain other third-party accredited investors. The August 2025 Notes are secured obligations of ours and rank senior to all of our indebtedness except for the May 2025 and November 2024 Notes, which ranks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(55,075)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79,997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4,403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explains the major components contributing to the net cash flows from operating, investing, and financing activities for the nine months ended September 30, 2025 and 2024, as summarized in the table above. Each section below provides details on the key drivers of the cash inflows and outflows for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our operating cash flows included a net loss of $19.7 million, which included $2.5 million related to depreciation and amortization, $1.6 million of stock-based compensation expense, $372 thousand loss related to the change in fair value of warrant liabilities, and $3.5 million gain on disposal of Extraction business. Net cash was decreased by changes in operating assets and liabilities of $4.5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had net loss of $17.4 million, which included $1.1 million related to depreciation and amortization, $854 thousand of stock-based compensation expense, $15.5 million loss related to the change in fair value of warrant liabilities, $2.2 million gain from change in contingent consideration, and $5.9 million gain on settlement of contingent liability. Net cash was increased by changes in operating assets and liabilities of $2.8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investing activities was $55 million, which primarily resulted from the related party acquisition of MC Brands and VCP.</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investing activities was $340 thousand, which primarily resulted from $330 thousand in proceeds from the repayment of a loan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$80.0 million, which resulted from proceeds from May and August 2025 Notes.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$5.7 million, primarily driven by proceeds from the issuance of common stock and warrants of $2.1 million and proceeds from the issuance of related party notes of $4.0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unaudited condensed consolidated financial statements, which have been prepared in accordance with U.S. GAAP. The preparation of these unaudited condensed consolidated financial statements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may differ from these estimates under different assumptions or conditions.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net realizable value of inventory, goodwill impairment assessment, intangible assets and revenue recognition.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condensed consolidated financial statements are detailed in Note 1 - Overview, Basis of Presentation and Significant Accounting Policies included in the Form 10-K and Note 1 - Overview, Basis of Presentation and Significant Accounting Policies to our unaudited condensed consolidated financial statements in Part I, Item 1 of this Quarterly Report. Other than the addition of the accounting policies related to business combinations and asset acquisitions described in Note 1 – Overview, Basis of Presentation and Significant Accounting Policies, there have been no changes in these policies and estimates that had a significant impact on the financial condition and results of operations for the periods covered in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unaudited condensed consolidated financial statements covered under Part I, Item 1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are included within Note 1 - Overview, Basis of Presentation and Significant Accounting Policies, included elsewhere in the notes to unaudited condensed consolidated financial statements covered under Part I, Item 1 in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17 C.F.R. § 229.10,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Interim Chief Executive Officer, to allow timely decisions regarding required disclosure.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Interim Chief Executive Officer and our Chief Financial Officer carried out an evaluation of the effectiveness of the design and operation of our disclosure controls and procedures as of June 30, 2025. Based on this evaluation, our Interim Chief Executive Officer and our Chief Financial Officer concluded that, due to the material weaknesses in our internal control over financial reporting previously identified in Item 9A, “Controls and Procedures” of our Annual Report on Form 10-K for the fiscal year ended December 31, 2024 and filed with the SEC on March 21, 2025, as amended on March 28, 2025, our disclosure controls and procedures were not effective at the reasonable assurance level as of September 30, 2025.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management continues to focus on strengthening our internal control over financial reporting (“ICFR”) to remediate the current material weaknesses previously disclosed in our 2024 Form 10-K.</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oversight of senior management and the Audit Committee of the Board of Directors, we have initiated and are in the process of executing remediation plans designed to address the underlying causes of these material weaknesses. Key measures include:</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accounting and financial reporting personnel with additional U.S. GAAP and SEC reporting experience;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enhanced monitoring and review controls for non-recurring and complex transactions to ensure the accuracy and completeness of our financial statements and related disclosures;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Formalizing and maintaining documentation of critical controls and accounting policies to strengthen consistency and accountability across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nationally recognized third-party advisors on specific technical accounting and valuation matters;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reinforcing segregation of duties within key financial reporting and operational processes.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including the Interim Chief Executive Officer and Chief Financial Officer, has reaffirmed the importance of a strong control environment and an organization-wide focus on internal control and accountability.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applicable controls have been designed, implemented, and have operated effectively for a sufficient period of time, and management has completed testing to confirm their operating effectiveness. We are committed to maintaining a strong control environment and will continue to monitor the effectiveness of our remediation actions and modify our plans as necessary to ensure the identified material weaknesses are fully remediated.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those measures intended to remediate the material weaknesses noted above, there have been no changes in our internal control over financial reporting (as such term is defined in Rules 13a-15(f) and 15d-15(f) under the Exchange Act) during the quarter ended September 30, 2025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16 - Commitments and Contingencies to our unaudited condensed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Except as set forth below, as of the date of this Quarterly Report, there are no material changes to our risk factors as previously disclosed in Part I, Item 1A of the 10-K. The risks described in this Quarterly Report and in the 10-K, among others, could materially and adversely affect our business, reputation, financial condition, results of operations, and stock price.</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licensed the intellectual property for certain of our brands for use by state-licensed cannabis operators. While we do not engage in any cannabis- (or “marijuana-”) related activity under the Controlled Substances Act (the “CSA”), changes in state regulations of cannabis, changes in U.S. federal cannabis enforcement policy, or a failure of any licensee to comply with applicable state and local laws and regulations could impair our Licensing Revenue we generate from any licensee and could also impair the value of our brands.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cultivate, distribute or dispense marijuana as that term is defined by the CSA. We have licensed the use of the intellectual property for certain of our brands to be used in the cannabis industry under state law programs legalizing such activities through state-regulated licenses, although such activities remain illegal under U.S. Federal law. While state regulation in certain U.S. states may take a permissive approach to medical and/or adult-use of cannabis, the CSA may still be enforced by U.S. federal law enforcement officials against individuals and companies operating in those states for activity that is legal under state law. In exchange for Licensing Revenue, we license our brands to be used by a state licensed licensee whose operations, while compliant with state laws, are not permitted under federal law. A change in U.S. federal policy on cannabis enforcement and strict enforcement of federal cannabis laws against any licensee could materially impair the Licensing Revenue we receive, if the licensees’ ability to sell their products is materially impaired by such change. It may also impair the value of the brands licensed to the cannabis industry and our operating results and/or financial condition.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and cannot, ensure that licensees will conduct their business activities in a manner compliant with the applicable state and local laws, regulations and other requirements. As a result, federal, state or local government authorities may seek to bring criminal, administrative or regulatory enforcement actions against licensee(s), which could have a material adverse effect on our Licensing Revenue, which in turn could have an adverse effect on our operating results or financial condition.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Licensees in the cannabis industry face challenges unique to that industry that can impact their financial health and long-term viability. If licensees struggle financially or do not remain viable, that can negatively impact our ability to generate Licensing Revenue. As a licensor of brands to cannabis operators, we are not responsible for licensees’ compliance with applicable laws or regulations.</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control licensees’ actions and we depend on licensees for a substantial portion of our earnings from operations, their conduct could harm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license to licensees in the cannabis industry the rights to produce and market certain products sold with our trademarks, and we do not exercise any operational or financial control over the licensees’ businesses. If the quality, focus, image or distribution of our licensed brands diminish, consumer acceptance of and demand for our brands could decline. This could materially and adversely affect our business and results of operations. Our Licensing Revenue constitutes a substantial portion of our revenue. A decrease in customer demand for any of our licensed brands could have a material adverse effect on our results of operations and financial condition. In addition, our inability to replace any existing licensee, if necessary, could adversely affect our revenues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ability to compete depends, in part, upon the successful protection of our intellectual property, including the core brands we own and license: </w:t>
      </w:r>
      <w:r>
        <w:rPr>
          <w:rFonts w:ascii="Times New Roman" w:cs="Times New Roman" w:eastAsia="Times New Roman" w:hAnsi="Times New Roman"/>
          <w:sz w:val="18"/>
          <w:szCs w:val="18"/>
          <w:i w:val="1"/>
          <w:iCs w:val="1"/>
          <w:color w:val="auto"/>
        </w:rPr>
        <w:t>Señorita, Rythm, incredibles, Beboe, Dogwalkers, Doctor Solomon’s, &amp;Shine, and Good Green</w:t>
      </w:r>
      <w:r>
        <w:rPr>
          <w:rFonts w:ascii="Times New Roman" w:cs="Times New Roman" w:eastAsia="Times New Roman" w:hAnsi="Times New Roman"/>
          <w:sz w:val="18"/>
          <w:szCs w:val="18"/>
          <w:color w:val="auto"/>
        </w:rPr>
        <w:t>. We seek to protect our proprietary and intellectual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through trademark and patent applications, common law copyright and trademark laws, nondisclosure agreements, and non-disclosure provisions within our licensing and distribution arrangements with reputable companies in our target markets. Even with commercially reasonable enforcement of our intellectual property rights, there can be no assurance that we will have the resources to undertake all necessary action to protect all of our intellectual property rights or that we will be successful in such enforcement.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also possible that our competitors could successfully design their brands and products around our protected intellectual property. Further, we cannot assure shareholders that other parties will not challenge any trademarks or patents granted to us, or that courts or regulatory agencies will hold our trademarks or patents to be valid, enforceable, and/or infringed. We cannot guarantee shareholders that we will be successful in defending challenges made against our trademark and patent applications. Any successful third-party challenge or challenges to our trademark or patent applications could result in the unenforceability or invalidity of such trademarks or patents, or such trademarks or patents being interpreted narrowly and/or in a manner adverse to our interests. Our ability to establish or maintain a competitive advantage in the market may be diminished because of these uncertainties. For these and other reasons, our intellectual property may not provide us with any material competitive advantage.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r>
        <w:rPr>
          <w:rFonts w:ascii="Times New Roman" w:cs="Times New Roman" w:eastAsia="Times New Roman" w:hAnsi="Times New Roman"/>
          <w:sz w:val="18"/>
          <w:szCs w:val="18"/>
          <w:b w:val="1"/>
          <w:bCs w:val="1"/>
          <w:i w:val="1"/>
          <w:iCs w:val="1"/>
          <w:color w:val="auto"/>
        </w:rPr>
        <w: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 Despite these controls, there is no way to guarantee that unauthorized parties will not find a way to access or use this technology or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Companies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obtained and applied for U.S. trademark registrations and will continue to evaluate the registration of additional trademarks,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in connection with our current or future products and brands. We may fail to obtain any of these licenses or intellectual property rights on commercially reasonable terms. Even if we are able to obtain a license, it may be non-exclusive, thereby giving our competitors access to the same intellectual property licensed to us. In that event, we may be required to expend significant time and resources to develop or license new brands, products, or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licensing fees and/or other forms of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adopted, modified or terminated a Rule 10b5-1 trading arrangement or a non-Rule 10b5-1 trading arrangement as defined in item 408 of Regulation S-K, during the three months ended September 30,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Amendment to Articles of Incorporated dated August 27, 2025 (incorporated by reference to Exhibit 3.1 to the Company’s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2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Current Report on Form 8-K filed with the Securities and Exchange Commission on August 27, 2025).</w:t>
              </w:r>
            </w:hyperlink>
          </w:p>
        </w:tc>
        <w:tc>
          <w:tcPr>
            <w:tcW w:w="2680" w:type="dxa"/>
            <w:vAlign w:val="bottom"/>
            <w:tcBorders>
              <w:bottom w:val="single" w:sz="8" w:color="CCEEFF"/>
              <w:right w:val="single" w:sz="8" w:color="CCEEFF"/>
            </w:tcBorders>
            <w:gridSpan w:val="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Third Amended and Restated Bylaws (incorporated by reference to Exhibit 3.2 to the Company’s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the Securities and Exchange Commission on August 27,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Secured Convertible Note dated August 25, 2025 (incorporated by reference to Exhibit 4.1 to the Company’s Current Report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8-K filed with the Securities and Exchange Commission on August 27, 2025).</w:t>
              </w:r>
            </w:hyperlink>
          </w:p>
        </w:tc>
        <w:tc>
          <w:tcPr>
            <w:tcW w:w="4040" w:type="dxa"/>
            <w:vAlign w:val="bottom"/>
            <w:tcBorders>
              <w:bottom w:val="single" w:sz="8" w:color="CCEEFF"/>
              <w:right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Form of Pre-Funded Common Stock Purchase Warrant (incorporated by reference to Exhibit 4.2 to the Company’s Current Report on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8-K filed with the Securities and Exchange Commission on August 27,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Third Amendment, August 25, 2025, to Secured Convertible Note issued on November 5, 2024 (incorporated by reference to Exhibit 4.3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the Company’s Current Report on Form 8-K filed with the Securities and Exchange Commission on August 27,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First Amendment, August 25, 2025, to Secured Convertible Notes issued on May 22, 2025 (incorporated by reference to Exhibit 4.4 to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Company’s Current Report on Form 8-K filed with the Securities and Exchange Commission on August 27,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Purchase Agreement, dated August 27, 2025, by and between VCP23, LLC and the Company (incorporated by reference to Exhibit 10.1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the Company’s Current Report on Form 8-K filed with the Securities and Exchange Commission on August 27,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Trademark and Recipe License Agreement, dated August 27, 2025, by and between VCP IP Holdings, LLC and GTI Core, LLC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(incorporated by reference to Exhibit 10.2 to the Company’s Current Report on Form 8-K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Commission on August 27,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Amended and Restated Trademark and Recipe License Agreement, dated August 27, 2025, by and between MC Brands LLC and GTI Core,</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40" w:type="dxa"/>
            <w:vAlign w:val="bottom"/>
            <w:tcBorders>
              <w:right w:val="single" w:sz="8" w:color="CCEEFF"/>
            </w:tcBorders>
            <w:gridSpan w:val="4"/>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LLC (incorporated by reference to Exhibit 10.3 to the Company’s Current Report on Form 8-K filed with the Securities and Exchange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Commission on August 27,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executive officer</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Rule 13(a)-14(a)/15(d)-14(a) Certification of principal financial and accounting officer</w:t>
            </w:r>
          </w:p>
        </w:tc>
        <w:tc>
          <w:tcPr>
            <w:tcW w:w="3840" w:type="dxa"/>
            <w:vAlign w:val="bottom"/>
            <w:tcBorders>
              <w:bottom w:val="single" w:sz="8" w:color="CCEEFF"/>
              <w:right w:val="single" w:sz="8" w:color="CCEEFF"/>
            </w:tcBorders>
            <w:gridSpan w:val="4"/>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principal executive officer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7"/>
                <w:szCs w:val="17"/>
                <w:color w:val="auto"/>
              </w:rPr>
            </w:pPr>
          </w:p>
        </w:tc>
        <w:tc>
          <w:tcPr>
            <w:tcW w:w="51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financial and accounting officer</w:t>
            </w:r>
          </w:p>
        </w:tc>
        <w:tc>
          <w:tcPr>
            <w:tcW w:w="4980" w:type="dxa"/>
            <w:vAlign w:val="bottom"/>
            <w:tcBorders>
              <w:bottom w:val="single" w:sz="8" w:color="CCEEFF"/>
              <w:right w:val="single" w:sz="8" w:color="CCEEFF"/>
            </w:tcBorders>
            <w:gridSpan w:val="8"/>
            <w:shd w:val="clear" w:color="auto" w:fill="CCEEFF"/>
          </w:tcPr>
          <w:p>
            <w:pPr>
              <w:spacing w:after="0"/>
              <w:rPr>
                <w:sz w:val="17"/>
                <w:szCs w:val="17"/>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520" w:firstLine="8"/>
        <w:spacing w:after="0" w:line="490" w:lineRule="auto"/>
        <w:tabs>
          <w:tab w:leader="none" w:pos="11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601-(b)(32) of Regulation S-K.</w:t>
      </w:r>
    </w:p>
    <w:p>
      <w:pPr>
        <w:spacing w:after="0" w:line="225"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 /s/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 /s/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RYTHM,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4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1" w:name="page52"/>
    <w:bookmarkEnd w:id="5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Asher,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RYTHM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firstLine="8"/>
        <w:spacing w:after="0" w:line="282" w:lineRule="auto"/>
        <w:tabs>
          <w:tab w:leader="none" w:pos="1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4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RYTHM Inc. (the “Company”) on Form 10-Q, for the period ended September 30, 2025, as filed with the Securities and Exchange Commission on the date hereof (the “Report”), I, Benjamin Kovler, Chairman and Interim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6"/>
        <w:spacing w:after="0" w:line="499" w:lineRule="auto"/>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November 7,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43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RYTHM Inc. (the “Company”) on Form 10-Q, for the period ended September 30, 2025, as filed with the Securities and Exchange Commission on the date hereof (the “Report”), I, Brad Asher,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4"/>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6"/>
        <w:spacing w:after="0" w:line="500" w:lineRule="auto"/>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November 7,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lvl w:ilvl="1">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04"/>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57" Type="http://schemas.openxmlformats.org/officeDocument/2006/relationships/hyperlink" Target="https://www.sec.gov/Archives/edgar/data/1800637/000121390025081148/ea025469501ex3-1_agrify.htm" TargetMode="External"/><Relationship Id="rId58" Type="http://schemas.openxmlformats.org/officeDocument/2006/relationships/hyperlink" Target="https://www.sec.gov/Archives/edgar/data/1800637/000121390025081148/ea025469501ex3-2_agrify.htm" TargetMode="External"/><Relationship Id="rId59" Type="http://schemas.openxmlformats.org/officeDocument/2006/relationships/hyperlink" Target="https://www.sec.gov/Archives/edgar/data/1800637/000121390025081148/ea025469501ex4-1_agrify.htm" TargetMode="External"/><Relationship Id="rId60" Type="http://schemas.openxmlformats.org/officeDocument/2006/relationships/hyperlink" Target="https://www.sec.gov/Archives/edgar/data/1800637/000121390025081148/ea025469501ex4-2_agrify.htm" TargetMode="External"/><Relationship Id="rId61" Type="http://schemas.openxmlformats.org/officeDocument/2006/relationships/hyperlink" Target="https://www.sec.gov/Archives/edgar/data/1800637/000121390025081148/ea025469501ex4-3_agrify.htm" TargetMode="External"/><Relationship Id="rId62" Type="http://schemas.openxmlformats.org/officeDocument/2006/relationships/hyperlink" Target="https://www.sec.gov/Archives/edgar/data/1800637/000121390025081148/ea025469501ex4-4_agrify.htm" TargetMode="External"/><Relationship Id="rId63" Type="http://schemas.openxmlformats.org/officeDocument/2006/relationships/hyperlink" Target="https://www.sec.gov/Archives/edgar/data/1800637/000121390025081148/ea025469501ex10-1_agrify.htm" TargetMode="External"/><Relationship Id="rId64" Type="http://schemas.openxmlformats.org/officeDocument/2006/relationships/hyperlink" Target="https://www.sec.gov/Archives/edgar/data/1800637/000121390025081148/ea025469501ex10-2_agrify.htm" TargetMode="External"/><Relationship Id="rId65" Type="http://schemas.openxmlformats.org/officeDocument/2006/relationships/hyperlink" Target="https://www.sec.gov/Archives/edgar/data/1800637/000121390025081148/ea025469501ex10-3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2025-11-07T06:19:34Z</dcterms:created>
  <dcterms:modified xsi:type="dcterms:W3CDTF">2025-11-07T06:19:34Z</dcterms:modified>
</cp:coreProperties>
</file>