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43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tc>
        <w:tc>
          <w:tcPr>
            <w:tcW w:w="34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Commission File Number: 001-39946</w:t>
            </w:r>
          </w:p>
        </w:tc>
        <w:tc>
          <w:tcPr>
            <w:tcW w:w="3480" w:type="dxa"/>
            <w:vAlign w:val="bottom"/>
          </w:tcPr>
          <w:p>
            <w:pPr>
              <w:spacing w:after="0"/>
              <w:rPr>
                <w:sz w:val="24"/>
                <w:szCs w:val="24"/>
                <w:color w:val="auto"/>
              </w:rPr>
            </w:pPr>
          </w:p>
        </w:tc>
      </w:tr>
      <w:tr>
        <w:trPr>
          <w:trHeight w:val="414"/>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48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4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480" w:type="dxa"/>
            <w:vAlign w:val="bottom"/>
          </w:tcPr>
          <w:p>
            <w:pPr>
              <w:spacing w:after="0"/>
              <w:rPr>
                <w:sz w:val="20"/>
                <w:szCs w:val="20"/>
                <w:color w:val="auto"/>
              </w:rPr>
            </w:pPr>
          </w:p>
        </w:tc>
      </w:tr>
      <w:tr>
        <w:trPr>
          <w:trHeight w:val="439"/>
        </w:trPr>
        <w:tc>
          <w:tcPr>
            <w:tcW w:w="3420" w:type="dxa"/>
            <w:vAlign w:val="bottom"/>
            <w:tcBorders>
              <w:bottom w:val="single" w:sz="8" w:color="auto"/>
            </w:tcBorders>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552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jc w:val="center"/>
              <w:ind w:right="19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60" w:type="dxa"/>
            <w:vAlign w:val="bottom"/>
            <w:gridSpan w:val="8"/>
          </w:tcPr>
          <w:p>
            <w:pPr>
              <w:jc w:val="center"/>
              <w:ind w:right="22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8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2220 Hicks Road Suite 210</w:t>
            </w:r>
          </w:p>
        </w:tc>
        <w:tc>
          <w:tcPr>
            <w:tcW w:w="3480" w:type="dxa"/>
            <w:vAlign w:val="bottom"/>
          </w:tcPr>
          <w:p>
            <w:pPr>
              <w:spacing w:after="0"/>
              <w:rPr>
                <w:sz w:val="24"/>
                <w:szCs w:val="24"/>
                <w:color w:val="auto"/>
              </w:rPr>
            </w:pPr>
          </w:p>
        </w:tc>
      </w:tr>
      <w:tr>
        <w:trPr>
          <w:trHeight w:val="220"/>
        </w:trPr>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Rolling Meadows, IL 60008</w:t>
            </w:r>
          </w:p>
        </w:tc>
        <w:tc>
          <w:tcPr>
            <w:tcW w:w="3480" w:type="dxa"/>
            <w:vAlign w:val="bottom"/>
          </w:tcPr>
          <w:p>
            <w:pPr>
              <w:spacing w:after="0"/>
              <w:rPr>
                <w:sz w:val="19"/>
                <w:szCs w:val="19"/>
                <w:color w:val="auto"/>
              </w:rPr>
            </w:pPr>
          </w:p>
        </w:tc>
      </w:tr>
      <w:tr>
        <w:trPr>
          <w:trHeight w:val="234"/>
        </w:trPr>
        <w:tc>
          <w:tcPr>
            <w:tcW w:w="3420" w:type="dxa"/>
            <w:vAlign w:val="bottom"/>
          </w:tcPr>
          <w:p>
            <w:pPr>
              <w:spacing w:after="0"/>
              <w:rPr>
                <w:sz w:val="20"/>
                <w:szCs w:val="20"/>
                <w:color w:val="auto"/>
              </w:rPr>
            </w:pPr>
          </w:p>
        </w:tc>
        <w:tc>
          <w:tcPr>
            <w:tcW w:w="43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480" w:type="dxa"/>
            <w:vAlign w:val="bottom"/>
          </w:tcPr>
          <w:p>
            <w:pPr>
              <w:spacing w:after="0"/>
              <w:rPr>
                <w:sz w:val="20"/>
                <w:szCs w:val="20"/>
                <w:color w:val="auto"/>
              </w:rPr>
            </w:pPr>
          </w:p>
        </w:tc>
      </w:tr>
      <w:tr>
        <w:trPr>
          <w:trHeight w:val="414"/>
        </w:trPr>
        <w:tc>
          <w:tcPr>
            <w:tcW w:w="3420" w:type="dxa"/>
            <w:vAlign w:val="bottom"/>
          </w:tcPr>
          <w:p>
            <w:pPr>
              <w:spacing w:after="0"/>
              <w:rPr>
                <w:sz w:val="24"/>
                <w:szCs w:val="24"/>
                <w:color w:val="auto"/>
              </w:rPr>
            </w:pPr>
          </w:p>
        </w:tc>
        <w:tc>
          <w:tcPr>
            <w:tcW w:w="4020" w:type="dxa"/>
            <w:vAlign w:val="bottom"/>
            <w:gridSpan w:val="5"/>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(855) 420-0020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4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80" w:type="dxa"/>
            <w:vAlign w:val="bottom"/>
          </w:tcPr>
          <w:p>
            <w:pPr>
              <w:spacing w:after="0"/>
              <w:rPr>
                <w:sz w:val="20"/>
                <w:szCs w:val="20"/>
                <w:color w:val="auto"/>
              </w:rPr>
            </w:pPr>
          </w:p>
        </w:tc>
      </w:tr>
      <w:tr>
        <w:trPr>
          <w:trHeight w:val="432"/>
        </w:trPr>
        <w:tc>
          <w:tcPr>
            <w:tcW w:w="7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80" w:type="dxa"/>
            <w:vAlign w:val="bottom"/>
          </w:tcPr>
          <w:p>
            <w:pPr>
              <w:spacing w:after="0"/>
              <w:rPr>
                <w:sz w:val="24"/>
                <w:szCs w:val="24"/>
                <w:color w:val="auto"/>
              </w:rPr>
            </w:pPr>
          </w:p>
        </w:tc>
      </w:tr>
      <w:tr>
        <w:trPr>
          <w:trHeight w:val="439"/>
        </w:trPr>
        <w:tc>
          <w:tcPr>
            <w:tcW w:w="34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42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gridSpan w:val="3"/>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AGFY </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4, 2025, the registrant had 2,002,568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8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7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8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rPr>
                <w:sz w:val="15"/>
                <w:szCs w:val="15"/>
                <w:color w:val="auto"/>
              </w:rPr>
            </w:pPr>
          </w:p>
        </w:tc>
        <w:tc>
          <w:tcPr>
            <w:tcW w:w="950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tcPr>
          <w:p>
            <w:pPr>
              <w:spacing w:after="0"/>
              <w:rPr>
                <w:sz w:val="15"/>
                <w:szCs w:val="15"/>
                <w:color w:val="auto"/>
              </w:rPr>
            </w:pP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(Deficit)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9500" w:type="dxa"/>
            <w:vAlign w:val="bottom"/>
            <w:gridSpan w:val="21"/>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7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21"/>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9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associated with discontinued operations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46,372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34,694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associated with discontinued operations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69,474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54,022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 associated with discontinued operations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17,544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24,679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associated with discontinued operations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48,511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25,933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35,000,000 shares authorized; 2,002,568 and 1,952,032 shares issued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at June 30, 2025 and December 31, 2024,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337,490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335,400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(316,529)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(307,543)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 attributable to Agrify Corporation</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20,963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27,859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20,963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28,089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54,022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1,360</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1,808</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7,480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(6,798)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(10,499)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 income, net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w:t>
            </w: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(7,205)</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(10,479)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(7,205)</w:t>
            </w: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(10,479)</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disposal of Extraction business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(7,360)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(8,986)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Agrify Corporation</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(loss) income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8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(0.87)</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3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shd w:val="clear" w:color="auto" w:fill="CCEEFF"/>
          </w:tcPr>
          <w:p>
            <w:pPr>
              <w:spacing w:after="0" w:line="277" w:lineRule="exact"/>
              <w:rPr>
                <w:sz w:val="20"/>
                <w:szCs w:val="20"/>
                <w:color w:val="auto"/>
              </w:rPr>
            </w:pPr>
            <w:r>
              <w:rPr>
                <w:rFonts w:ascii="Times New Roman" w:cs="Times New Roman" w:eastAsia="Times New Roman" w:hAnsi="Times New Roman"/>
                <w:sz w:val="18"/>
                <w:szCs w:val="18"/>
                <w:color w:val="auto"/>
              </w:rPr>
              <w:t xml:space="preserve">Net (loss) income per share attributable to Common Stockholders – basic </w:t>
            </w:r>
            <w:r>
              <w:rPr>
                <w:rFonts w:ascii="Times New Roman" w:cs="Times New Roman" w:eastAsia="Times New Roman" w:hAnsi="Times New Roman"/>
                <w:sz w:val="29"/>
                <w:szCs w:val="29"/>
                <w:color w:val="auto"/>
                <w:vertAlign w:val="superscript"/>
              </w:rPr>
              <w:t>(1)</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8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(loss)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8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2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(0.87)</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3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shd w:val="clear" w:color="auto" w:fill="CCEEFF"/>
          </w:tcPr>
          <w:p>
            <w:pPr>
              <w:spacing w:after="0" w:line="277" w:lineRule="exact"/>
              <w:rPr>
                <w:sz w:val="20"/>
                <w:szCs w:val="20"/>
                <w:color w:val="auto"/>
              </w:rPr>
            </w:pPr>
            <w:r>
              <w:rPr>
                <w:rFonts w:ascii="Times New Roman" w:cs="Times New Roman" w:eastAsia="Times New Roman" w:hAnsi="Times New Roman"/>
                <w:sz w:val="18"/>
                <w:szCs w:val="18"/>
                <w:color w:val="auto"/>
              </w:rPr>
              <w:t xml:space="preserve">Net (loss) income per share attributable to Common Stockholders – diluted </w:t>
            </w:r>
            <w:r>
              <w:rPr>
                <w:rFonts w:ascii="Times New Roman" w:cs="Times New Roman" w:eastAsia="Times New Roman" w:hAnsi="Times New Roman"/>
                <w:sz w:val="29"/>
                <w:szCs w:val="29"/>
                <w:color w:val="auto"/>
                <w:vertAlign w:val="superscript"/>
              </w:rPr>
              <w:t>(1)</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8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line="296" w:lineRule="exact"/>
              <w:rPr>
                <w:sz w:val="20"/>
                <w:szCs w:val="20"/>
                <w:color w:val="auto"/>
              </w:rPr>
            </w:pPr>
            <w:r>
              <w:rPr>
                <w:rFonts w:ascii="Times New Roman" w:cs="Times New Roman" w:eastAsia="Times New Roman" w:hAnsi="Times New Roman"/>
                <w:sz w:val="18"/>
                <w:szCs w:val="18"/>
                <w:color w:val="auto"/>
              </w:rPr>
              <w:t xml:space="preserve">Weighted average common shares outstanding - basic </w:t>
            </w:r>
            <w:r>
              <w:rPr>
                <w:rFonts w:ascii="Times New Roman" w:cs="Times New Roman" w:eastAsia="Times New Roman" w:hAnsi="Times New Roman"/>
                <w:sz w:val="29"/>
                <w:szCs w:val="29"/>
                <w:color w:val="auto"/>
                <w:vertAlign w:val="superscript"/>
              </w:rPr>
              <w:t>(1)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1,965,425</w:t>
            </w:r>
          </w:p>
        </w:tc>
        <w:tc>
          <w:tcPr>
            <w:tcW w:w="2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940,953</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1,958,724</w:t>
            </w:r>
          </w:p>
        </w:tc>
        <w:tc>
          <w:tcPr>
            <w:tcW w:w="3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701,563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shd w:val="clear" w:color="auto" w:fill="CCEEFF"/>
          </w:tcPr>
          <w:p>
            <w:pPr>
              <w:spacing w:after="0" w:line="277" w:lineRule="exact"/>
              <w:rPr>
                <w:sz w:val="20"/>
                <w:szCs w:val="20"/>
                <w:color w:val="auto"/>
              </w:rPr>
            </w:pPr>
            <w:r>
              <w:rPr>
                <w:rFonts w:ascii="Times New Roman" w:cs="Times New Roman" w:eastAsia="Times New Roman" w:hAnsi="Times New Roman"/>
                <w:sz w:val="18"/>
                <w:szCs w:val="18"/>
                <w:color w:val="auto"/>
              </w:rPr>
              <w:t xml:space="preserve">Weighted average common shares outstanding - diluted </w:t>
            </w:r>
            <w:r>
              <w:rPr>
                <w:rFonts w:ascii="Times New Roman" w:cs="Times New Roman" w:eastAsia="Times New Roman" w:hAnsi="Times New Roman"/>
                <w:sz w:val="29"/>
                <w:szCs w:val="29"/>
                <w:color w:val="auto"/>
                <w:vertAlign w:val="superscript"/>
              </w:rPr>
              <w:t>(1)</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8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1,965,425</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940,953</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1,958,724</w:t>
            </w: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1,696,069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retroactively reflect the 1-for-15 reverse stock split on October 8, 2024. Additional information regarding reverse stock splits may be found in Note 1 – Overview, Basis of Presentation, and Significant Accounting Policies, included in the notes to the condensed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8"/>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2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2"/>
        </w:trPr>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8"/>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0"/>
                <w:szCs w:val="20"/>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0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6"/>
        </w:trPr>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top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96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to Agrify</w:t>
            </w:r>
          </w:p>
        </w:tc>
        <w:tc>
          <w:tcPr>
            <w:tcW w:w="60" w:type="dxa"/>
            <w:vAlign w:val="bottom"/>
          </w:tcPr>
          <w:p>
            <w:pPr>
              <w:spacing w:after="0"/>
              <w:rPr>
                <w:sz w:val="20"/>
                <w:szCs w:val="20"/>
                <w:color w:val="auto"/>
              </w:rPr>
            </w:pPr>
          </w:p>
        </w:tc>
        <w:tc>
          <w:tcPr>
            <w:tcW w:w="9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250,857</w:t>
            </w: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(265,797)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18"/>
                <w:szCs w:val="18"/>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pre-funded</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warrants through public offering</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2,123</w:t>
            </w: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held-back shares from Sinclair</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acquisition</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Cashless exercise of high trail warrants</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Exercise of pre-funded warrants issued through</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public offering</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200,667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Deemed contribution from troubled debt</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restructuring with related party</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676</w:t>
            </w:r>
          </w:p>
        </w:tc>
        <w:tc>
          <w:tcPr>
            <w:tcW w:w="160" w:type="dxa"/>
            <w:vAlign w:val="bottom"/>
          </w:tcPr>
          <w:p>
            <w:pPr>
              <w:spacing w:after="0"/>
              <w:rPr>
                <w:sz w:val="20"/>
                <w:szCs w:val="20"/>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split share adjustment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885,046</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255,879</w:t>
            </w: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(261,561)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(5,681)</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8"/>
                <w:szCs w:val="18"/>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Exercise of pre-funded warrants issued through</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public offering</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Excess of related party debt and pre-funded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10,044</w:t>
            </w:r>
          </w:p>
        </w:tc>
        <w:tc>
          <w:tcPr>
            <w:tcW w:w="160" w:type="dxa"/>
            <w:vAlign w:val="bottom"/>
          </w:tcPr>
          <w:p>
            <w:pPr>
              <w:spacing w:after="0"/>
              <w:rPr>
                <w:sz w:val="20"/>
                <w:szCs w:val="20"/>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10,044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equity classified prefunded warrants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6,791</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vested RSUs, net of shares held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back to offset tax</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auto"/>
              <w:right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auto"/>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948,666</w:t>
            </w:r>
          </w:p>
        </w:tc>
        <w:tc>
          <w:tcPr>
            <w:tcW w:w="80" w:type="dxa"/>
            <w:vAlign w:val="bottom"/>
          </w:tcPr>
          <w:p>
            <w:pPr>
              <w:spacing w:after="0"/>
              <w:rPr>
                <w:sz w:val="20"/>
                <w:szCs w:val="20"/>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272,796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(264,533</w:t>
            </w:r>
          </w:p>
        </w:tc>
        <w:tc>
          <w:tcPr>
            <w:tcW w:w="120" w:type="dxa"/>
            <w:vAlign w:val="bottom"/>
            <w:gridSpan w:val="2"/>
            <w:vMerge w:val="continue"/>
          </w:tcPr>
          <w:p>
            <w:pPr>
              <w:spacing w:after="0"/>
              <w:rPr>
                <w:sz w:val="20"/>
                <w:szCs w:val="20"/>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8,264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8"/>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8"/>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0"/>
                <w:szCs w:val="20"/>
                <w:color w:val="auto"/>
              </w:rPr>
            </w:pPr>
          </w:p>
        </w:tc>
        <w:tc>
          <w:tcPr>
            <w:tcW w:w="11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60" w:type="dxa"/>
            <w:vAlign w:val="bottom"/>
          </w:tcPr>
          <w:p>
            <w:pPr>
              <w:spacing w:after="0"/>
              <w:rPr>
                <w:sz w:val="20"/>
                <w:szCs w:val="20"/>
                <w:color w:val="auto"/>
              </w:rPr>
            </w:pPr>
          </w:p>
        </w:tc>
        <w:tc>
          <w:tcPr>
            <w:tcW w:w="9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00" w:type="dxa"/>
            <w:vAlign w:val="bottom"/>
          </w:tcPr>
          <w:p>
            <w:pPr>
              <w:spacing w:after="0"/>
              <w:rPr>
                <w:sz w:val="20"/>
                <w:szCs w:val="20"/>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0"/>
                <w:szCs w:val="20"/>
                <w:color w:val="auto"/>
              </w:rPr>
            </w:pPr>
          </w:p>
        </w:tc>
        <w:tc>
          <w:tcPr>
            <w:tcW w:w="96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 Agrify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1,952,032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335,400</w:t>
            </w: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Cancellation of common shares</w:t>
            </w:r>
          </w:p>
        </w:tc>
        <w:tc>
          <w:tcPr>
            <w:tcW w:w="9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of non-controlling interests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gridSpan w:val="2"/>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gridSpan w:val="2"/>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1,952,014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335,989</w:t>
            </w:r>
          </w:p>
        </w:tc>
        <w:tc>
          <w:tcPr>
            <w:tcW w:w="1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(309,169</w:t>
            </w:r>
          </w:p>
        </w:tc>
        <w:tc>
          <w:tcPr>
            <w:tcW w:w="10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26,822</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26,822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vested RSUs, net of shares held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960" w:type="dxa"/>
            <w:vAlign w:val="bottom"/>
            <w:gridSpan w:val="3"/>
            <w:vMerge w:val="restart"/>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back to offset tax</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50,554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pre-funded warrants in lieu of</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interest payments on related party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Borders>
              <w:lef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pre-funded warrants in lieu of cash</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vMerge w:val="restart"/>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gridSpan w:val="2"/>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gridSpan w:val="2"/>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2,002,568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337,490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(316,529</w:t>
            </w:r>
          </w:p>
        </w:tc>
        <w:tc>
          <w:tcPr>
            <w:tcW w:w="100" w:type="dxa"/>
            <w:vAlign w:val="bottom"/>
            <w:vMerge w:val="continue"/>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20,963</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21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90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expense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inventory reserves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inventory write-down</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liability</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(3,534)</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(903)</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7"/>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and cash equivalents used in operating activities</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acquisition of MC Brands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loan receivable</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03"/>
        </w:trPr>
        <w:tc>
          <w:tcPr>
            <w:tcW w:w="908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(used in) provided by investing activities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(5,075)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S-1 and prefunded warrants offering</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S-1 Prefunded Warrants</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related party notes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other financing loans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6"/>
        </w:trPr>
        <w:tc>
          <w:tcPr>
            <w:tcW w:w="9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and cash equivalents provided by financing activities continuing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0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9,786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beginning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end of period</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08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9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related party debt interest into pre-funded warrants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pre-funded warrants in lieu of cash 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accounts payable and accrued interests to notes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consolidated into related party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contribution from troubled debt restructuring with related party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9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loans receivable from noncurrent to current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 into equity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Consolidation of related party debt principal</w:t>
            </w:r>
          </w:p>
        </w:tc>
        <w:tc>
          <w:tcPr>
            <w:tcW w:w="2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warrants in connection with reclassification and issuance</w:t>
            </w:r>
          </w:p>
        </w:tc>
        <w:tc>
          <w:tcPr>
            <w:tcW w:w="2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w:t>
            </w:r>
          </w:p>
        </w:tc>
      </w:tr>
      <w:tr>
        <w:trPr>
          <w:trHeight w:val="234"/>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related party debt to equity</w:t>
            </w:r>
          </w:p>
        </w:tc>
        <w:tc>
          <w:tcPr>
            <w:tcW w:w="2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Agrify Corporation (together with its subsidiaries, the “Company”) is a developer of branded innovative solutions for the cannabis and hemp industries. The Company’s portfolio of consumer-packaged goods brands includes Señorita brand which offers consumers hemp-derived tetrahydrocannabinol (“THC”) beverages that mirror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at top retailers including Total Wine, ABC Fine Wine &amp; Spirits, and Binny’s in eleven U.S. states and Canada, with plans for expansion and future availability in premier on-premises destinations. Other hemp-derived products including RYTHM beverages and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and Beboe edible products are primarily sold online and through direct-to-retail partnerships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has also historically been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producers to maximize the quantity and quality of extract required for premium concentrates. Additionally, prior to its sale on December 31, 2024, the Company’s proprietary micro-environment-controlled Agrify Vertical Farming Units(“VFUs”) enabled cultivators to produce high quality products for the cannabis industry.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eleven wholly-owned consolidated subsidiaries, which are collectively referred to as the “Subsidiaries” and seven out of eleven subsidiaries are related to discontinued operations.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12, 2024, the Company acquired certain assets from Double or Nothing, LLC (“Double or Nothing”), the owner and creator of the Señorita brand of hemp-derived drinks as part of the Company’s strategic plan to reposition itself as a distributor of hemp-derived THC beverages and similar products.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31, 2024, the Company entered into an Asset Purchase Agreement (the “Purchase Agreement”) with CP Acquisitions, LLC (“CP”), an entity affiliated with Raymond Chang, the Company’s former Chairman and Chief Executive Officer. Under the Purchase Agreement, CP acquired assets</w:t>
      </w:r>
    </w:p>
    <w:p>
      <w:pPr>
        <w:jc w:val="both"/>
        <w:spacing w:after="0" w:line="236" w:lineRule="auto"/>
        <w:rPr>
          <w:sz w:val="20"/>
          <w:szCs w:val="20"/>
          <w:color w:val="auto"/>
        </w:rPr>
      </w:pPr>
      <w:r>
        <w:rPr>
          <w:rFonts w:ascii="Times New Roman" w:cs="Times New Roman" w:eastAsia="Times New Roman" w:hAnsi="Times New Roman"/>
          <w:sz w:val="18"/>
          <w:szCs w:val="18"/>
          <w:color w:val="auto"/>
        </w:rPr>
        <w:t>from the Company relating to the Company’s VFUs, including the related Agrify total-turnkey (“TTK”) solution assets and 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 The sale of the Cultivation Business occurred following signing on December 31, 2024. The results of the Cultivation Business are presented as discontinued operations in the Condensed Consolidated Statements of Operations and, as such, have been excluded from continuing operations. Further, the Company reclassified the assets and liabilities of the Cultivation Business associated with discontinued operations in the Condensed Consolidated Balance Sheet as of June 30, 2025 and December 31, 2024. In connection with the reclassification as discontinued operations, the assets and liabilities were remeasured to fair value less cost to sell. For further discussion on the discontinued operations, refer to Note 6 included elsewhere in the notes to the unaudited condensed consolidated financial statements.</w:t>
      </w:r>
    </w:p>
    <w:p>
      <w:pPr>
        <w:spacing w:after="0" w:line="20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30, 2025, the Company approved the winding down of the Extraction Business by March 31, 2025, including but not limited to, the sale or other disposal of all remaining assets constituting the Extraction Business, the cessation of all business operations related to the Extraction Business, the termination of any outstanding contracts related to the Extraction Business, and termination of any employees primarily involved in the Extraction Business. The results of the Extraction Business are presented as discontinued operations in the Condensed Consolidated Statements of Operations and, as such, have been excluded from continuing operations. Further, the Company reclassified the assets and liabilities of the Extraction Business associated with discontinued operations in the Condensed Consolidated Balance Sheet as of June 30, 2025 and December 31, 2024. In connection with the reclassification as discontinued operations, the assets and liabilities were remeasured to fair value less cost to sell as of June 30, 2025. The balances as of December 31, 2024 reflect historical carrying values, without remeasurement. For further discussion on the discontinued operations, refer to Note 6 included elsewhere in the notes to the unaudited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May 20, 2025, the Company entered into a purchase agreement with VCP IP Holdings, LLC (“VCP”), an indirectly wholly-owned subsidiary of Green Thumb Industries Inc. (“Green Thumb”), a related party, pursuant to which the Company acquired all of the equity interests in MC Brands LLC and its wholly-owned subsidiary Core Growth LLC (together referred to as “MC Brands”). The assets of MC Brands consist primarily of intellectual property rights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The aggregate consideration exchanged for the equity interest was cash consideration of $5.1 million. In connection with the purchase of MC Brands, the Company also licensed the right to use the RYTHM and Beboe brands from Green Thumb for hemp-derived THC beverages and similar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30, 2024, the Company received formal notice that the Nasdaq Hearings Panel (the “Panel”) of the Nasdaq Stock Market LLC (“Nasdaq”) had granted the Company’s request for an exception through April 15, 2024 to evidence compliance with the Nasdaq Listing Rule 5550(b)(1) (the “Listing Rule 5550(b)(1)”), which was subsequently extended to May 15, 2024. As a result of the conversion of a convertible note and a junior note held in favor of CP, the Company regained compliance with the stockholders’ equity requirement, On May 28, 2024, the Company received formal written notice from Nasdaq confirming that the Company had regained compliance with the minimum stockholders’ equity requirement as set forth in Listing Rule 5550(b)(1).</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5, 2024, the Company received a deficiency letter from the Nasdaq Listing Qualifications Department (the “Staff”)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 The Notice had no immediate effect on the listing of the Company’s Common Stock on Nasdaq. In accordance with Nasdaq Listing Rule 5810(c)(3)(A), the Company had 180 calendar days to regain compliance with the Minimum Bid Requirement. The compliance period for the Company expired on September 3, 2024. On September 4, 2024, the Staff notified the company in writing that it was eligible for an additional 180-day compliance period, or until March 3, 2025, to regain compliance with the Minimum Bid Requirement. On October 8, 2024, the Company completed a 1-for-15 reverse stock split of its Common Stock, in which each fifteen shares of Common Stock issued and outstanding was combined and converted into one share of Common Stock to regain compliance with the Minimum Bid Requirement. On October 22, 2024, the Staff notified the Company that it had regained compliance with the Minimum Bid Requirement.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interim condensed consolidated financial statements of the Company are unaudited. In the opinion of management, all adjustments (consisting of normal recurring adjustments) and disclosures necessary for a fair presentation of these unaudited condensed consolidated financial statements have been included. The results reported in the unaudited condensed consolidated financial statements for any interim periods are not necessarily indicative of the results that may be reported for the entire year. The accompanying unaudited condensed consolidated financial statements have been prepared in accordance with the rules and regulations of the Securities and Exchange Commission (the “SEC”) and do not include all information and footnotes necessary for a complete presentation of financial statements in conformity with accounting principles generally accepted in the United States (“U.S. GAAP”).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annual consolidated financial statements prepared in accordance with U.S. GAAP have been condensed or omitted. These unaudited interim condensed consolidated financial statements should be read in conjunction with the Company’s audited consolidated financial statements and notes thereto included in the Company’s Annual Report on Form 10-K for the year ended December 31, 2024, filed with the SEC on March 21, 2025, as amended on March 28, 2025 (the “Form 10-K”). The December 31, 2024 balances reported herein are derived from the audited consolidated financial statements for the year ended December 31, 2024, retrospectively adjusted for discontinued operations.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unaudited condensed consolidated financial statements have been prepared in accordance with U.S. GAAP and include the accounts of the Company and its wholly-owned Subsidiaries, as described above, in accordance with the provisions required by Accounting Standards Codification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of the Financial Accounting Standards Board (“FASB”). The Company includes results of operations of acquired companies from the date of acquisition. All significant intercompany transactions and balances are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 On an ongoing basis, we evaluate estimates, which include estimates related to accruals, stock-based compensation expense, reported amounts of revenues and expenses during the reported period, fair value of warrant liabilities, sales tax liabilities, valuation of deferred tax assets, net realizable value of inventory, intangible assets, goodwill, and litigation. The Company bases its estimates on historical experience and other market-specific or other relevant assumptions that it believes to be reasonable under the circumstances. Actual results may differ materially from those estimates or assumptions.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regularly evaluates its assets, including asset groups or reporting units, for impairment in accordance with U.S. GAAP. The Company is aware of the impact that prolonged net losses can have on the fair value of underlying assets and the overall company. The Company is committed to ensuring that the carrying amounts of its assets are appropriately assessed and adjusted for any impairment, reflecting a true and fair view of its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effected a 1-for-15 reverse stock split of its Common Stock on October 8, 2024. All share and per share information has been retroactively adjusted to give effect to the reverse stock split for all periods presented unless otherwise indicated. The shares of Common Stock retained a par value of $0.001 per share. Accordingly, the Stockholders’ equity section of the condensed consolidated balance sheets reflects the reverse stock split by reclassifying from Common Stock to additional paid-in capital an amount equal to the par value of the decreased shares resulting from the reverse stock split.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amounts in the condensed consolidated financial statements related to the prior years have been reclassified to conform to the current year’s presentation, specifically related to discontinued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December 31, 2024, the Company entered into and closed the Purchase Agreement with CP. Under the Purchase Agreement, CP acquired assets from the Company relating to the Cultivation Business. On March 30, 2025, the Company discontinued the Extraction Business.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the sale of the Cultivation Business and the exit of the Extraction Business represented strategic shifts that will have a major effect on the Company’s operations and financial results, they have been presented in discontinued operations in accordance with ASC 205,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separate from continuing operations for the three months and six months ended June 30, 2025 and 2024, and as of June 30, 2025 and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2024, as applicable. For further discussion, refer to Note 6 included elsewhere in the notes to the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Accounts receivable, net, primarily consists of amounts for goods and services that are billed and currently due from customers. In accordance with the current expect credited loss (“CECL”) impairment model under Accounting Standards Update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accounts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and loans receivable balances are written off after all means of collection are exhausted and the potential for non-recovery is determined to be probable. Adjustments to the allowance for credit losses are recorded as general and administrative expenses in the unaudited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and accounts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the Company had one related party customer and one third-party customer that accounted for 10% or more of the total revenue from continuing operations. A related party customer and a third-party customer represented 13% and 38% each of total revenue from continuing operations for the period, respectively. For the three months ended June 30, 2024, the Company had no revenue from continuing operations and therefore no customer represented a significant portion of revenue from continuing operations.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the Company had three third-party customers that accounted for 10% or more of the total revenue from continuing operations. These customers represented between 11% and 30% each of total revenue from continuing operations for the period. For the six months ended June 30, 2024, the Company had no revenue from continuing operations and therefore no customer represented a significant portion of revenue from continuing operations.</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one of the Company’s related party customers accounted for 14% of accounts receivable and three of the Company’s third-party customers also accounted for between 16% and 40% each of accounts receivable. As of December 31, 2024, one third-party customer accounted for 100% of accounts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finished goods and raw materials,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a physical inventory count at least once annually at all significant inventory locations.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including issued private placement stock purchase warrants, to determine if such instruments are derivatives or contain features that qualify as embedded derivatives, pursuant to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Issued or modified warrants that meet all of the criteria for equity classification are recorded as a component of additional paid-in capital at the time of issuance or when incurred. Issued or modified warrants that are precluded from equity classification are recorded as a liability at their initial fair value on the date of issuance and subject to remeasurement on each balance sheet date with changes in the estimated fair value of the warrants to be recognized as an unrealized gain or loss in the unaudited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receivable, contingent consideration, operating lease liabilities, long-term debt, related party debt, and pre-funded warrants. Refer to Note 4 - Fair Value Measures, included elsewhere in the notes to the unaudited condensed consolidated financial statements for details of the Company’s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continuing operations through the sale of hemp-derived THC products and related party licensing arrangements. The Company licenses intellectual property to a related party under arrangements that provide for sales-based royalties. The Company recognizes royalty income derived from licensing agreements in accordance with ASC Topic 606, Revenue Recognition (“ASC 606”), specifically, the sales-based royalty exception. In accordance with ASC 606, revenue is recognized through a five-step model, as outlined below:</w:t>
      </w:r>
    </w:p>
    <w:p>
      <w:pPr>
        <w:spacing w:after="0" w:line="176" w:lineRule="exact"/>
        <w:rPr>
          <w:sz w:val="20"/>
          <w:szCs w:val="20"/>
          <w:color w:val="auto"/>
        </w:rPr>
      </w:pPr>
    </w:p>
    <w:p>
      <w:pPr>
        <w:jc w:val="both"/>
        <w:ind w:left="66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the customer contract</w:t>
      </w:r>
      <w:r>
        <w:rPr>
          <w:rFonts w:ascii="Times New Roman" w:cs="Times New Roman" w:eastAsia="Times New Roman" w:hAnsi="Times New Roman"/>
          <w:sz w:val="18"/>
          <w:szCs w:val="18"/>
          <w:color w:val="auto"/>
        </w:rPr>
        <w:t>: A customer contract is identified when there is mutual approval and commitment between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the rights and obligations are clear, payment terms are set, the contract has commercial substance, and collectability is probable. Written or electronic signatures on contracts and purchase orders are obtained if such orders are issued in the normal course of business by the customer.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performance obligations that are distinct</w:t>
      </w:r>
      <w:r>
        <w:rPr>
          <w:rFonts w:ascii="Times New Roman" w:cs="Times New Roman" w:eastAsia="Times New Roman" w:hAnsi="Times New Roman"/>
          <w:sz w:val="18"/>
          <w:szCs w:val="18"/>
          <w:color w:val="auto"/>
        </w:rPr>
        <w:t>: The Company identifies distinct performance obligations in each contract. A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is considered distinct if the customer can benefit from the good or service on its own or with readily available resources, and if it is separately identifiable from other promises in the contract. The Company’s revenue-generating activities typically have a single performance obligation.</w:t>
      </w:r>
    </w:p>
    <w:p>
      <w:pPr>
        <w:spacing w:after="0" w:line="176"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Determine the transaction price</w:t>
      </w:r>
      <w:r>
        <w:rPr>
          <w:rFonts w:ascii="Times New Roman" w:cs="Times New Roman" w:eastAsia="Times New Roman" w:hAnsi="Times New Roman"/>
          <w:sz w:val="18"/>
          <w:szCs w:val="18"/>
          <w:color w:val="auto"/>
        </w:rPr>
        <w:t>: The transaction price is the amount of consideration the Company expects to receive in exchange for the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 This amount is determined excluding sales taxes collected on behalf of government agencies and net of any sales discounts, incentives, and returns.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Allocate the transaction price to distinct performance obligations</w:t>
      </w:r>
      <w:r>
        <w:rPr>
          <w:rFonts w:ascii="Times New Roman" w:cs="Times New Roman" w:eastAsia="Times New Roman" w:hAnsi="Times New Roman"/>
          <w:sz w:val="18"/>
          <w:szCs w:val="18"/>
          <w:color w:val="auto"/>
        </w:rPr>
        <w:t>: The transaction price is allocated to each distinct performance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relative standalone selling prices (“SSP”) of the goods or services provided. If a contract involves multiple performance obligations, each is accounted for separately if distinct, and the SSP reflects the price the Company would charge if the good or service were sold separately in similar circumstances and to similar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Recognize revenue as the performance obligations are satisfied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hemp-derived THC products is recognized when control of the product transfers to the customer, typically upon delivery or shipment, as the customer assumes the risks and rewards of ownership. Payment terms vary by customer, but the time between revenue recognition and payment due is generally not significant. For products sold under consignment arrangements, revenue is recognized only when control is transferred to the end customer. The Company does not maintain a specific reserve for returns due to the limited circumstances under which returns are permitted in customer agreements. Payments for slotting, listing fees, or other marketing or promotional activities, where legally permitted, are recorded as a reduction in revenue unless a distinct good or service is received in exchange.</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606-10-55-65 through 55-65B, royalty revenue is recognized only when the underlying sale by the licensee occurs, and the performance obligation has otherwise been satisfied. This approach ensures that revenue is recognized in the period in which it is earned and determinable, consistent with the transfer of control of the intellectual property to the licensee.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 Per Share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presents basic and diluted net (loss) income per share attributable to Common Stockholders in conformity with the one-class method. The Company computes basic (loss) income per share by dividing net (loss) income available to Common Stockholders by the weighted-average number of Common Stock outstanding. Diluted (loss) income per share adjusts basic loss per share for the potentially dilutive impact of convertible notes, stock options, restricted stock units and warrants. For the six months ended June 30, 2024, the Company adjusts the net income available to common stockholders and the weighted average common stock outstanding for the effective of dilutive securities as presented within Note 15 – Net (Loss) Income Per Share. As the Company has reported losses for the three months ended June 30, 2025 and 2024 and the six months ended June 30, 2025, all potentially dilutive securities including convertible notes, stock options, restricted stock units and warrants, are anti-dilutive, and accordingly, basic net loss per share equals diluted net loss per share for those periods.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(loss) income per share calculations for all periods have been adjusted to reflect the reverse stock split effected on October 8,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December 14, 2023, the Financial Accounting Standards Board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adopted this new standard on January 1, 2025 and the effect of this guidance will be reflected in the financial statements for the year ending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Announced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(Topic 220): Disaggregation of Income Statement Expenses. This guidance requires additional disclosure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this ASU on its condensed consolidated financial statements and related disclosures.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2024-04, Debt with Conversion and Other Options (“ASU 2024-04”), which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Update 2020-06. Adoption can be on a prospective or retrospective basis. The Company is currently evaluating the disclosure impact that ASU 2024-04 may have on its condensed consolidated financial statement presentation and disclosures.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continuing operations from hemp-derived THC products sales and royalty revenue.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generated revenue from continuing operations from hemp-derived product sales and sales-based royalty revenue. Revenue from hemp-derived product sales is recognized at a point-in-time when control transfers to the customer. Royalty revenue is recognized over time as the underlying sales occurs in accordance with the terms of the related party license agreements. For the three and six months ended June 30, 2024, the Company had no revenue from continuing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from continuing operations disaggregated by revenue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3"/>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Hemp-derived products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840" w:type="dxa"/>
            <w:vAlign w:val="bottom"/>
          </w:tcPr>
          <w:p>
            <w:pPr>
              <w:spacing w:after="0"/>
              <w:rPr>
                <w:sz w:val="19"/>
                <w:szCs w:val="19"/>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300" w:type="dxa"/>
            <w:vAlign w:val="bottom"/>
          </w:tcPr>
          <w:p>
            <w:pPr>
              <w:spacing w:after="0"/>
              <w:rPr>
                <w:sz w:val="19"/>
                <w:szCs w:val="19"/>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2,042</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Condensed Consolidated Balance Sheet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as of June 30, 2025 and December 31, 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nil allowance for credit losses as of June 30, 2025 and December 31,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June 30, 2025 and December 31, 2024: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1"/>
                <w:szCs w:val="21"/>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June 30, 2025 and December 31, 2024:</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1"/>
                <w:szCs w:val="21"/>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fulfillment and manufacturing related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marketing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paid $1.5 million into escrow related to Cultivation Sale Agreement. See related legal matters in Note 16.</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had related party accrued consulting fees with Green Thumb of approximately $1.3 million and $332 thousand,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2025 and December 31, 2024, the Company’s assets and liabilities measured at fair value on a recurring basis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1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Fair Value Measurements Using Input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12"/>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100" w:type="dxa"/>
            <w:vAlign w:val="bottom"/>
            <w:gridSpan w:val="2"/>
          </w:tcPr>
          <w:p>
            <w:pPr>
              <w:spacing w:after="0"/>
              <w:rPr>
                <w:sz w:val="16"/>
                <w:szCs w:val="16"/>
                <w:color w:val="auto"/>
              </w:rPr>
            </w:pPr>
          </w:p>
        </w:tc>
      </w:tr>
      <w:tr>
        <w:trPr>
          <w:trHeight w:val="245"/>
        </w:trPr>
        <w:tc>
          <w:tcPr>
            <w:tcW w:w="4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Types</w:t>
            </w: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Input Types</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3"/>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Level</w:t>
            </w:r>
          </w:p>
        </w:tc>
        <w:tc>
          <w:tcPr>
            <w:tcW w:w="140" w:type="dxa"/>
            <w:vAlign w:val="bottom"/>
          </w:tcPr>
          <w:p>
            <w:pPr>
              <w:spacing w:after="0"/>
              <w:rPr>
                <w:sz w:val="16"/>
                <w:szCs w:val="16"/>
                <w:color w:val="auto"/>
              </w:rPr>
            </w:pPr>
          </w:p>
        </w:tc>
        <w:tc>
          <w:tcPr>
            <w:tcW w:w="76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Level</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Level 3</w:t>
            </w:r>
          </w:p>
        </w:tc>
        <w:tc>
          <w:tcPr>
            <w:tcW w:w="100" w:type="dxa"/>
            <w:vAlign w:val="bottom"/>
          </w:tcPr>
          <w:p>
            <w:pPr>
              <w:spacing w:after="0"/>
              <w:rPr>
                <w:sz w:val="21"/>
                <w:szCs w:val="21"/>
                <w:color w:val="auto"/>
              </w:rPr>
            </w:pP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1"/>
                <w:szCs w:val="21"/>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21"/>
                <w:szCs w:val="21"/>
                <w:color w:val="auto"/>
              </w:rPr>
            </w:pPr>
          </w:p>
        </w:tc>
        <w:tc>
          <w:tcPr>
            <w:tcW w:w="6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1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21"/>
                <w:szCs w:val="21"/>
                <w:color w:val="auto"/>
              </w:rPr>
            </w:pPr>
          </w:p>
        </w:tc>
      </w:tr>
      <w:tr>
        <w:trPr>
          <w:trHeight w:val="210"/>
        </w:trPr>
        <w:tc>
          <w:tcPr>
            <w:tcW w:w="50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ind w:left="2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704</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ind w:left="2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accounts receivable, contingent consideration, operating lease liabilities, long-term debt, related party debt, and warrant liabilities. Fair value information for each of these instruments as well as other balances of the Company are as follows:</w:t>
      </w:r>
    </w:p>
    <w:p>
      <w:pPr>
        <w:spacing w:after="0" w:line="17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approximate their fair value based on the short-term nature of these instruments.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is presented net of an allowance for estimated credit losses, which approximates fair value.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Long-term debt and related party debt, including the debt that has undergone troubled debt restructuring, is carried at amortized cost, dictated by the prevailing market interest rates at the time of each transaction in accordance with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(“ASC 470”).</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at each reporting period with the changes in fair value of warrant liabilities recorded in other income (expense), net in the accompanying unaudited condensed consolidated statements of operations until the warrants are exercised or expire. The fair value of the warrant liabilities is estimated using a Black-Scholes option-pricing model.</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pre-funded warrants issued to a related party. As of result of the latest amendment executed as of December 31, 2024, the warrants met the requirements for equity classification and were marked to fair value as of December 31, 2024. The warrants will not be marked to fair value on a recurring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on June 30, 2025 and December 31, 2024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inherent uncertainties are involved. If factors or assumptions change, the estimated fair values could be materially different.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valuations as of June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820" w:type="dxa"/>
            <w:vAlign w:val="bottom"/>
          </w:tcPr>
          <w:p>
            <w:pPr>
              <w:spacing w:after="0"/>
              <w:rPr>
                <w:sz w:val="21"/>
                <w:szCs w:val="21"/>
                <w:color w:val="auto"/>
              </w:rPr>
            </w:pPr>
          </w:p>
        </w:tc>
        <w:tc>
          <w:tcPr>
            <w:tcW w:w="6080" w:type="dxa"/>
            <w:vAlign w:val="bottom"/>
            <w:gridSpan w:val="2"/>
          </w:tcPr>
          <w:p>
            <w:pPr>
              <w:jc w:val="center"/>
              <w:ind w:left="47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6"/>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8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$28.99</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60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auto"/>
                <w:w w:val="99"/>
              </w:rPr>
              <w:t>$0.14 - $22,440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$0.14 - $22,440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080" w:type="dxa"/>
            <w:vAlign w:val="bottom"/>
            <w:gridSpan w:val="2"/>
            <w:shd w:val="clear" w:color="auto" w:fill="CCEEFF"/>
          </w:tcPr>
          <w:p>
            <w:pPr>
              <w:jc w:val="center"/>
              <w:ind w:left="4810"/>
              <w:spacing w:after="0"/>
              <w:rPr>
                <w:sz w:val="20"/>
                <w:szCs w:val="20"/>
                <w:color w:val="auto"/>
              </w:rPr>
            </w:pPr>
            <w:r>
              <w:rPr>
                <w:rFonts w:ascii="Times New Roman" w:cs="Times New Roman" w:eastAsia="Times New Roman" w:hAnsi="Times New Roman"/>
                <w:sz w:val="18"/>
                <w:szCs w:val="18"/>
                <w:color w:val="auto"/>
              </w:rPr>
              <w:t>1.58-2.64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2.08 - 3.14</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6080" w:type="dxa"/>
            <w:vAlign w:val="bottom"/>
            <w:gridSpan w:val="2"/>
          </w:tcPr>
          <w:p>
            <w:pPr>
              <w:jc w:val="center"/>
              <w:ind w:left="4770"/>
              <w:spacing w:after="0"/>
              <w:rPr>
                <w:sz w:val="20"/>
                <w:szCs w:val="20"/>
                <w:color w:val="auto"/>
              </w:rPr>
            </w:pPr>
            <w:r>
              <w:rPr>
                <w:rFonts w:ascii="Times New Roman" w:cs="Times New Roman" w:eastAsia="Times New Roman" w:hAnsi="Times New Roman"/>
                <w:sz w:val="18"/>
                <w:szCs w:val="18"/>
                <w:color w:val="auto"/>
                <w:w w:val="97"/>
              </w:rPr>
              <w:t>166.0%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6080" w:type="dxa"/>
            <w:vAlign w:val="bottom"/>
            <w:gridSpan w:val="2"/>
            <w:shd w:val="clear" w:color="auto" w:fill="CCEEFF"/>
          </w:tcPr>
          <w:p>
            <w:pPr>
              <w:jc w:val="center"/>
              <w:ind w:left="4830"/>
              <w:spacing w:after="0"/>
              <w:rPr>
                <w:sz w:val="20"/>
                <w:szCs w:val="20"/>
                <w:color w:val="auto"/>
              </w:rPr>
            </w:pPr>
            <w:r>
              <w:rPr>
                <w:rFonts w:ascii="Times New Roman" w:cs="Times New Roman" w:eastAsia="Times New Roman" w:hAnsi="Times New Roman"/>
                <w:sz w:val="18"/>
                <w:szCs w:val="18"/>
                <w:color w:val="auto"/>
                <w:w w:val="99"/>
              </w:rPr>
              <w:t>3.72-3.97%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4.27%</w:t>
            </w:r>
          </w:p>
        </w:tc>
      </w:tr>
      <w:tr>
        <w:trPr>
          <w:trHeight w:val="655"/>
        </w:trPr>
        <w:tc>
          <w:tcPr>
            <w:tcW w:w="38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6" w:name="page17"/>
    <w:bookmarkEnd w:id="1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six months ended June 30, 2025 and for the year ended December 31, 2024 and changes in the number of outstanding warrant liabilities for the six months ended June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number of outstanding warrant liabilities)</w:t>
            </w:r>
          </w:p>
        </w:tc>
        <w:tc>
          <w:tcPr>
            <w:tcW w:w="12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Initial fair value of warrant liabilities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Reclassification of warrant liabilities to equity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(20,771)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17,902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Warrant liabilities end of period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June 30, 2025 and December 31, 2024:</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Packaging materials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Inventory, gross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6 —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Cultivation Business Discontinued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2024, the Company executed and closed the Purchase Agreement with CP for the sale of assets relating to the Company’s Cultivation Business. The consideration for the sale of the Cultivation Business consisted of the assumption by CP of all the Company’s secured indebtedness currently held by CP with an aggregate amount of principal and accrued interest of approximately $7 million, as well as certain other liabilities related to the Cultivation Business. The sale represents efforts to strategically shift the Company’s direction to focus on its hemp-related business operations. As a result, the Cultivation Business has been presented as discontinued operations in the condensed consolidated financial statements for all periods presented.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disposition resulted in a loss on sale of $11.9 million along with a loss from discontinued operations of $1.5 million for a total loss of $13.4 million, which was recorded in net loss from discontinued operations in the consolidated statement of operations for the period ended December 31, 2024. The operating results of the Cultivation Business were reported as a net loss from discontinued operations in the consolidated statements of operations through December 31, 2024, the date of disposition, and were considered material.</w:t>
      </w:r>
    </w:p>
    <w:p>
      <w:pPr>
        <w:spacing w:after="0" w:line="1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assets and liabilities associated with discontinued operations with respect to the Cultivation Business consisted of the following as of June 30, 2025 and December 31,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1"/>
                <w:szCs w:val="21"/>
                <w:color w:val="auto"/>
              </w:rPr>
            </w:pPr>
          </w:p>
        </w:tc>
        <w:tc>
          <w:tcPr>
            <w:tcW w:w="45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36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560" w:type="dxa"/>
            <w:vAlign w:val="bottom"/>
            <w:gridSpan w:val="2"/>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assets associated with discontinued operations</w:t>
            </w:r>
          </w:p>
        </w:tc>
        <w:tc>
          <w:tcPr>
            <w:tcW w:w="366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associated with discontinued operations</w:t>
            </w:r>
          </w:p>
        </w:tc>
        <w:tc>
          <w:tcPr>
            <w:tcW w:w="36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560" w:type="dxa"/>
            <w:vAlign w:val="bottom"/>
            <w:gridSpan w:val="2"/>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liabilities associated with discontinued operations</w:t>
            </w:r>
          </w:p>
        </w:tc>
        <w:tc>
          <w:tcPr>
            <w:tcW w:w="366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line="203" w:lineRule="exact"/>
              <w:rPr>
                <w:sz w:val="20"/>
                <w:szCs w:val="20"/>
                <w:color w:val="auto"/>
              </w:rPr>
            </w:pPr>
            <w:r>
              <w:rPr>
                <w:rFonts w:ascii="Times New Roman" w:cs="Times New Roman" w:eastAsia="Times New Roman" w:hAnsi="Times New Roman"/>
                <w:sz w:val="18"/>
                <w:szCs w:val="18"/>
                <w:color w:val="auto"/>
                <w:w w:val="88"/>
              </w:rPr>
              <w:t>56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associated with discontinued operations</w:t>
            </w:r>
          </w:p>
        </w:tc>
        <w:tc>
          <w:tcPr>
            <w:tcW w:w="4560" w:type="dxa"/>
            <w:vAlign w:val="bottom"/>
            <w:gridSpan w:val="2"/>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15</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income from discontinued operations of the Cultivation Business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59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w:t>
            </w: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Pr>
          <w:p>
            <w:pPr>
              <w:spacing w:after="0"/>
              <w:rPr>
                <w:sz w:val="20"/>
                <w:szCs w:val="20"/>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342</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income (loss)</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84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(5,935)</w:t>
            </w: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8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3"/>
        </w:trPr>
        <w:tc>
          <w:tcPr>
            <w:tcW w:w="59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 (income)</w:t>
            </w: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(4,015)</w:t>
            </w: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income from discontinued operations</w:t>
            </w:r>
          </w:p>
        </w:tc>
        <w:tc>
          <w:tcPr>
            <w:tcW w:w="84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3,732</w:t>
            </w:r>
          </w:p>
        </w:tc>
      </w:tr>
      <w:tr>
        <w:trPr>
          <w:trHeight w:val="216"/>
        </w:trPr>
        <w:tc>
          <w:tcPr>
            <w:tcW w:w="5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840" w:type="dxa"/>
            <w:vAlign w:val="bottom"/>
          </w:tcPr>
          <w:p>
            <w:pPr>
              <w:spacing w:after="0"/>
              <w:rPr>
                <w:sz w:val="18"/>
                <w:szCs w:val="18"/>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3,732</w:t>
            </w: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tc>
        <w:tc>
          <w:tcPr>
            <w:tcW w:w="8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840" w:type="dxa"/>
            <w:vAlign w:val="bottom"/>
            <w:tcBorders>
              <w:top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Borders>
              <w:top w:val="single" w:sz="8" w:color="CCEEFF"/>
            </w:tcBorders>
          </w:tcPr>
          <w:p>
            <w:pPr>
              <w:spacing w:after="0"/>
              <w:rPr>
                <w:sz w:val="19"/>
                <w:szCs w:val="19"/>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condensed consolidated statements of cash flows include continuing operations and discontinued operations.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depreciation and amortization of long-lived assets, provisions for credit losses, and adjustments to net realizable value of inventories related to discontinued operations of the Cultivation Business for the three and six months ended June 30: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2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4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5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60" w:type="dxa"/>
            <w:vAlign w:val="bottom"/>
            <w:gridSpan w:val="2"/>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of provision for slow-moving inventory</w:t>
            </w:r>
          </w:p>
        </w:tc>
        <w:tc>
          <w:tcPr>
            <w:tcW w:w="2260" w:type="dxa"/>
            <w:vAlign w:val="bottom"/>
            <w:gridSpan w:val="2"/>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r>
      <w:tr>
        <w:trPr>
          <w:trHeight w:val="655"/>
        </w:trPr>
        <w:tc>
          <w:tcPr>
            <w:tcW w:w="4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Extraction Business Discontinued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30, 2025, the Company approved the discontinuation and wind down of its legacy Extraction Business. As a result, all operations associated with the Extraction Business have ceased as of March 31, 2025, and the Company has initiated the sale or disposal of all remaining assets related to the Extraction Business. In addition, all outstanding contracts associated with the Extraction Business have been or are in the process of being terminated in accordance with their respective terms. In connection with the discontinuation of the business, the Company reduced its workforce by nine employees on April 1, 2025. The discontinuation of the legacy Extraction Business represents efforts to strategically shift the Company’s direction to support the continued expansion of its hemp-derived products business operations. As a result, the Extraction Business has been presented as discontinued operations in the condensed consolidated financial statements for all periods presented.</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decision to wind down the Extraction Business, a gain of approximately $3.5 million, net with a loss from discontinued operations of $2.0 million for a total net gain of $1.5 million, was recorded in net income from discontinued operations in the condensed consolidated statement of operations for the six months ended June 30, 2025. The operating results of the Extraction Business were reported as a net loss from discontinued operations in the condensed consolidated statements of operations through June 30, 2025, and were considered material. The net loss from discontinued operations for the three and six months ended June 30, 2024, represents the Extraction Business’ operating results from the prior year. The assets and liabilities related to the Extraction Business have been separately classified in the accompanying condensed consolidated balance sheet as of June 30, 2025 and December 31, 2024. Balances as of June 30, 2025 have been remeasured at fair value less cost to sell.</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assets and liabilities associated with discontinued operations with respect to the Extraction Business consisted of the following as of June 30, 2025 and December 31,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0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assets associated with discontinued operations</w:t>
            </w:r>
          </w:p>
        </w:tc>
        <w:tc>
          <w:tcPr>
            <w:tcW w:w="36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Non-current assets associated with discontinued operations</w:t>
            </w:r>
          </w:p>
        </w:tc>
        <w:tc>
          <w:tcPr>
            <w:tcW w:w="36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3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1"/>
        </w:trPr>
        <w:tc>
          <w:tcPr>
            <w:tcW w:w="50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5,160</w:t>
            </w: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Current liabilities associated with discontinued operations</w:t>
            </w:r>
          </w:p>
        </w:tc>
        <w:tc>
          <w:tcPr>
            <w:tcW w:w="36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9,193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3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Non-current liabilities associated with discontinued operations</w:t>
            </w:r>
          </w:p>
        </w:tc>
        <w:tc>
          <w:tcPr>
            <w:tcW w:w="36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associated with discontinued operations</w:t>
            </w:r>
          </w:p>
        </w:tc>
        <w:tc>
          <w:tcPr>
            <w:tcW w:w="3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0" w:name="page21"/>
    <w:bookmarkEnd w:id="20"/>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(loss) income from discontinued operations of the Extraction Business for the three and six months ended June 30,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5,533</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780" w:type="dxa"/>
            <w:vAlign w:val="bottom"/>
          </w:tcPr>
          <w:p>
            <w:pPr>
              <w:spacing w:after="0"/>
              <w:rPr>
                <w:sz w:val="20"/>
                <w:szCs w:val="20"/>
                <w:color w:val="auto"/>
              </w:rPr>
            </w:pPr>
          </w:p>
        </w:tc>
        <w:tc>
          <w:tcPr>
            <w:tcW w:w="6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2,179</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1,835</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780" w:type="dxa"/>
            <w:vAlign w:val="bottom"/>
          </w:tcPr>
          <w:p>
            <w:pPr>
              <w:spacing w:after="0"/>
              <w:rPr>
                <w:sz w:val="18"/>
                <w:szCs w:val="18"/>
                <w:color w:val="auto"/>
              </w:rPr>
            </w:pPr>
          </w:p>
        </w:tc>
        <w:tc>
          <w:tcPr>
            <w:tcW w:w="6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7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1,001</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1,218</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from discontinued operations</w:t>
            </w:r>
          </w:p>
        </w:tc>
        <w:tc>
          <w:tcPr>
            <w:tcW w:w="780" w:type="dxa"/>
            <w:vAlign w:val="bottom"/>
          </w:tcPr>
          <w:p>
            <w:pPr>
              <w:spacing w:after="0"/>
              <w:rPr>
                <w:sz w:val="18"/>
                <w:szCs w:val="18"/>
                <w:color w:val="auto"/>
              </w:rPr>
            </w:pPr>
          </w:p>
        </w:tc>
        <w:tc>
          <w:tcPr>
            <w:tcW w:w="6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7"/>
              </w:rPr>
              <w:t>(123)</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(1,866)</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disposal of Extraction business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Pr>
          <w:p>
            <w:pPr>
              <w:spacing w:after="0"/>
              <w:rPr>
                <w:sz w:val="21"/>
                <w:szCs w:val="21"/>
                <w:color w:val="auto"/>
              </w:rPr>
            </w:pPr>
          </w:p>
        </w:tc>
        <w:tc>
          <w:tcPr>
            <w:tcW w:w="6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1"/>
                <w:szCs w:val="21"/>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7"/>
              </w:rPr>
              <w:t>(155)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tc>
        <w:tc>
          <w:tcPr>
            <w:tcW w:w="780" w:type="dxa"/>
            <w:vAlign w:val="bottom"/>
          </w:tcPr>
          <w:p>
            <w:pPr>
              <w:spacing w:after="0"/>
              <w:rPr>
                <w:sz w:val="21"/>
                <w:szCs w:val="21"/>
                <w:color w:val="auto"/>
              </w:rPr>
            </w:pPr>
          </w:p>
        </w:tc>
        <w:tc>
          <w:tcPr>
            <w:tcW w:w="6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taxes</w:t>
            </w: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(155</w:t>
            </w:r>
          </w:p>
        </w:tc>
        <w:tc>
          <w:tcPr>
            <w:tcW w:w="2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condensed consolidated statements of cash flows include continuing operations and discontinued operations.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depreciation and amortization of long-lived assets, provisions for credit losses, and adjustments to net realizable value of inventories related to discontinued operations of Extraction Business: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4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5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52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of provision for slow-moving inventory</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r>
      <w:tr>
        <w:trPr>
          <w:trHeight w:val="655"/>
        </w:trPr>
        <w:tc>
          <w:tcPr>
            <w:tcW w:w="4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7 — Business Combinations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determined that the below acquisitions meet the criteria for business combinations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They are accounted for by applying the acquisition method, whereby the assets acquired, and the liabilities assumed are recorded at their fair values with any excess of the aggregate consideration over the fair values of the identifiable net assets allocated to goodwill (where applicable). Operating results have been included in these consolidated financial statements from the date of each respective acquisition. Supplemental pro forma financial information has not been presented as the impact was not material to the Company’s consolidated financial statements.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all identifiable assets and liabilities acquired, the most significant estimates relate to intangible assets. For the intangible assets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and take into consideration other significant assumptions such as the expected use, market uncertainty and the intangible asset useful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MC Brands LLC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May 20, 2025, the Company entered into a purchase agreement with VCP IP Holdings, LLC (“VCP”), an indirect wholly-owned subsidiary of Green Thumb, a related party, pursuant to which the Company acquired all of the equity interests in MC Brands LLC and its wholly-owned subsidiary Core Growth LLC (together referred to as “MC Brands”). The assets of MC Brands consist primarily of intellectual property rights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The aggregate consideration exchanged for the equity interest was $5.1 million of cash.</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prepared a preliminary purchase price allocation based on management’s estimates and assumptions which are subject to change within the purchase price allocation period (generally not more than one year from the acquisition date). Final valuations of the assets acquired and liabilities assumed are not yet complete due to the inherent complexity associated with valuations and the short period of time between the acquisition date and the period end. As part of the preliminary purchase accounting, the Company recorded intangible assets of $4.8 million relating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trade name intellectual property and $275 thousand of customer relationships. The preliminary estimates for useful lives of the identified intangibles are five years for trade names and seven years for customer relationships with a weighted average useful life of 5.11 years. As the total purchase price equaled the fair value of the net identifiable assets acquired, no goodwill was recorded.</w:t>
      </w:r>
    </w:p>
    <w:p>
      <w:pPr>
        <w:sectPr>
          <w:pgSz w:w="11900" w:h="16838" w:orient="portrait"/>
          <w:cols w:equalWidth="0" w:num="1">
            <w:col w:w="11240"/>
          </w:cols>
          <w:pgMar w:left="320" w:top="873" w:right="339" w:bottom="1440" w:gutter="0" w:footer="0" w:header="0"/>
        </w:sectPr>
      </w:pP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the preliminary allocation of the purchase price: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acquired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liabilities assumed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40" w:hanging="835"/>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w:t>
      </w:r>
    </w:p>
    <w:p>
      <w:pPr>
        <w:spacing w:after="0" w:line="9"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4,800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275</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5,853</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(778)</w:t>
      </w:r>
    </w:p>
    <w:p>
      <w:pPr>
        <w:spacing w:after="0" w:line="4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(778)</w:t>
      </w:r>
    </w:p>
    <w:p>
      <w:pPr>
        <w:spacing w:after="0" w:line="301" w:lineRule="exact"/>
        <w:rPr>
          <w:sz w:val="20"/>
          <w:szCs w:val="20"/>
          <w:color w:val="auto"/>
        </w:rPr>
      </w:pPr>
    </w:p>
    <w:p>
      <w:pPr>
        <w:ind w:left="700" w:hanging="695"/>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 Double or Nothing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on December 12, 2024, the Company acquired certain assets from Double or Nothing, the owner and creator of the Señorita brand of hemp-derived THC drinks. As of June 30, 2025, the Company has completed its purchase price allocation for the Double or Nothing business combination. The final allocation remains unchanged from the preliminary amounts disclosed in the Company’s financial statements for the fiscal year ended December 31, 2024. Based on the information available to management, no further adjustments are expected. Accordingly, the measurement period has ended and the purchase accounting is now considered final in accordance with ASC 805.</w:t>
      </w:r>
    </w:p>
    <w:p>
      <w:pPr>
        <w:sectPr>
          <w:pgSz w:w="11900" w:h="16838" w:orient="portrait"/>
          <w:cols w:equalWidth="0" w:num="1">
            <w:col w:w="11240"/>
          </w:cols>
          <w:pgMar w:left="320" w:top="873" w:right="339" w:bottom="1440" w:gutter="0" w:footer="0" w:header="0"/>
        </w:sectPr>
      </w:pP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the final allocation of purchase price for Double or Nothing: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Tradenames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35" w:hanging="835"/>
        <w:spacing w:after="0"/>
        <w:tabs>
          <w:tab w:leader="none" w:pos="8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w:t>
      </w:r>
    </w:p>
    <w:p>
      <w:pPr>
        <w:spacing w:after="0" w:line="27" w:lineRule="exact"/>
        <w:rPr>
          <w:rFonts w:ascii="Times New Roman" w:cs="Times New Roman" w:eastAsia="Times New Roman" w:hAnsi="Times New Roman"/>
          <w:sz w:val="18"/>
          <w:szCs w:val="18"/>
          <w:color w:val="auto"/>
        </w:rPr>
      </w:pPr>
    </w:p>
    <w:p>
      <w:pPr>
        <w:ind w:left="8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w:t>
      </w:r>
    </w:p>
    <w:p>
      <w:pPr>
        <w:spacing w:after="0" w:line="9" w:lineRule="exact"/>
        <w:rPr>
          <w:sz w:val="20"/>
          <w:szCs w:val="20"/>
          <w:color w:val="auto"/>
        </w:rPr>
      </w:pPr>
    </w:p>
    <w:p>
      <w:pPr>
        <w:ind w:left="695"/>
        <w:spacing w:after="0"/>
        <w:rPr>
          <w:sz w:val="20"/>
          <w:szCs w:val="20"/>
          <w:color w:val="auto"/>
        </w:rPr>
      </w:pPr>
      <w:r>
        <w:rPr>
          <w:rFonts w:ascii="Times New Roman" w:cs="Times New Roman" w:eastAsia="Times New Roman" w:hAnsi="Times New Roman"/>
          <w:sz w:val="18"/>
          <w:szCs w:val="18"/>
          <w:color w:val="auto"/>
        </w:rPr>
        <w:t>6,100</w:t>
      </w:r>
    </w:p>
    <w:p>
      <w:pPr>
        <w:spacing w:after="0" w:line="9" w:lineRule="exact"/>
        <w:rPr>
          <w:sz w:val="20"/>
          <w:szCs w:val="20"/>
          <w:color w:val="auto"/>
        </w:rPr>
      </w:pPr>
    </w:p>
    <w:p>
      <w:pPr>
        <w:ind w:left="695"/>
        <w:spacing w:after="0"/>
        <w:rPr>
          <w:sz w:val="20"/>
          <w:szCs w:val="20"/>
          <w:color w:val="auto"/>
        </w:rPr>
      </w:pPr>
      <w:r>
        <w:rPr>
          <w:rFonts w:ascii="Times New Roman" w:cs="Times New Roman" w:eastAsia="Times New Roman" w:hAnsi="Times New Roman"/>
          <w:sz w:val="18"/>
          <w:szCs w:val="18"/>
          <w:color w:val="auto"/>
        </w:rPr>
        <w:t>2,800</w:t>
      </w:r>
    </w:p>
    <w:p>
      <w:pPr>
        <w:spacing w:after="0" w:line="9" w:lineRule="exact"/>
        <w:rPr>
          <w:sz w:val="20"/>
          <w:szCs w:val="20"/>
          <w:color w:val="auto"/>
        </w:rPr>
      </w:pPr>
    </w:p>
    <w:p>
      <w:pPr>
        <w:ind w:left="695"/>
        <w:spacing w:after="0"/>
        <w:rPr>
          <w:sz w:val="20"/>
          <w:szCs w:val="20"/>
          <w:color w:val="auto"/>
        </w:rPr>
      </w:pPr>
      <w:r>
        <w:rPr>
          <w:rFonts w:ascii="Times New Roman" w:cs="Times New Roman" w:eastAsia="Times New Roman" w:hAnsi="Times New Roman"/>
          <w:sz w:val="18"/>
          <w:szCs w:val="18"/>
          <w:color w:val="auto"/>
        </w:rPr>
        <w:t>9,713</w:t>
      </w:r>
    </w:p>
    <w:p>
      <w:pPr>
        <w:spacing w:after="0" w:line="58" w:lineRule="exact"/>
        <w:rPr>
          <w:sz w:val="20"/>
          <w:szCs w:val="20"/>
          <w:color w:val="auto"/>
        </w:rPr>
      </w:pPr>
    </w:p>
    <w:p>
      <w:pPr>
        <w:ind w:left="615" w:hanging="615"/>
        <w:spacing w:after="0"/>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873" w:right="339" w:bottom="144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Intangible Assets, Net</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6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Intangible assets, net at June 30, 2025 and December 31, 2024 are summarized as follows: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9"/>
                <w:szCs w:val="19"/>
                <w:color w:val="auto"/>
              </w:rPr>
            </w:pP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5 - 7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7 - 10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6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9"/>
                <w:szCs w:val="19"/>
                <w:color w:val="auto"/>
              </w:rPr>
            </w:pP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6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$399 thousand and $0, respectively, in general and administrative expense in the condensed consolidated statements of operations for the three months ended June 30, 2025 and 2024,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of $683 thousand and $0, respectively, in general and administrative expense in the condensed consolidated statements of operations for the six months ended June 30,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29"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18"/>
          <w:szCs w:val="18"/>
          <w:color w:val="auto"/>
        </w:rPr>
        <w:t>The Company’s debt consisted of:</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related party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debt, net of 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453"/>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24"/>
                <w:szCs w:val="24"/>
                <w:color w:val="auto"/>
              </w:rPr>
            </w:pPr>
          </w:p>
        </w:tc>
      </w:tr>
      <w:tr>
        <w:trPr>
          <w:trHeight w:val="198"/>
        </w:trPr>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37,000</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10,000</w:t>
            </w:r>
          </w:p>
        </w:tc>
        <w:tc>
          <w:tcPr>
            <w:tcW w:w="60" w:type="dxa"/>
            <w:vAlign w:val="bottom"/>
          </w:tcPr>
          <w:p>
            <w:pPr>
              <w:spacing w:after="0"/>
              <w:rPr>
                <w:sz w:val="17"/>
                <w:szCs w:val="17"/>
                <w:color w:val="auto"/>
              </w:rPr>
            </w:pPr>
          </w:p>
        </w:tc>
      </w:tr>
      <w:tr>
        <w:trPr>
          <w:trHeight w:val="248"/>
        </w:trPr>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873"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 Loan</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Notes Payable - Current</w:t>
            </w:r>
          </w:p>
        </w:tc>
        <w:tc>
          <w:tcPr>
            <w:tcW w:w="4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r>
      <w:tr>
        <w:trPr>
          <w:trHeight w:val="223"/>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short-term debt</w:t>
            </w: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notes payable</w:t>
            </w: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4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top w:val="single" w:sz="8" w:color="CCEEFF"/>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r>
      <w:tr>
        <w:trPr>
          <w:trHeight w:val="237"/>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5, 2024, the Company issued a secured convertible note (the “November 2024 Note”) to RSLGH, LLC (“RSLGH”), a subsidiary of Green Thumb, a related party. The November 2024 Note is a secured obligation of the Company and ranks senior to all indebtedness of the Company except for the May 2025 Notes (as defined below), which rank on parity with the November 2024 Note. The November 2024 Note will mature on November 5, 2025 and has a 10.0% annualized interest rate. The principal amount of the November 2024 Note will be payable on the maturity date. The November 2024 Note provides for advances of up to $20 million in the aggregate, of which $10 million was advanced upon issuance. The November 2024 Note was amended on May 8, 2025 to issue pre-funded warrants in lieu of cash interest, with 18,614 pre-funded warrants issued on May 8, 2025 and an additional 11,373 pre-funded warrants to be issued on September 1, 2025, which were issued in lieu of the cash interest that would otherwise be payable under the November 2024 Note. The number of pre-funded warrants is equal to the cash interest amount otherwise payable on the November 2024 Note divided by the closing share price on May 8, 2025, which is the effective date of the amendment. No changes were made to the conversion price of the principal amount of the November 2024 Note. On May 22, 2025, the Company and RSLGH entered into a second amendment to the November 2024 Note, which amended the terms to, among other things, permit RSLGH to elect, subject to any required approvals under Nasdaq listing rules, to receive pre-funded warrants in lieu of shares of Common Stock upon conversion of the November 2024 Note at a conversion price equal to the existing conversion price of $3.158 less the $0.001 exercise price of each pre-funded warrant.</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22, 2025, the Company issued secured convertible notes with an aggregate original principal amount of $30.0 million (collectively the “May 2025 Notes”) to RSLGH and to certain other third-party accredited investors. The May 2025 Notes are secured obligations of the Company and rank senior to all indebtedness of the Company except for the November 2024 Note, which ranks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4" w:name="page25"/>
    <w:bookmarkEnd w:id="2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November 2024 Note and the May 2025 Notes (together referred to as “the Notes”) impose certain customary affirmative and negative covenants upon the Company, including covenants relating to ranking and reservation of shares. If an event of default under a Note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The Company is in compliance with these covenants as of June 30, 2025.</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the convertible notes do not contain features that qualify as embedded derivatives in accordance with ASC 815. Borrowings under the Notes as of June 30, 2025 totaled $40.0 million, $10.0 million of which are recorded on the Company’s condensed consolidated balance sheets in related party debt, current, $27.0 million of which are recorded in related party debt, and the remaining are reported in long-term debt, net of current.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Related party interest expense incurred on the Notes amounted to approximately $548 thousand and $0 for the three months ended June 30, 2025 and 2024, respectively. Related party interest expense incurred on the Notes amounted to approximately $798 thousand and $0 for the six months ended June 30, 2025 and 2024,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incurred on the Notes related to unaffiliated third parties amounted to approximately $33 thousand and $0 for the three months ended June 30, 2025 and 2024, respectively. Interest expense incurred on the Notes related to unaffiliated third parties amounted to approximately $33 thousand and $0 thousand for the six months ended June 30, 2025 and 2024,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June 30, 2025, future minimum principal payments on all debt positions, excluding accrued interest amounts, were as follows: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2025</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10,621</w:t>
            </w:r>
          </w:p>
        </w:tc>
      </w:tr>
      <w:tr>
        <w:trPr>
          <w:trHeight w:val="236"/>
        </w:trPr>
        <w:tc>
          <w:tcPr>
            <w:tcW w:w="9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payments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40,621</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as to whether any arrangement contained a lease at its inception was performed based on whether or not the Company has the right to control the asset during the contract period. The lease term was determined assuming the exercise of options that were reasonably certain to occur. Leases with an original lease term of 12 months or less at inception were not reflected in the Company’s condensed consolidated balance sheet and those lease costs are expensed on a straight-line basis over the respective term. Leases with a term greater than 12 months were reflected as non-current right-of-use assets and current and non-current lease liabilities in the Company’s condensed consolidated balance sheets.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 used its incremental borrowing rate as the discount rate for purposes of determining the present value of its lease liabilities. The Company’s incremental borrowing rate was determined using the interest rate on a long term debt position entered into at approximately the same time and for the same duration as the lease.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for as a single lease component.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2025 and December 31, 2024, the Company had no active finance leases.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Also during the six months ended June 30, 2025, in connection with the discontinuation of Extraction Business, the Company subleased the assets under one of its leases, with the sublease commencement date on April 1, 2025, for $9 thousand per month. The Company recognized a sublease income of $27 thousand, within loss from discontinued operations in the condensed consolidated statements of operations. The Company recognized an impairment of right-of-use assets of $24 thousand, within loss from discontinued operations in the condensed consolidated statements of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in connection with the discontinuation of Extraction Business, the Company terminated a lease early and recognized a loss on lease termination of $161 thousand, within gain on disposal of Extraction Business in the condensed consolidated statements of operations.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 Company did not have any operating leases related to continuing operations. As such, no operating lease cost, weighted average remaining lease term, or weighted average discount rate, and cash paid for operating leases are presented for continuing operations for the three and six months ended June 30, 2025. As of June 30, 2025, there is no future lease payment related to continuing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27, 2024, the Company entered into a placement agency agreement (the “Agency Agreement”) with Alexander Capital as placement agent (the “Placement Agent”), pursuant to which the Company agreed to issue and sell an aggregate of 184,000 shares of its Common Stock, and, in lieu of Common Stock to certain investors that so chose, pre-funded warrants to purchase 264,246 shares of its Common Stock (the “S-1 Offering”). The public offering price for each share of Common Stock was $5.70, and the offering price for each pre-funded warrant is $5.685, which equals the public offering price per share of the Common Stock, less the $0.015 per share exercise price of each pre-funded warrant.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issued 4,482 warrants to purchase Common Stock to Alexander Capital (the “Placement Agents Warrants”). The Placement Agents Warrants were classified as equity warrants and recorded under additional paid-in capital in the condensed consolidated balance sheets. The Placement Agents Warrants had a five-year term and exercise price of 100% of the offering price, and were subject to adjustment for stock splits, reverse stock splits, stock dividends, and similar transactions. The Placement Agents Warrants were exercisable on a cash basis, unless there was not an effective registration statement covering the issuance of the shares issuable upon exercise of the Placement Agents Warrants or if shareholder approval for the full exercise of the Placement Agents Warrants was not received, in which case the Placement Agents Warrants would also be exercisable on a cashless exercise basis at Alexander Capital’s election. The Placement Agent Warrants were exercised in full during November 2024.</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measurement of fair value of the Placement Agents Warrants was determined utilizing a Black-Scholes model considering all relevant assumptions current at the date of issuance (i.e., share price of $7.80, exercise price of $5.70, term of five years, volatility of 128%, risk-free rate of 4.32%, and expected dividend rate of 0%). The grant date fair value of these Placement Agents Warrants was estimated to be $31 thousand on February 27, 2024, and was originally recorded within additional paid-in capital. As the Placement Agents Warrants were exercised during the year ended December 31, 2024, the related amounts remain within equity as part of the total proceeds from the issuance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Warrant Issuance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21, 2024, in connection with the amendment of previously outstanding notes, the Company issued 492,204 and 525,114 Pre-Funded Warrants to GIC Acquisitions and CP (the “Related Party Pre-Funded Warrants”), respectively, in exchange of notes payable amounting approximately to $2.29 million and $11.5 million, respectively. The Related Party Pre-Funded Warrants can be used to purchase Company’s Common Stock with par value of $0.001 at an exercise price of $0.015. The Related Party Pre-Funded Warrants have been identified as freestanding financial instruments and were determined not to be indexed to the Company’s own stock. Accordingly, the Related Party Pre-Funded Warrants are precluded from being classified within equity and classified as a liability with subsequent changes in fair value recognized each reporting period in earnings. The fair value of the Related Party Pre-Funded Warrants on the issuance date was $5,600,334 determined as the intrinsic value.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30, 2024, the Company executed an amendment to the Related Party Pre-Funded Warrants, pursuant to which the Company revised certain provisions of the Related Party Pre-Funded Warrants to (i) remove the adjustment to the exercise price of the Related Party Pre-Funded Warrants when there is a bona fide equity financing with the primary purpose of raising capital (the “Adjustment Provisions”) and (ii) increase the threshold for a change of control from 50% to greater than 50%. The classification of the Related Party Pre-Funded Warrants was reassessed upon the modification and the Related Party Pre-Funded Warrants were determined to meet all of the additional requirements for equity classification. Accordingly, as of June 30, 2024, the Company remeasured the Related Party Pre-Funded Warrants to its fair value immediately prior to the modification and recognized the change in fair value of approximately $1.2 million in earnings. The Company then reclassified the Pre-Funded Warrant liability to stockholders’ equity at its post-modification fair value of $6.8 million.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12, 2024, the stockholders of the Company approved a proposal to amend the Related Party Pre-Funded Warrants to add the Adjustment Provisions at a future date. Pursuant to that approval, on August 28, 2024, the Company entered into amendments to the Related Party Pre-Funded Warrants to insert the Adjustment Provisions. This resulted in a reassessment of the Related Party Pre-Funded Warrants such that they no longer met the requirements for equity classification and became classified as liabilities. They were remeasured to their fair value upon modification, resulting in a reduction in value of approximately $3.1 million. The fair value, as of August 28, 2024, of $3,723,383 was reclassified to a warrant liability. As a result of the warrant amendments and the subsequent issuance of 189,645 shares of Common Stock to Ionic at an effective purchase price of $2.109 per share of Common Stock, the number of shares of Common Stock underlying the Related Party Pre-Funded Warrant held by CP Acquisitions was adjusted to 5,452,288 and the number of shares of Common Stock underlying the Related Party Pre-Funded Warrant held by GIC Acquisition was adjusted to 1,085,122. On August 30, 2024, CP Acquisitions partially exercised its Pre-Funded Warrant and entities affiliated with Raymond Chang and I-Tseng Jenny Chan received an aggregate of 383,127 shares of Common Stock upon the exercise.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executed an amendment to the Related Party Pre-Funded Warrants to remove the Adjustment Provisions. Accordingly, the Related Party Pre-Funded Warrants met the requirements for equity classification. The amendment also included a provision preventing the holders from any additional exercise of either of the Related Party Pre-Funded Warrants at any time between September 27, 2024 and October 9, 2024. They were remeasured to their fair value upon modification resulting in an increase to the fair value of $18,392,143. The fair value as of September 27, 2024 of $20,770,707 was reclassified to equity.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and Employee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1,765 shares and 16,667 additional shares issued upon approval by the Board of Directors on January 8, 2024. On August 12, 2024, the Company’s stockholders approved an amendment to the 2022 Plan to increase the number of shares issuable thereunder by 166,667. Shares will be deemed to have been issued under the 2022 Plan solely to the extent actually issued and delivered pursuant to an award. The 2022 Plan shall continue in effect, unless sooner terminated, until the tenth anniversary of the date on which it was adopted by the Board of Directors. On June 11, 2025, the Company’s stockholders approved an amendment to the 2022 Plan to increase the number of shares issuable thereunder by 250,000 shares. As of June 30, 2025, there were 231,815 shares of Common Stock available to be granted under the Company’s 2022 Plan.</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stock compensation expense from continuing operations was $537 thousand and $58 thousand for the three months ended June 30, 2025 and 2024, respectively. The Company’s stock compensation expense from continuing operations was $1.1 million and $511 thousand for the six months ended June 30, 2025 and 2024,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stock compensation expense from discontinued operations was a forfeiture of $22 thousand and an expense of $23 thousand for the three months ended June 30, 2025 and 2024, respectively. The Company’s stock compensation expense from discontinued operations was a forfeiture of $20 thousand and an expense of $60 thousand for the six months ended June 30, 2025 and 2024,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six months ended June 30, 2025, there were no options granted or exercised under the Company’s stock option plans. For the same period, there were 141 options expired with a weighted average exercise price of $11 thousand. There were 75 and 216 options outstanding with a weighted average exercise price of $27 thousand and $19 thousand as of June 30, 2025 and December 31, 2024, respectively. There were 75 options vested and exercisable with a weighted average exercise price of $27 thousand as of June 30, 2025. There were no unvested options as of June 30,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color w:val="auto"/>
        </w:rPr>
        <w:t>As of June 30, 2025, there was no unrecognized compensation expense related to unvested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June 30,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40,234</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14,248</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14,208</w:t>
            </w: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5,717</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4,104</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and officers. The restricted stock units granted generally vest equally over periods ranging from one to three years, subject to certain exceptions for directors.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ectPr>
          <w:pgSz w:w="11900" w:h="16838" w:orient="portrait"/>
          <w:cols w:equalWidth="0" w:num="1">
            <w:col w:w="11240"/>
          </w:cols>
          <w:pgMar w:left="320" w:top="877" w:right="339" w:bottom="1440" w:gutter="0" w:footer="0" w:header="0"/>
        </w:sectPr>
      </w:pP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restricted stock unit activity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45"/>
        </w:trPr>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102,867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17.42</w:t>
            </w:r>
          </w:p>
        </w:tc>
      </w:tr>
      <w:tr>
        <w:trPr>
          <w:trHeight w:val="216"/>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r>
      <w:tr>
        <w:trPr>
          <w:trHeight w:val="216"/>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48"/>
        </w:trPr>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(14,109)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7"/>
        </w:trPr>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r>
        <w:trPr>
          <w:trHeight w:val="250"/>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800" w:space="720"/>
            <w:col w:w="2720"/>
          </w:cols>
          <w:pgMar w:left="320" w:top="877" w:right="339" w:bottom="1440" w:gutter="0" w:footer="0" w:header="0"/>
          <w:type w:val="continuous"/>
        </w:sect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total unrecognized compensation expense related to unvested restricted stock units was $1.2 million, which is expected to be recognized over a weighted average period of 0.6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13 — Stock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present all warrant activity of the Company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outstanding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45"/>
        </w:trPr>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7,576,573</w:t>
            </w:r>
          </w:p>
        </w:tc>
        <w:tc>
          <w:tcPr>
            <w:tcW w:w="20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7.30</w:t>
            </w:r>
          </w:p>
        </w:tc>
        <w:tc>
          <w:tcPr>
            <w:tcW w:w="20" w:type="dxa"/>
            <w:vAlign w:val="bottom"/>
          </w:tcPr>
          <w:p>
            <w:pPr>
              <w:spacing w:after="0"/>
              <w:rPr>
                <w:sz w:val="17"/>
                <w:szCs w:val="17"/>
                <w:color w:val="auto"/>
              </w:rPr>
            </w:pPr>
          </w:p>
        </w:tc>
      </w:tr>
      <w:tr>
        <w:trPr>
          <w:trHeight w:val="216"/>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18,614</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r>
      <w:tr>
        <w:trPr>
          <w:trHeight w:val="230"/>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7,595,187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7.33</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920" w:space="640"/>
            <w:col w:w="2680"/>
          </w:cols>
          <w:pgMar w:left="320" w:top="1089" w:right="339" w:bottom="1440" w:gutter="0" w:footer="0" w:header="0"/>
        </w:sectPr>
      </w:pPr>
    </w:p>
    <w:p>
      <w:pPr>
        <w:spacing w:after="0" w:line="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were 0% for each of the three and six months ended June 30, 2025 and 2024. There was no provision for (benefit from) income taxes for the three and six months ended June 30, 2025 and 2024. There is no difference between the Company’s effective tax rates for the 2025 and 2024 periods. There was no change in the provision for (benefit from) income taxes for the three and six months ended June 30, 2025 compared to the three and six months ended June 30, 2024.</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utilization of the Company’s net operating loss (“NOL”) carryforwards is subject to limitations under Section 382 of the Internal Revenue Code of 1986, as amended and similar provisions in various state jurisdictions due to historical change in ownership provisions (“Ownership Changes”). These limitations may reduce the amount of NOLs available in future periods and may result in the expiration of certain NOLs before they can be utilized. During the quarter ended June 30, 2025, the Company completed an analysis of Ownership Changes, which had not previously been performed. The analysis identified multiple historical ownership changes that significantly limit the utilization of federal NOLs through the date of the most recent change on November 5, 2024, subjecting them to a minimal annual limitation. The Company is in the process of conducting a similar analysis for state income tax purposes. NOLs generated after November 5, 2024 are not currently subject to this limitation and may be available to offset future taxable income, although any future ownership changes could impose additional limitations. The Company continues to maintain a full valuation allowance against its deferred tax assets, including NOLs, due to the Section 382 limitations resulting from historical ownership changes and the uncertainty surrounding the Company’s ability to generate sufficient taxable income to utilize the remaining NOLs before they expire.</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(“OBBA”) was enacted, introducing significant and wide-ranging changes to the U.S. tax system. The bill includes restoration of 100% accelerated tax depreciation on qualifying property including expansion to cover qualified production property. Another key point is the return to immediate expensing of domestic research and experimental expenditures (“R&amp;E”) and accelerated tax deductions of R&amp;E that was previously capitalized for large businesses. The legislation also reinstates EBITDA-based interest deduction for tax purposes. While the Company does not expect material impact, the Company is currently assessing the potential impact of this legislation on its future financial position, results of operations, and cash flows. In accordance with U.S. GAAP, the effects will be recognized in the period of enactment.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15 — Net (Loss) Income Per Share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(loss) income per share calculations for all periods have been adjusted to reflect the Company’s reverse stock splits. Net (loss) income per share was calculated based on the weighted-average number of shares of the Company’s Common Stock outstanding.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Basic net (loss) income per share is calculated using the weighted-average number of shares of Common Stock outstanding during the periods. Diluted net (loss) income per share is computed by giving effect to all potential shares of Common Stock, including the reflection of as-converted convertible notes, outstanding stock options, stock related to unvested restricted stock units, and outstanding warrants to the extent dilutive. Net (loss) income per share, assuming dilution, is equal to basic net (loss) income per share for the three months ended June 30, 2025 and 2024 and six months ended June 30, 2025 because the effect of dilutive securities outstanding during the periods, including convertible notes, options, restricted stock units and warrants computed using the treasury stock method, is anti-dilutive.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4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 from continuing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(7,205)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(10,479)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198"/>
        </w:trPr>
        <w:tc>
          <w:tcPr>
            <w:tcW w:w="59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Agrify Corporation from discontinued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operations</w:t>
            </w:r>
          </w:p>
        </w:tc>
        <w:tc>
          <w:tcPr>
            <w:tcW w:w="240" w:type="dxa"/>
            <w:vAlign w:val="bottom"/>
          </w:tcPr>
          <w:p>
            <w:pPr>
              <w:spacing w:after="0"/>
              <w:rPr>
                <w:sz w:val="22"/>
                <w:szCs w:val="22"/>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Pr>
          <w:p>
            <w:pPr>
              <w:spacing w:after="0"/>
              <w:rPr>
                <w:sz w:val="22"/>
                <w:szCs w:val="22"/>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1,493</w:t>
            </w:r>
          </w:p>
        </w:tc>
        <w:tc>
          <w:tcPr>
            <w:tcW w:w="3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2,296</w:t>
            </w:r>
          </w:p>
        </w:tc>
        <w:tc>
          <w:tcPr>
            <w:tcW w:w="0" w:type="dxa"/>
            <w:vAlign w:val="bottom"/>
          </w:tcPr>
          <w:p>
            <w:pPr>
              <w:spacing w:after="0"/>
              <w:rPr>
                <w:sz w:val="1"/>
                <w:szCs w:val="1"/>
                <w:color w:val="auto"/>
              </w:rPr>
            </w:pPr>
          </w:p>
        </w:tc>
      </w:tr>
      <w:tr>
        <w:trPr>
          <w:trHeight w:val="184"/>
        </w:trPr>
        <w:tc>
          <w:tcPr>
            <w:tcW w:w="5980" w:type="dxa"/>
            <w:vAlign w:val="bottom"/>
            <w:tcBorders>
              <w:top w:val="single" w:sz="8" w:color="CCEEFF"/>
            </w:tcBorders>
            <w:gridSpan w:val="2"/>
            <w:shd w:val="clear" w:color="auto" w:fill="CCEEFF"/>
          </w:tcPr>
          <w:p>
            <w:pPr>
              <w:ind w:left="340"/>
              <w:spacing w:after="0" w:line="184" w:lineRule="exact"/>
              <w:rPr>
                <w:sz w:val="20"/>
                <w:szCs w:val="20"/>
                <w:color w:val="auto"/>
              </w:rPr>
            </w:pPr>
            <w:r>
              <w:rPr>
                <w:rFonts w:ascii="Times New Roman" w:cs="Times New Roman" w:eastAsia="Times New Roman" w:hAnsi="Times New Roman"/>
                <w:sz w:val="18"/>
                <w:szCs w:val="18"/>
                <w:color w:val="auto"/>
              </w:rPr>
              <w:t>Numerator for basic EPS - net (loss) income available for common</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5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1"/>
              <w:spacing w:after="0" w:line="275" w:lineRule="exact"/>
              <w:rPr>
                <w:sz w:val="20"/>
                <w:szCs w:val="20"/>
                <w:color w:val="auto"/>
              </w:rPr>
            </w:pPr>
            <w:r>
              <w:rPr>
                <w:rFonts w:ascii="Times New Roman" w:cs="Times New Roman" w:eastAsia="Times New Roman" w:hAnsi="Times New Roman"/>
                <w:sz w:val="17"/>
                <w:szCs w:val="17"/>
                <w:color w:val="auto"/>
              </w:rPr>
              <w:t>(7,360</w:t>
            </w:r>
            <w:r>
              <w:rPr>
                <w:rFonts w:ascii="Times New Roman" w:cs="Times New Roman" w:eastAsia="Times New Roman" w:hAnsi="Times New Roman"/>
                <w:sz w:val="31"/>
                <w:szCs w:val="31"/>
                <w:color w:val="auto"/>
                <w:vertAlign w:val="superscript"/>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1"/>
              <w:spacing w:after="0" w:line="275" w:lineRule="exact"/>
              <w:rPr>
                <w:sz w:val="20"/>
                <w:szCs w:val="20"/>
                <w:color w:val="auto"/>
              </w:rPr>
            </w:pPr>
            <w:r>
              <w:rPr>
                <w:rFonts w:ascii="Times New Roman" w:cs="Times New Roman" w:eastAsia="Times New Roman" w:hAnsi="Times New Roman"/>
                <w:sz w:val="17"/>
                <w:szCs w:val="17"/>
                <w:color w:val="auto"/>
              </w:rPr>
              <w:t>(2,972</w:t>
            </w:r>
            <w:r>
              <w:rPr>
                <w:rFonts w:ascii="Times New Roman" w:cs="Times New Roman" w:eastAsia="Times New Roman" w:hAnsi="Times New Roman"/>
                <w:sz w:val="31"/>
                <w:szCs w:val="31"/>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line="275" w:lineRule="exact"/>
              <w:rPr>
                <w:sz w:val="20"/>
                <w:szCs w:val="20"/>
                <w:color w:val="auto"/>
              </w:rPr>
            </w:pPr>
            <w:r>
              <w:rPr>
                <w:rFonts w:ascii="Times New Roman" w:cs="Times New Roman" w:eastAsia="Times New Roman" w:hAnsi="Times New Roman"/>
                <w:sz w:val="17"/>
                <w:szCs w:val="17"/>
                <w:color w:val="auto"/>
              </w:rPr>
              <w:t>(8,986</w:t>
            </w:r>
            <w:r>
              <w:rPr>
                <w:rFonts w:ascii="Times New Roman" w:cs="Times New Roman" w:eastAsia="Times New Roman" w:hAnsi="Times New Roman"/>
                <w:sz w:val="31"/>
                <w:szCs w:val="31"/>
                <w:color w:val="auto"/>
                <w:vertAlign w:val="superscript"/>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on convertible notes - from continuing operations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171"/>
        </w:trPr>
        <w:tc>
          <w:tcPr>
            <w:tcW w:w="5980" w:type="dxa"/>
            <w:vAlign w:val="bottom"/>
            <w:tcBorders>
              <w:top w:val="single" w:sz="8" w:color="CCEEFF"/>
            </w:tcBorders>
            <w:gridSpan w:val="2"/>
          </w:tcPr>
          <w:p>
            <w:pPr>
              <w:ind w:left="180"/>
              <w:spacing w:after="0" w:line="171" w:lineRule="exact"/>
              <w:rPr>
                <w:sz w:val="20"/>
                <w:szCs w:val="20"/>
                <w:color w:val="auto"/>
              </w:rPr>
            </w:pPr>
            <w:r>
              <w:rPr>
                <w:rFonts w:ascii="Times New Roman" w:cs="Times New Roman" w:eastAsia="Times New Roman" w:hAnsi="Times New Roman"/>
                <w:sz w:val="18"/>
                <w:szCs w:val="18"/>
                <w:color w:val="auto"/>
              </w:rPr>
              <w:t>Numerator for diluted EPS - net (loss) income available for common</w:t>
            </w: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shareholders after assumed conversions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1"/>
              <w:spacing w:after="0" w:line="275" w:lineRule="exact"/>
              <w:rPr>
                <w:sz w:val="20"/>
                <w:szCs w:val="20"/>
                <w:color w:val="auto"/>
              </w:rPr>
            </w:pPr>
            <w:r>
              <w:rPr>
                <w:rFonts w:ascii="Times New Roman" w:cs="Times New Roman" w:eastAsia="Times New Roman" w:hAnsi="Times New Roman"/>
                <w:sz w:val="17"/>
                <w:szCs w:val="17"/>
                <w:color w:val="auto"/>
              </w:rPr>
              <w:t>(7,360</w:t>
            </w:r>
            <w:r>
              <w:rPr>
                <w:rFonts w:ascii="Times New Roman" w:cs="Times New Roman" w:eastAsia="Times New Roman" w:hAnsi="Times New Roman"/>
                <w:sz w:val="31"/>
                <w:szCs w:val="31"/>
                <w:color w:val="auto"/>
                <w:vertAlign w:val="superscript"/>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line="275" w:lineRule="exact"/>
              <w:rPr>
                <w:sz w:val="20"/>
                <w:szCs w:val="20"/>
                <w:color w:val="auto"/>
              </w:rPr>
            </w:pPr>
            <w:r>
              <w:rPr>
                <w:rFonts w:ascii="Times New Roman" w:cs="Times New Roman" w:eastAsia="Times New Roman" w:hAnsi="Times New Roman"/>
                <w:sz w:val="17"/>
                <w:szCs w:val="17"/>
                <w:color w:val="auto"/>
              </w:rPr>
              <w:t>(2,972</w:t>
            </w:r>
            <w:r>
              <w:rPr>
                <w:rFonts w:ascii="Times New Roman" w:cs="Times New Roman" w:eastAsia="Times New Roman" w:hAnsi="Times New Roman"/>
                <w:sz w:val="31"/>
                <w:szCs w:val="31"/>
                <w:color w:val="auto"/>
                <w:vertAlign w:val="superscript"/>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1"/>
              <w:spacing w:after="0" w:line="275" w:lineRule="exact"/>
              <w:rPr>
                <w:sz w:val="20"/>
                <w:szCs w:val="20"/>
                <w:color w:val="auto"/>
              </w:rPr>
            </w:pPr>
            <w:r>
              <w:rPr>
                <w:rFonts w:ascii="Times New Roman" w:cs="Times New Roman" w:eastAsia="Times New Roman" w:hAnsi="Times New Roman"/>
                <w:sz w:val="17"/>
                <w:szCs w:val="17"/>
                <w:color w:val="auto"/>
              </w:rPr>
              <w:t>(8,986</w:t>
            </w:r>
            <w:r>
              <w:rPr>
                <w:rFonts w:ascii="Times New Roman" w:cs="Times New Roman" w:eastAsia="Times New Roman" w:hAnsi="Times New Roman"/>
                <w:sz w:val="31"/>
                <w:szCs w:val="31"/>
                <w:color w:val="auto"/>
                <w:vertAlign w:val="superscript"/>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Denominator for basic EPS - Weighted-average common shares outstanding</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1,965,425</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940,953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1,958,724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701,563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994,506</w:t>
            </w:r>
          </w:p>
        </w:tc>
        <w:tc>
          <w:tcPr>
            <w:tcW w:w="0" w:type="dxa"/>
            <w:vAlign w:val="bottom"/>
          </w:tcPr>
          <w:p>
            <w:pPr>
              <w:spacing w:after="0"/>
              <w:rPr>
                <w:sz w:val="1"/>
                <w:szCs w:val="1"/>
                <w:color w:val="auto"/>
              </w:rPr>
            </w:pPr>
          </w:p>
        </w:tc>
      </w:tr>
      <w:tr>
        <w:trPr>
          <w:trHeight w:val="184"/>
        </w:trPr>
        <w:tc>
          <w:tcPr>
            <w:tcW w:w="5980" w:type="dxa"/>
            <w:vAlign w:val="bottom"/>
            <w:tcBorders>
              <w:top w:val="single" w:sz="8" w:color="CCEEFF"/>
            </w:tcBorders>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Denominator for diluted EPS - adjusted weighted-average common stock</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after assumed conversions</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1,965,425</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940,953</w:t>
            </w: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1,958,724</w:t>
            </w:r>
          </w:p>
        </w:tc>
        <w:tc>
          <w:tcPr>
            <w:tcW w:w="3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1,696,069</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Basic net (loss) income per share attributable to common stockholders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Diluted net (loss) income per share attributable to common stockholders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June 30, 2024, the Company had convertible notes outstanding with a principal balance of approximately $3.3 million convertible into 176,309 shares of Common Stock. During the six months ended June 30, 2024, the Company also converted a portion of the convertible notes into 178,109 shares of Common Stock and 1,017,318 pre-funded warrants to purchase shares of Common Stock. Given the nominal exercise price of the Company’s issuance of pre-funded warrants, such pre-funded warrants are included in in the calculation of basic net (loss) income per share and weighted for the period outstanding from issuance to June 30, 2024. The exercise price per warrant is deemed non-substantive when compared to the fair value of the underlying shares of Common Stock. In determination of the denominator for diluted earnings per share (“EPS”) for the six months ended June 30, 2024, the Company assumed conversion of the 178,109 shares of Common Stock and the 1,017,318 pre-funded warrants as of the beginning of the period, January 1, 2024, eliminating the weighting of the shares from issuance to June 30, 2024. The Company also included in the denominator for diluted EPS for the six months ended June 30, 2024, the assumed conversion of 176,309 shares of Common Stock related to the convertible notes.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each of the periods presented, the Company’s potential dilutive securities, which include stock options, restricted stock units, and warrants, and convertible notes, have been excluded from the computation of basic and diluted net (loss) income per share with the exception of the pre-funded warrants, or penny warrants, which are included in the computation, as detailed above. The Convertible Notes outstanding during the six months ended June 30, 2025 were also excluded from the computation of diluted net (loss) per share as they do not represent common stock equivalents unless and until conversion conditions are met. The weighted-average number of shares of Common Stock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8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7,595,187</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7,675,262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154,934</w:t>
            </w:r>
          </w:p>
        </w:tc>
        <w:tc>
          <w:tcPr>
            <w:tcW w:w="80" w:type="dxa"/>
            <w:vAlign w:val="bottom"/>
          </w:tcPr>
          <w:p>
            <w:pPr>
              <w:spacing w:after="0"/>
              <w:rPr>
                <w:sz w:val="21"/>
                <w:szCs w:val="2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Cultivation, Inc. (“Bud &amp; Mary’s) and certain related parties notifying such parties that Bud &amp; Mary’s was in default of its obligations under the TTK solution between the Company and Bud &amp; Mary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Bud &amp; Mary TTK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As of December 31, 2024, the allowance related to Bud &amp; Mary’s was reduced to $14.4 million, reflecting a recovery of allowance for credit losses resulting from a loan repayment of $330 thousand that was previously included in the allowance. The $14.4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 Complaint and counterclaims. The Company is seeking, among other relief, monetary damages in connection with the breach of contract, breach of the implied covenant of good faith and fair dealing, unjust enrichment, and enforcement of the guarantees. This matter is still actively ongoing. This matter is subject to the Cultivation sale escrow litigation reserve agreement where the Company funded $1.5 million in January 2025 into escrow for the benefit of settling this and other claims.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in the Superior Court of Massachusetts in Norfolk County, Massachusetts (the “Bowdoin Complaint”), naming the Company,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$6.3 million is included in accounts payable and $700 thousand is included in accrued expenses and other current liabilities in the consolidated balance sheet. Two of Bowdoin’s subcontractors, Hannon Electric, Inc. and Electric Supply Center Corp, have filed separate suits against the Company in the amount of $1.498 million and $93 thousand, respectively. These amounts are part of the $7.0 million claimed in Bowdoin’s Complaint. The Bowdoin suit and the subcontractor suits have been consolidated. The Company has denied liability in all such suits. This matter is subject to the sale of the Cultivation Business escrow litigation reserve agreement where the Company funded $1.5 million in January 2025 into escrow for the benefit of settling this and other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McCutchan, Inc.</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2021, the Company entered into a standard form of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“Valiant Agreement”). The Company terminated Valiant as the general contractor for, among other allegations, breach of contract and unjust enrichment. Following the termination of Valiant, in October 2022, the Valiant Agreement was assigned and accepted (the “Assignment”) to Agxion, LLC, a wholly owned Subsidiary of the Company. The Assignment contemplates that, as a subcontractor to the Valiant Agreement, McCutchan is still bound to the subcontract agreement and will continue construction operations on the Project. The Company is pursuing Valiant in a separate litigation to collect no less than approximately $1.4 million alleging overbilling, breach of the Valiant Agreement, and violation of Chapter 18.27 and 19.86 of the Revised Code of Washington. On March 5, 2024,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Valiant Agreement. In the alternative, McCutchan is alleging the Assignment is void and not a valid contract. McCutchan is seeking to collect no less than $3 million against the Company and all other named defendants. This matter is subject to the Cultivation sale escrow litigation reserve agreement where the Company funded $1.5 million in January 2025 into escrow for the benefit of settling this and other claims.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February 9, 2022, a former sales Vice President of the Company filed suit against the Company claiming he is owed back wages, commission and is entitled to equity in the Company, under theories of liability under Massachusetts labor laws including retaliation, breach of contract, breach of covenant of good faith and fair dealing, fraudulent inducement, tortious interference and unjust enrichment. The Company filed its answer to the initial complaint in January 2023. The Company believes this is a meritless claim and has responded to various discovery requests.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Note 17 — Related Parties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Some of the current and former officers and directors of the Company are involved in other business activities and may, in the future, become involved in other business opportunities that become available. Ben Kovler, Agrify’s Chairman and Interim Chief Executive Officer also serves as Green Thumb’s Chairman and Chief Executive Officer. Agrify’s Chief Financial Officer is a Green Thumb employee and provides services under a shared services agreement. Including Mr. Kovler, two of Agrify’s seven directors are affiliated with Green Thumb. Additional details regarding the shared services arrangement, convertible notes, and intellectual property and licensing agreements are provided in the sections below.</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Industries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activity of $3.4 million during the three months ended June 30, 2025 consists of $2.9 million of support services performed by Green Thumb on behalf of the Company, $182 thousand non-royalty chargeback expense, $548 thousand interest charges for the Convertible Notes, offset by $245 thousand royalty revenue from Green Thumb.</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 activity of $4.9 million during the six months ended June 30, 2025 consists of $4.3 million of support services performed by Green Thumb on behalf of the Company, which is comprised of $3.7 million in salary charges and $562 thousand in non-salary charges, and $798 thousand interest charges, $182 thousand non-royalty chargeback expense, offset by $80 thousand of equipment sales and beverage sales and $245 thousand royalty revenue from the Company to Green Thumb.</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net related party payable as of June 30, 2025 and December 31, 2024:</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Industries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net related party payable of $38.8 million as of June 30, 2025, consists of $1.3 million service charge payable, $37.0 million convertible notes payable, $443 thousand accrued interest payable, $232 thousand non-royalty chargeback payable, offset by $181 thousand receivable from royalty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Royalty Revenue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May 20, 2025, the Company acquired intellectual property rights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as part of the related party acquisition of MC Brands. In connection with the acquisition, the Company also licensed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back to Green Thumb under a license arrangement and recognized related party royalty revenue. For further discussion on the acquisition and royalty revenue, refer to Note 7 and Note 2 included elsewhere in the notes to the unaudited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5, 2024, the Company issued the November 2024 Note to RSLGH, an indirect wholly-owned subsidiary of Green Thumb, a related party. On May 22, 2025, the Company issued a May 2025 Note with an original principal amount of $27.0 million to RSLGH. For further discussion on these notes, refer to Note 9 included elsewhere in the notes to the unaudited condensed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Services Agreement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20, 2025, the Company entered into an Amended and Restated Shared Services Agreement (the “Services Agreement”) with Vision Management Services, LLC (“VMS”), an indirect wholly-owned subsidiary of Green Thumb, a related party. Under the Services Agreement, VMS will provide certain administrative, supply chain, operations management, sales and marketing, and technical services to the Company and its subsidiaries. As consideration for those services, the Company pays VMS service fees equal to (i) 125% of the costs incurred by VMS in connection with any services provided by non-dedicated personnel and (ii) 100% of such costs incurred by VMS in connection with services provided by dedicated personnel and any third-party costs incurred in connection with the services. The service fees are payable in cash or, upon mutual agreement of the Company and VMS and to the extent permitted under applicable Nasdaq listing rules, in Common Stock or in pre-funded warrants, with the value per share of Common Stock or pre-funded warrant being equal to $26.68, the most recent closing price of the Company’s Common Stock on the Nasdaq Capital Market as of the time the Services Agreement was executed. The maximum cost for services provided by non-dedicated personnel during the one-year term of the Services Agreement may not exceed $3.0 million unless the parties otherwise agree in writing.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determined that it operates as a single operating and reporting segment in accordance with ASC 280, Segment Reporting. This is due to the key decisions and allocation of resources happening in a centralized manner based on the review of the Company’s Chief Operating Decision Maker (“CODM”), Benjamin Kovler, the Company’s Chairman and Interim Chief Executive Officer, of Operating income from continuing operations of the Company. This profit measure is presented in the Condensed Consolidated Statements of Operations and the disaggregation of sales from hemp-derived THC products and royalties is presented in Note 2 – Revenue. There are no significant expenses associated with the royalty revenue and the CODM does not review expense allocations, amortization expense or specific assets when reviewing royalty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and concluded that there were no subsequent events that required recognition or disclosure in the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is intended to update the information contained in our Annual Report on Form 10-K for the year ended December 31, 2024 filed with the Securities And Exchange Commission (the “SEC”) on March 21, 2025, as amended on March 28, 2025 (the “Form 10-K”) and presumes that readers have access to, and will have read, the “Management’s Discussion and Analysis of Financial Condition and Results of Operations” and other information contained in the Form 10-K. The following discussion and analysis also should be read together with our financial statements and the notes to the financial statements included elsewhere in this Quarterly Report.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statements that may be deemed “forward-looking statements” within the meaning of the Private Securities Litigation Reform Act of 1995. Such statements appear in a number of places in this Quarterly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the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The following should also be read in conjunction with the unaudited financial statements and notes thereto that appear elsewhere in this Quarterly Report.</w:t>
      </w:r>
    </w:p>
    <w:p>
      <w:pPr>
        <w:spacing w:after="0" w:line="18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herein or as the context otherwise requires, references in this Quarterly Report to “we,” “us,” “our,” “Company,” and “Agrify” refer to Agrify Corporation, a Nevada corporation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Agrify is a developer of branded innovative solutions for the cannabis and hemp industries. Our portfolio of consumer-packaged goods brands includes our Señorita brand which offers consumers hemp-derived tetrahydrocannabinol (“THC”) beverages that mirror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at top retailers including Total Wine, ABC Fine Wine &amp; Spirits, and Binny’s in eleven U.S. states and Canada, with plans for expansion and future availability in premier on-premises destinations. Other hemp-derived products including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and Beboe edible products are primarily sold online and through direct-to-retail partnerships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hemp-derived products, Agrify has also historically been a leading provider of innovative cultivation and extraction solutions for the cannabis industry (the “Extraction Business”). Prior to our exit of the Extraction Business on March 30, 2025, our comprehensive extraction product line, which includes hydrocarbon, alcohol, solventless, post-processing, and lab equipment, empowered producers to maximize the quantity and quality of extract required for premium concentrates. Additionally, prior to its sale on December 31, 2024, our proprietary micro-environment-controlled Agrify Vertical Farming Units (“VFUs”) enabled cultivators to produce high quality products for the cannabis industry (the “Cultivation Business”).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8, 2024, we effected a 1-for-15 reverse stock split of our Common Stock. All share and per share information has been retroactively adjusted to give effect to the reverse stock splits for all periods presented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Hemp-Derived Products and Royalties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acquired the Señorita brand of hemp-derived THC beverages in November 2024. Señorita was designed and formulated by world-class winemakers Charles Bieler and Joel Gott. Recognizing a growing generational demand for adult beverage alternatives, Bieler and Gott gave the classic margarita a modern twist—replacing alcohol with hemp-derived to create a delightful adult beverage alternative. Through the use of all-natural, premium ingredients like organic Mexican agave, fresh lime juice and sweet, tangy mango, Señorita quickly gained acclaim, taking home the top spot in The High Times Cannabis Cup just one year after inception. Gott and Bieler continue to collaborate on the brand with Mr. Kovler and the Agrify team.</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Señorita currently offers four award-winning flavors – classic Lime Jalapeño Margarita, Paloma, Mango Margarita, and Ranch Water. Señorita’s hemp-derived beverages are currently available at top retailers including Total Wine, ABC Fine Wine &amp; Spirits, and Binny’s in eleven U.S. states and Canada. Products are also available for direct-to-consumer purchase where permissible under state law at senoritadrinks.com.</w:t>
      </w:r>
    </w:p>
    <w:p>
      <w:pPr>
        <w:spacing w:after="0" w:line="17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May 20, 2025, we acquired MC Brands, which consists primarily of intellectual property rights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Concurrent with the MC Brands acquisition, we entered a License Agreement with subsidiaries of Green Thumb Industries Inc. (“Green Thumb”), a related party, to use certain intellectual property related to the Beboe, Rythm and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brands. The Beboe and Rythm licensing agreements are in connection with our production, marketing and sale of hemp-derived products to the extent such activities are legal under applicable state and federal laws in the United States. By contrast,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licensing agreement grants GTI Core (an indirectly wholly-owned subsidiary of Green Thumb) the rights to use certain intellectual property related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in connection with GTI Core’s existing state-licensed cannabis business. The consideration payable by GTI Core for the license rights consists of a monthly license fee, payable in cash, based on sales of product using the licensed intellectual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Co-Manufacturing Arrangements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finished goods are manufactured by various third-party co-manufacturers situated throughout the United States and Canada, under separate arrangements with each party. Our co-manufacturing arrangements vary in terms and, from time to time, we may enter into manufacturing contracts with agreed upon minimum quantities to ensure continuity of supply of certain products in certain territories. We continue to actively seek alternative and/or additional co-manufacturing facilities with adequate capacity and capability for the production of our various products to minimize transportation costs as well as mitigate the risk of disruption in production.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estimate demand for our products is imprecise, particularly with new products, and may be less precise during periods of rapid growth, including in new markets. If we materially underestimate demand for our products and/or are unable to secure sufficient ingredients or raw materials and/or procure adequate co-manufacturing arrangements and/or obtain adequate or timely shipment of our products, we might not be able to satisfy demand on a short-term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first half of 2025, we continued to expand distribution of our hemp-derived beverage products in our domestic markets. We have entered into agreements with various distributors providing for the distribution of certain of our hemp-derived beverage products, subject to certain terms and conditions, which may vary depending on the form of the agreement. Such agreements remain in effect for their then-current term as long as our products are being distributed, but are subject to specified termination rights held by each party. Additionally, we are entitled to terminate certain distribution agreements at any time without cause upon payment of a termination fee, which may be material depending on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Cultivation Solutions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Prior to its sale on December 31, 2024, we sold proprietary cultivation solutions to independent licensed cultivators as part of our Cultivation Business.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two primary products we sold were the VFUs and Agrify Insights™ software.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proprietary VFU technology offered a modular, compartmentalized micro-climate growing system for indoor vertical farming. The VFU system was designed for craft farmers, single-state operators, and multi-state operators who were looking to consistently produce higher-quality crops at scale. The VFUs were designed to line up horizontally in rows, and could be stacked vertically up to three units tall.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VFUs were designed to work in conjunction with the Agrify Insights™ software. Each VFU sold included a license for Agrify Insights™ and a monthly Software-as-a-Service (“SaaS”) subscription fee was charged per VFU. The VFU could not operate successfully without Agrify Insights™. Agrify Insights™ license agreements were generally for a multi-year term, with an annual auto-renewal.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Extraction Solutions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its discontinuation on March 30, 2025, our extraction equipment and business solutions that were a part of our Extraction Business could be used within indoor processing facilities by fully licensed cannabis and hemp cultivators and processors or in some cases, by individual processors for individual use in compliance with applicable law. We sold our proprietary extraction solutions to independent, licensed cultivators and processing labs.</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had strategically acquired four brands in the extraction space in late 2021 and early 2022: Precision Extraction, PurePressure, Lab Society, and Cascade Sciences. These brands encompassed hydrocarbon, alcohol, and solventless extraction and distillation and post-processing solutions. Our extraction brands provided equipment and solutions for extraction, post-processing, and testing for the cannabis and hemp industries.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the valuation and recognition of stock-based compensation expense, valuation allowance for deferred tax assets, goodwill, impairment of long-lived assets, provision for litigation, inventory reserve, fair value measurements and useful life of fixed assets and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U.S. GAAP. The preparation of financial statements in conformity with U.S. GAAP requires us to make estimates and assumptions that affect the amounts reported in the financial statements and accompanying notes. On an ongoing basis, we evaluate estimates, which include estimates related to accruals, business combinations, and stock-based compensation expense. We base our estimates on historical experience and other market-specific or other relevant assumptions that we believe to be reasonable under the circumstances. Actual results may differ materially from those estimates or assumptions.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account for warrants as either equity-classified or liability-classified instruments based on an assessment of the warrant’s specific terms and applicable authoritative guidance in Accounting Standards Codification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our own Common Stock among other conditions for equity classification.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or when incurred. For issued or modified warrants that are precluded from equity classification, they are recorded as a liability at their initial fair value on the date of issuance and marked-to-market each reporting period with the changes in fair value of warrant liabilities recorded in other income (expense), net in the accompanying unaudited condensed consolidated statements of operations until the warrants are exercised. The fair value of the warrant liabilities are estimated using a Black-Scholes option-pricing model.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is determined using Level 3 inputs. Inherent in a Black-Scholes option-pricing model are assumptions used in calculating the estimated fair values that represent our best estimate. The volatility rate is determined utilizing our own share price and the share price of competitors over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generate revenue from continuing operations through the sale of hemp-derived THC products and related party licensing arrangements. We license intellectual property to a related party under arrangements that provide for sales-based royalties. We recognize royalty income derived from licensing agreements in accordance with ASC 606, specifically, for sales-based royalties. In accordance with ASC Topic 606, Revenue Recognition (“ASC 606”), revenue is recognized through a five-step model, as outlined below:</w:t>
      </w:r>
    </w:p>
    <w:p>
      <w:pPr>
        <w:spacing w:after="0" w:line="392" w:lineRule="exact"/>
        <w:rPr>
          <w:sz w:val="20"/>
          <w:szCs w:val="20"/>
          <w:color w:val="auto"/>
        </w:rPr>
      </w:pPr>
    </w:p>
    <w:p>
      <w:pPr>
        <w:jc w:val="both"/>
        <w:ind w:left="66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the customer contract</w:t>
      </w:r>
      <w:r>
        <w:rPr>
          <w:rFonts w:ascii="Times New Roman" w:cs="Times New Roman" w:eastAsia="Times New Roman" w:hAnsi="Times New Roman"/>
          <w:sz w:val="18"/>
          <w:szCs w:val="18"/>
          <w:color w:val="auto"/>
        </w:rPr>
        <w:t>: A customer contract is identified when there is mutual approval and commitment between us and our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and obligations are clear, payment terms are set, the contract has commercial substance, and collectability is probable. Written or electronic signatures on contracts and purchase orders are obtained if such orders are issued in the normal course of business by the customer.</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performance obligations that are distinct</w:t>
      </w:r>
      <w:r>
        <w:rPr>
          <w:rFonts w:ascii="Times New Roman" w:cs="Times New Roman" w:eastAsia="Times New Roman" w:hAnsi="Times New Roman"/>
          <w:sz w:val="18"/>
          <w:szCs w:val="18"/>
          <w:color w:val="auto"/>
        </w:rPr>
        <w:t>: We identify distinct performance obligations in each contract. A performance obligation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distinct if the customer can benefit from the good or service on its own or with readily available resources, and if it is separately identifiable from other promises in the contract. Our revenue-generating activities typically have a single performance obligation.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Determine the transaction price</w:t>
      </w:r>
      <w:r>
        <w:rPr>
          <w:rFonts w:ascii="Times New Roman" w:cs="Times New Roman" w:eastAsia="Times New Roman" w:hAnsi="Times New Roman"/>
          <w:sz w:val="18"/>
          <w:szCs w:val="18"/>
          <w:color w:val="auto"/>
        </w:rPr>
        <w:t>: The transaction price is the amount of consideration we expect to receive in exchange for the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This amount is determined excluding sales taxes collected on behalf of government agencies and net of any sales discounts, incentives, and returns.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Allocate the transaction price to distinct performance obligations</w:t>
      </w:r>
      <w:r>
        <w:rPr>
          <w:rFonts w:ascii="Times New Roman" w:cs="Times New Roman" w:eastAsia="Times New Roman" w:hAnsi="Times New Roman"/>
          <w:sz w:val="18"/>
          <w:szCs w:val="18"/>
          <w:color w:val="auto"/>
        </w:rPr>
        <w:t>: The transaction price is allocated to each distinct performance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relative SSP of the goods or services provided. If a contract involves multiple performance obligations, each is accounted for separately if distinct, and the SSP reflects the price we would charge if the good or service were sold separately in similar circumstances and to similar customers.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Recognize revenue as the performance obligations are satisfied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hemp-derived THC products is recognized when control of the product transfers to the customer, typically upon delivery or shipment, as the customer assumes the risks and rewards of ownership. Payment terms vary by customer, but the time between revenue recognition and payment due is generally not significant. For products sold under consignment arrangements, revenue is recognized only when control is transferred to the end customer. We do not maintain a specific reserve for returns due to the limited circumstances under which returns are permitted in customer agreements. Payments for slotting, listing fees, or other marketing or promotional activities, where legally permitted, are recorded as a reduction in revenue unless a distinct good or service is received in exchange.</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606-10-55-65 through 55-65B, royalty revenue is recognized only when the underlying sale by the licensee occurs, and the performance obligation has otherwise been satisfied. This approach ensures that revenue is recognized in the period in which it is earned and determinable, consistent with the transfer of control of the intellectual property to the licensee.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account for income taxes pursuant to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unaudited condensed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have an uncertain tax position offsetting our research and development tax credits given we have not engaged any third parties to perform a study to support credits claimed under Internal Revenue Code §41 for tax years ended December 31, 2016 through December 31, 2024. If recognized, none of the unrecognized tax benefits would impact our effective tax rate.</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We follow the provisions of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establishes standards surrounding the accounting for transactions in which an entity exchanges its equity instruments for goods or services. ASC 718 focuses primarily on accounting for transactions in which an entity obtains employee services in share-based payment transactions, such as options issued under our equity incentive plan.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permitted under ASC 718, we have made an accounting policy choice to account for forfeitures when they occur.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2025 and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continuing operations for the three and six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1,360</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1,808</w:t>
            </w:r>
          </w:p>
        </w:tc>
        <w:tc>
          <w:tcPr>
            <w:tcW w:w="30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7,480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11,271</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7,480</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11,271</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(6,798</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(10,499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(1,277)</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292</w:t>
            </w:r>
          </w:p>
        </w:tc>
        <w:tc>
          <w:tcPr>
            <w:tcW w:w="300" w:type="dxa"/>
            <w:vAlign w:val="bottom"/>
          </w:tcPr>
          <w:p>
            <w:pPr>
              <w:spacing w:after="0"/>
              <w:rPr>
                <w:sz w:val="18"/>
                <w:szCs w:val="18"/>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other (expense) income,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discontinued operations</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(2,041)</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disposal of Extraction business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discontinued operations, net of income taxes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(7,360)</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(2,972)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(8,986)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Agrify Corporation</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2"/>
                <w:szCs w:val="12"/>
                <w:color w:val="auto"/>
              </w:rPr>
              <w:t xml:space="preserve">Net (loss) income per share attributable to Common Stockholders – basic </w:t>
            </w:r>
            <w:r>
              <w:rPr>
                <w:rFonts w:ascii="Times New Roman" w:cs="Times New Roman" w:eastAsia="Times New Roman" w:hAnsi="Times New Roman"/>
                <w:sz w:val="18"/>
                <w:szCs w:val="18"/>
                <w:color w:val="auto"/>
                <w:vertAlign w:val="superscript"/>
              </w:rPr>
              <w:t>(1)</w:t>
            </w:r>
          </w:p>
        </w:tc>
        <w:tc>
          <w:tcPr>
            <w:tcW w:w="2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02"/>
        </w:trPr>
        <w:tc>
          <w:tcPr>
            <w:tcW w:w="598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1140" w:type="dxa"/>
            <w:vAlign w:val="bottom"/>
            <w:gridSpan w:val="2"/>
            <w:shd w:val="clear" w:color="auto" w:fill="CCEEFF"/>
          </w:tcPr>
          <w:p>
            <w:pPr>
              <w:jc w:val="right"/>
              <w:ind w:right="181"/>
              <w:spacing w:after="0" w:line="95" w:lineRule="exact"/>
              <w:rPr>
                <w:sz w:val="20"/>
                <w:szCs w:val="20"/>
                <w:color w:val="auto"/>
              </w:rPr>
            </w:pPr>
            <w:r>
              <w:rPr>
                <w:rFonts w:ascii="Times New Roman" w:cs="Times New Roman" w:eastAsia="Times New Roman" w:hAnsi="Times New Roman"/>
                <w:sz w:val="10"/>
                <w:szCs w:val="10"/>
                <w:color w:val="auto"/>
              </w:rPr>
              <w:t>(3.74</w:t>
            </w:r>
          </w:p>
        </w:tc>
        <w:tc>
          <w:tcPr>
            <w:tcW w:w="280" w:type="dxa"/>
            <w:vAlign w:val="bottom"/>
            <w:vMerge w:val="continue"/>
            <w:shd w:val="clear" w:color="auto" w:fill="CCEEFF"/>
          </w:tcPr>
          <w:p>
            <w:pPr>
              <w:spacing w:after="0"/>
              <w:rPr>
                <w:sz w:val="8"/>
                <w:szCs w:val="8"/>
                <w:color w:val="auto"/>
              </w:rPr>
            </w:pPr>
          </w:p>
        </w:tc>
        <w:tc>
          <w:tcPr>
            <w:tcW w:w="1060" w:type="dxa"/>
            <w:vAlign w:val="bottom"/>
            <w:gridSpan w:val="2"/>
            <w:shd w:val="clear" w:color="auto" w:fill="CCEEFF"/>
          </w:tcPr>
          <w:p>
            <w:pPr>
              <w:jc w:val="right"/>
              <w:ind w:right="141"/>
              <w:spacing w:after="0" w:line="95" w:lineRule="exact"/>
              <w:rPr>
                <w:sz w:val="20"/>
                <w:szCs w:val="20"/>
                <w:color w:val="auto"/>
              </w:rPr>
            </w:pPr>
            <w:r>
              <w:rPr>
                <w:rFonts w:ascii="Times New Roman" w:cs="Times New Roman" w:eastAsia="Times New Roman" w:hAnsi="Times New Roman"/>
                <w:sz w:val="10"/>
                <w:szCs w:val="10"/>
                <w:color w:val="auto"/>
              </w:rPr>
              <w:t>(3.16</w:t>
            </w:r>
          </w:p>
        </w:tc>
        <w:tc>
          <w:tcPr>
            <w:tcW w:w="240" w:type="dxa"/>
            <w:vAlign w:val="bottom"/>
            <w:vMerge w:val="continue"/>
            <w:shd w:val="clear" w:color="auto" w:fill="CCEEFF"/>
          </w:tcPr>
          <w:p>
            <w:pPr>
              <w:spacing w:after="0"/>
              <w:rPr>
                <w:sz w:val="8"/>
                <w:szCs w:val="8"/>
                <w:color w:val="auto"/>
              </w:rPr>
            </w:pPr>
          </w:p>
        </w:tc>
        <w:tc>
          <w:tcPr>
            <w:tcW w:w="1080" w:type="dxa"/>
            <w:vAlign w:val="bottom"/>
            <w:gridSpan w:val="2"/>
            <w:shd w:val="clear" w:color="auto" w:fill="CCEEFF"/>
          </w:tcPr>
          <w:p>
            <w:pPr>
              <w:jc w:val="right"/>
              <w:ind w:right="141"/>
              <w:spacing w:after="0" w:line="95" w:lineRule="exact"/>
              <w:rPr>
                <w:sz w:val="20"/>
                <w:szCs w:val="20"/>
                <w:color w:val="auto"/>
              </w:rPr>
            </w:pPr>
            <w:r>
              <w:rPr>
                <w:rFonts w:ascii="Times New Roman" w:cs="Times New Roman" w:eastAsia="Times New Roman" w:hAnsi="Times New Roman"/>
                <w:sz w:val="10"/>
                <w:szCs w:val="10"/>
                <w:color w:val="auto"/>
              </w:rPr>
              <w:t>(4.59</w:t>
            </w:r>
          </w:p>
        </w:tc>
        <w:tc>
          <w:tcPr>
            <w:tcW w:w="300" w:type="dxa"/>
            <w:vAlign w:val="bottom"/>
            <w:vMerge w:val="continue"/>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line="202" w:lineRule="exact"/>
              <w:rPr>
                <w:sz w:val="20"/>
                <w:szCs w:val="20"/>
                <w:color w:val="auto"/>
              </w:rPr>
            </w:pPr>
            <w:r>
              <w:rPr>
                <w:rFonts w:ascii="Times New Roman" w:cs="Times New Roman" w:eastAsia="Times New Roman" w:hAnsi="Times New Roman"/>
                <w:sz w:val="15"/>
                <w:szCs w:val="15"/>
                <w:color w:val="auto"/>
              </w:rPr>
              <w:t xml:space="preserve">Net (loss) income per share attributable to Common Stockholders – diluted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5980" w:type="dxa"/>
            <w:vAlign w:val="bottom"/>
            <w:vMerge w:val="continue"/>
          </w:tcPr>
          <w:p>
            <w:pPr>
              <w:spacing w:after="0"/>
              <w:rPr>
                <w:sz w:val="14"/>
                <w:szCs w:val="14"/>
                <w:color w:val="auto"/>
              </w:rPr>
            </w:pP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spacing w:after="0"/>
              <w:rPr>
                <w:sz w:val="14"/>
                <w:szCs w:val="14"/>
                <w:color w:val="auto"/>
              </w:rPr>
            </w:pPr>
          </w:p>
        </w:tc>
        <w:tc>
          <w:tcPr>
            <w:tcW w:w="260" w:type="dxa"/>
            <w:vAlign w:val="bottom"/>
          </w:tcPr>
          <w:p>
            <w:pPr>
              <w:jc w:val="right"/>
              <w:ind w:right="12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vMerge w:val="restart"/>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spacing w:after="0"/>
              <w:rPr>
                <w:sz w:val="14"/>
                <w:szCs w:val="14"/>
                <w:color w:val="auto"/>
              </w:rPr>
            </w:pP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spacing w:after="0"/>
              <w:rPr>
                <w:sz w:val="14"/>
                <w:szCs w:val="14"/>
                <w:color w:val="auto"/>
              </w:rPr>
            </w:pPr>
          </w:p>
        </w:tc>
        <w:tc>
          <w:tcPr>
            <w:tcW w:w="220" w:type="dxa"/>
            <w:vAlign w:val="bottom"/>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21"/>
        </w:trPr>
        <w:tc>
          <w:tcPr>
            <w:tcW w:w="598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140" w:type="dxa"/>
            <w:vAlign w:val="bottom"/>
            <w:gridSpan w:val="2"/>
          </w:tcPr>
          <w:p>
            <w:pPr>
              <w:jc w:val="right"/>
              <w:ind w:right="181"/>
              <w:spacing w:after="0" w:line="95" w:lineRule="exact"/>
              <w:rPr>
                <w:sz w:val="20"/>
                <w:szCs w:val="20"/>
                <w:color w:val="auto"/>
              </w:rPr>
            </w:pPr>
            <w:r>
              <w:rPr>
                <w:rFonts w:ascii="Times New Roman" w:cs="Times New Roman" w:eastAsia="Times New Roman" w:hAnsi="Times New Roman"/>
                <w:sz w:val="10"/>
                <w:szCs w:val="10"/>
                <w:color w:val="auto"/>
              </w:rPr>
              <w:t>(3.74</w:t>
            </w:r>
          </w:p>
        </w:tc>
        <w:tc>
          <w:tcPr>
            <w:tcW w:w="280" w:type="dxa"/>
            <w:vAlign w:val="bottom"/>
            <w:vMerge w:val="continue"/>
          </w:tcPr>
          <w:p>
            <w:pPr>
              <w:spacing w:after="0"/>
              <w:rPr>
                <w:sz w:val="10"/>
                <w:szCs w:val="10"/>
                <w:color w:val="auto"/>
              </w:rPr>
            </w:pPr>
          </w:p>
        </w:tc>
        <w:tc>
          <w:tcPr>
            <w:tcW w:w="1060" w:type="dxa"/>
            <w:vAlign w:val="bottom"/>
            <w:gridSpan w:val="2"/>
          </w:tcPr>
          <w:p>
            <w:pPr>
              <w:jc w:val="right"/>
              <w:ind w:right="141"/>
              <w:spacing w:after="0" w:line="95" w:lineRule="exact"/>
              <w:rPr>
                <w:sz w:val="20"/>
                <w:szCs w:val="20"/>
                <w:color w:val="auto"/>
              </w:rPr>
            </w:pPr>
            <w:r>
              <w:rPr>
                <w:rFonts w:ascii="Times New Roman" w:cs="Times New Roman" w:eastAsia="Times New Roman" w:hAnsi="Times New Roman"/>
                <w:sz w:val="10"/>
                <w:szCs w:val="10"/>
                <w:color w:val="auto"/>
              </w:rPr>
              <w:t>(3.16</w:t>
            </w:r>
          </w:p>
        </w:tc>
        <w:tc>
          <w:tcPr>
            <w:tcW w:w="240" w:type="dxa"/>
            <w:vAlign w:val="bottom"/>
            <w:vMerge w:val="continue"/>
          </w:tcPr>
          <w:p>
            <w:pPr>
              <w:spacing w:after="0"/>
              <w:rPr>
                <w:sz w:val="10"/>
                <w:szCs w:val="10"/>
                <w:color w:val="auto"/>
              </w:rPr>
            </w:pPr>
          </w:p>
        </w:tc>
        <w:tc>
          <w:tcPr>
            <w:tcW w:w="1080" w:type="dxa"/>
            <w:vAlign w:val="bottom"/>
            <w:gridSpan w:val="2"/>
          </w:tcPr>
          <w:p>
            <w:pPr>
              <w:jc w:val="right"/>
              <w:ind w:right="141"/>
              <w:spacing w:after="0" w:line="95" w:lineRule="exact"/>
              <w:rPr>
                <w:sz w:val="20"/>
                <w:szCs w:val="20"/>
                <w:color w:val="auto"/>
              </w:rPr>
            </w:pPr>
            <w:r>
              <w:rPr>
                <w:rFonts w:ascii="Times New Roman" w:cs="Times New Roman" w:eastAsia="Times New Roman" w:hAnsi="Times New Roman"/>
                <w:sz w:val="10"/>
                <w:szCs w:val="10"/>
                <w:color w:val="auto"/>
              </w:rPr>
              <w:t>(4.59</w:t>
            </w:r>
          </w:p>
        </w:tc>
        <w:tc>
          <w:tcPr>
            <w:tcW w:w="30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vMerge w:val="restart"/>
            <w:shd w:val="clear" w:color="auto" w:fill="CCEEFF"/>
          </w:tcPr>
          <w:p>
            <w:pPr>
              <w:spacing w:after="0" w:line="277" w:lineRule="exact"/>
              <w:rPr>
                <w:sz w:val="20"/>
                <w:szCs w:val="20"/>
                <w:color w:val="auto"/>
              </w:rPr>
            </w:pPr>
            <w:r>
              <w:rPr>
                <w:rFonts w:ascii="Times New Roman" w:cs="Times New Roman" w:eastAsia="Times New Roman" w:hAnsi="Times New Roman"/>
                <w:sz w:val="18"/>
                <w:szCs w:val="18"/>
                <w:color w:val="auto"/>
              </w:rPr>
              <w:t xml:space="preserve">Weighted average common shares outstanding - basic </w:t>
            </w:r>
            <w:r>
              <w:rPr>
                <w:rFonts w:ascii="Times New Roman" w:cs="Times New Roman" w:eastAsia="Times New Roman" w:hAnsi="Times New Roman"/>
                <w:sz w:val="29"/>
                <w:szCs w:val="29"/>
                <w:color w:val="auto"/>
                <w:vertAlign w:val="superscript"/>
              </w:rPr>
              <w:t>(1)</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8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1,965,425</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940,953</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1,958,724</w:t>
            </w:r>
          </w:p>
        </w:tc>
        <w:tc>
          <w:tcPr>
            <w:tcW w:w="30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701,563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line="296" w:lineRule="exact"/>
              <w:rPr>
                <w:sz w:val="20"/>
                <w:szCs w:val="20"/>
                <w:color w:val="auto"/>
              </w:rPr>
            </w:pPr>
            <w:r>
              <w:rPr>
                <w:rFonts w:ascii="Times New Roman" w:cs="Times New Roman" w:eastAsia="Times New Roman" w:hAnsi="Times New Roman"/>
                <w:sz w:val="18"/>
                <w:szCs w:val="18"/>
                <w:color w:val="auto"/>
              </w:rPr>
              <w:t xml:space="preserve">Weighted average common shares outstanding – diluted </w:t>
            </w:r>
            <w:r>
              <w:rPr>
                <w:rFonts w:ascii="Times New Roman" w:cs="Times New Roman" w:eastAsia="Times New Roman" w:hAnsi="Times New Roman"/>
                <w:sz w:val="29"/>
                <w:szCs w:val="29"/>
                <w:color w:val="auto"/>
                <w:vertAlign w:val="superscript"/>
              </w:rPr>
              <w:t>(1)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1,965,425</w:t>
            </w:r>
          </w:p>
        </w:tc>
        <w:tc>
          <w:tcPr>
            <w:tcW w:w="280" w:type="dxa"/>
            <w:vAlign w:val="bottom"/>
          </w:tcPr>
          <w:p>
            <w:pPr>
              <w:spacing w:after="0"/>
              <w:rPr>
                <w:sz w:val="22"/>
                <w:szCs w:val="22"/>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940,953</w:t>
            </w:r>
          </w:p>
        </w:tc>
        <w:tc>
          <w:tcPr>
            <w:tcW w:w="240" w:type="dxa"/>
            <w:vAlign w:val="bottom"/>
          </w:tcPr>
          <w:p>
            <w:pPr>
              <w:spacing w:after="0"/>
              <w:rPr>
                <w:sz w:val="22"/>
                <w:szCs w:val="22"/>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1,958,724</w:t>
            </w: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1,696,069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retroactively reflect the 1-for-15 reverse stock split on October 8, 2024. Additional information regarding reverse stock splits may be found in Note 1 – Overview, Basis of Presentation, and Significant Accounting Policies, included in the notes to the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sales of hemp-derived THC products and related party royalty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from continuing operations for the three and six 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Hemp-derived products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70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w:t>
            </w:r>
          </w:p>
        </w:tc>
        <w:tc>
          <w:tcPr>
            <w:tcW w:w="68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23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2,042</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2,042</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2,580</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2,580</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
        </w:trPr>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increased by $1.8 million for the three months ended June 30, 2025, as compared to the same period in 2024. The comparative increase in revenue was primarily driven by the acquisition of Señorita in December 2024 and the acquisition of MC Brands in May 2025 and all revenue from the Cultivation Business and Extraction Business for the three months ended June 30, 2024 being presented as part of discontinued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109" w:gutter="0" w:footer="0" w:header="0"/>
        </w:sectPr>
      </w:pPr>
    </w:p>
    <w:bookmarkStart w:id="40" w:name="page41"/>
    <w:bookmarkEnd w:id="4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increased by $2.6 million for the six months ended June 30, 2025, as compared to the same period in 2024. The comparative increase in revenue was primarily driven by the acquisition of Señorita in December 2024 and the acquisition of MC Brands in May 2025 and all revenue from the Cultivation Business and Extraction Business for the six months ended June 30, 2024 being presented as part of discontinued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goods sold represents costs associated with the hemp-derived products sales.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cost of goods sold from continuing operations for the three and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9"/>
        </w:trPr>
        <w:tc>
          <w:tcPr>
            <w:tcW w:w="2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Hemp-derived products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 of goods sold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1,360</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1,360</w:t>
            </w: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1,808</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1,808</w:t>
            </w:r>
          </w:p>
        </w:tc>
        <w:tc>
          <w:tcPr>
            <w:tcW w:w="10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93"/>
        <w:spacing w:after="0" w:line="282" w:lineRule="auto"/>
        <w:rPr>
          <w:sz w:val="20"/>
          <w:szCs w:val="20"/>
          <w:color w:val="auto"/>
        </w:rPr>
      </w:pPr>
      <w:r>
        <w:rPr>
          <w:rFonts w:ascii="Times New Roman" w:cs="Times New Roman" w:eastAsia="Times New Roman" w:hAnsi="Times New Roman"/>
          <w:sz w:val="18"/>
          <w:szCs w:val="18"/>
          <w:color w:val="auto"/>
        </w:rPr>
        <w:t>Cost of goods sold increased by $1.4 million for the three months ended June 30, 2025 compared to the same period in 2024. The comparative increase in cost of goods sold is associated with the acquisition of Señorita in December 2024, which aligns with the increase in revenue.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increased by $1.8 million for the six months ended June 30, 2025 compared to the same period in 2024. The comparative increase in cost of goods sold is associated with acquisition of Señorita in December 2024, which aligns with the increase in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682</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0"/>
              </w:rPr>
              <w:t>N/A</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totaled $682 thousand, or 33.4% of total revenue during the three months ended June 30,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totaled $772 thousand, or 29.9% of total revenue during the six months ended June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8"/>
        </w:trPr>
        <w:tc>
          <w:tcPr>
            <w:tcW w:w="2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34"/>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6,803</w:t>
            </w:r>
          </w:p>
        </w:tc>
        <w:tc>
          <w:tcPr>
            <w:tcW w:w="1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1005%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9,042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principally of salaries and related costs for personnel, including stock-based compensation and travel expenses, associated with executive and other administrative functions. Other SG&amp;A expenses include, but are not limited to, professional fees for legal, consulting, depreciation and amortization and accounting services, as well as facility-related costs.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SG&amp;A expense increased by $6.8 million, or 1005%, for the three months ended June 30, 2025, compared to the same period in 2024. The comparative change is primarily attributable to sales and marketing expense to support the growth of the hemp-derived THC products in addition to the SG&amp;A expense from the Cultivation Business and Extraction Business for the three months ended June 30, 2024 being presented as part of discontinued operations.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SG&amp;A expense increased by $9.0 million, or 406%, for the six months ended June 30, 2025, compared to the same period in 2024. The comparative change is primarily attributable to sales and marketing expense to support the growth of the hemp-derived THC products in addition to the SG&amp;A expense from the Cultivation Business and Extraction Business for the six months ended June 30, 2024 being presented as part of discontinued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$185 thousand, or 100% for the three months ended June 30, 2025, compared to the same period in 2024. The decrease is attributable to the reduction in personnel resulting from the discontinuation of Extraction Business.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$460 thousand, or 100% for the six months ended June 30, 2025, compared to the same period in 2024. The decrease is attributable to the reduction in personnel resulting from the discontinuation of Extraction Business.</w:t>
      </w:r>
    </w:p>
    <w:p>
      <w:pPr>
        <w:sectPr>
          <w:pgSz w:w="11900" w:h="16838" w:orient="portrait"/>
          <w:cols w:equalWidth="0" w:num="1">
            <w:col w:w="11240"/>
          </w:cols>
          <w:pgMar w:left="320" w:top="873"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0" w:lineRule="exact"/>
        <w:rPr>
          <w:sz w:val="20"/>
          <w:szCs w:val="20"/>
          <w:color w:val="auto"/>
        </w:rPr>
      </w:pPr>
    </w:p>
    <w:p>
      <w:pPr>
        <w:jc w:val="center"/>
        <w:ind w:right="380"/>
        <w:spacing w:after="0" w:line="257" w:lineRule="auto"/>
        <w:rPr>
          <w:sz w:val="20"/>
          <w:szCs w:val="20"/>
          <w:color w:val="auto"/>
        </w:rPr>
      </w:pPr>
      <w:r>
        <w:rPr>
          <w:rFonts w:ascii="Times New Roman" w:cs="Times New Roman" w:eastAsia="Times New Roman" w:hAnsi="Times New Roman"/>
          <w:sz w:val="18"/>
          <w:szCs w:val="18"/>
          <w:color w:val="auto"/>
        </w:rPr>
        <w:t>Interest expense, net Change in fair value of warrant liabilities</w:t>
      </w:r>
    </w:p>
    <w:p>
      <w:pPr>
        <w:spacing w:after="0" w:line="1" w:lineRule="exact"/>
        <w:rPr>
          <w:sz w:val="20"/>
          <w:szCs w:val="20"/>
          <w:color w:val="auto"/>
        </w:rPr>
      </w:pPr>
    </w:p>
    <w:p>
      <w:pPr>
        <w:ind w:left="180" w:hanging="161"/>
        <w:spacing w:after="0" w:line="266" w:lineRule="auto"/>
        <w:rPr>
          <w:sz w:val="20"/>
          <w:szCs w:val="20"/>
          <w:color w:val="auto"/>
        </w:rPr>
      </w:pPr>
      <w:r>
        <w:rPr>
          <w:rFonts w:ascii="Times New Roman" w:cs="Times New Roman" w:eastAsia="Times New Roman" w:hAnsi="Times New Roman"/>
          <w:sz w:val="18"/>
          <w:szCs w:val="18"/>
          <w:color w:val="auto"/>
        </w:rPr>
        <w:t>Other (expense) income, net Total other (expense)</w:t>
      </w:r>
    </w:p>
    <w:p>
      <w:pPr>
        <w:ind w:left="340"/>
        <w:spacing w:after="0"/>
        <w:rPr>
          <w:sz w:val="20"/>
          <w:szCs w:val="20"/>
          <w:color w:val="auto"/>
        </w:rPr>
      </w:pPr>
      <w:r>
        <w:rPr>
          <w:rFonts w:ascii="Times New Roman" w:cs="Times New Roman" w:eastAsia="Times New Roman" w:hAnsi="Times New Roman"/>
          <w:sz w:val="18"/>
          <w:szCs w:val="18"/>
          <w:color w:val="auto"/>
        </w:rPr>
        <w:t>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gridSpan w:val="3"/>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20"/>
                <w:szCs w:val="20"/>
                <w:color w:val="auto"/>
              </w:rPr>
            </w:pPr>
          </w:p>
        </w:tc>
        <w:tc>
          <w:tcPr>
            <w:tcW w:w="11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r>
      <w:tr>
        <w:trPr>
          <w:trHeight w:val="39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(1,277)</w:t>
            </w: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8"/>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200" w:type="dxa"/>
            <w:vAlign w:val="bottom"/>
            <w:gridSpan w:val="2"/>
          </w:tcPr>
          <w:p>
            <w:pPr>
              <w:spacing w:after="0"/>
              <w:rPr>
                <w:sz w:val="2"/>
                <w:szCs w:val="2"/>
                <w:color w:val="auto"/>
              </w:rPr>
            </w:pPr>
          </w:p>
        </w:tc>
      </w:tr>
      <w:tr>
        <w:trPr>
          <w:trHeight w:val="466"/>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-496570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-925195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040" w:space="240"/>
            <w:col w:w="8960"/>
          </w:cols>
          <w:pgMar w:left="320" w:top="873" w:right="33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net was $291 thousand for the three months ended June 30, 2025, compared to interest expense, net of $28 thousand for the three months ended June 30, 2024. The change is attributable mainly to the increase of $40.0 million principal under the Convertible Notes.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net was $290 thousand for the six months ended June 30, 2025, compared to interest expense, net of $128 thousand for the six months ended June 30, 2024. The change is attributable mainly to the increase of $40.0 million principal under the Convertible Notes.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decreased by $1.2 million, or 91% during the three months ended June 30, 2025, compared to the same period in 2024. The decrease is primarily related to the fair value remeasurement of warrants.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decreased by $696 thousand, or 172% during the six months ended June 30, 2025, compared to the same period in 2024. The decrease is primarily related to the fair value remeasurement of warrants.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was $1 thousand for the three months ended June 30, 2025, compared to none for the same period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was $18 thousand for the six months ended June 30, 2025, compared to none for the same period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income tax expense or benefit for the three months ended June 30, 2025 and June 30,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income tax expense or benefit for the six months ended June 30, 2025 and June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2025, our principal sources of liquidity were cash and cash equivalents and marketable securities totaling $41.0 million. Our current working capital needs are to support revenue growth and manage inventory to meet demand forecasts and support operational growth. Our long-term financial needs primarily include working capital requirements.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our growth strategies, we may opportunistically raise debt capital and raise cash from the issuance of our securities, subject to market and other conditions.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5, 2024, we issued a secured convertible note (the “November 2024 Note”) to RSLGH, LLC (“RSLGH”), a subsidiary of Green Thumb. The November 2024 Note is a secured obligation and ranks senior to all of our indebtedness except for the May 2025 Notes (as defined below), which rank on parity with the November 2024 Note. The November 2024 Note will mature on November 5, 2025 and has a 10.0% annualized interest rate. The principal amount of the November 2024 Note will be payable on the maturity date. The November 2024 Note provides for advances of up to $20 million in the aggregate, of which $10 million was advanced upon issuance. The November 2024 Note was amended on May 8, 2025 to issue pre-funded warrants in lieu of cash interest with 18,614 pre-funded warrants issued on May 8, 2025 and an additional 11,373 pre-funded warrants to be issued on September 1, 2025, which were issued in lieu of the cash interest that would otherwise be payable under the November 2024 Note. The number of pre-funded warrants is equal to the cash interest amount otherwise payable on the November 2024 Note divided by the closing share price on May 8, 2025, which is the effective date of the amendment. No changes were made to the conversion price of the principal amount of the November 2024 Note. On May 22, 2025, we and RSLGH entered into a second amendment to the November 2024 Note, which amended the terms to, among other things, permit RSLGH to elect, subject to any required approvals under Nasdaq listing rules, to receive pre-funded warrants in lieu of shares of Common Stock upon conversion of the November 2024 Note at a conversion price equal to the existing conversion price of $3.158 less the $0.001 exercise price of each pre-funded warrant.</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22, 2025, we issued secured convertible notes with an aggregate original principal amount of $30.0 million (collectively the “May 2025 Notes”) to RSLGH and to certain other third-party accredited investors. The May 2025 Notes are secured obligations and rank senior to all of our indebtedness except for the November 2024 Note, which ranks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six months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(15,138)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(5,075)</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29,999</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explains the major components contributing to the net cash flows from operating, investing, and financing activities for the six months ended June 30, 2025 and 2024, as summarized in the table above. Each section below provides details on the key drivers of the cash inflows and outflows for the respective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our operating cash flows included a net loss of $9.0 million, which included $735 thousand related to depreciation and amortization, $1.1 million of stock-based compensation expense, $292 thousand gain related to the change in fair value of warrant liabilities, and $3.5 million gain on disposal of Extraction business. Net cash was decreased by changes in operating assets and liabilities of $4.6 million.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we had net income of $1.3 million, which included $782 thousand related to depreciation and amortization, $571 thousand of stock-based compensation expense, $404 thousand loss related to the change in fair value of warrant liabilities, $2.2 million gain from change in contingent consideration, and $5.9 million gain on settlement of contingent liability. Net cash was increased by changes in operating assets and liabilities of $782 thousand.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net cash used in investing activities was $5.1 million, which primarily resulted from the related party acquisition of MC Brands.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provided in investing activities was $336 thousand, which primarily resulted from $330 thousand in proceeds from the repayment of a loan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net cash provided by financing activities was $30.0 million, which resulted from proceeds from May 2025 Notes.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financing activities was $4.1 million, primarily driven by proceeds from the issuance of common stock and warrants of $2.1 million and proceeds from the issuance of related party notes of 2.3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 I, Item, 2, “Management’s Discussion and Analysis of Financial Condition and Results of Operations” discusses our unaudited condensed consolidated financial statements, which have been prepared in accordance with U.S. GAAP. The preparation of these unaudited condensed consolidated financial statements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 Actual results may differ from these estimates under different assumptions or conditions.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intangible assets, revenue recognition and cost of goods sold.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and estimates that have been adopted and followed in the preparation of our condensed consolidated financial statements are detailed in Note 1 - Overview, Basis of Presentation and Significant Accounting Policies included in the Form 10-K and Note 1 - Overview, Basis of Presentation and Significant Accounting Policies to our unaudited condensed consolidated financial statements in Part I, Item 1 of this Quarterly Report. There have been no changes in these policies and estimates that had a significant impact on the financial condition and results of operations for the periods covered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are included within Note 1 - Overview, Basis of Presentation and Significant Accounting Policies, included elsewhere in the notes to unaudited condensed consolidated financial statements covered under Part I, Item 1 of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are included within Note 1 - Overview, Basis of Presentation and Significant Accounting Policies, included elsewhere in the notes to unaudited condensed consolidated financial statements covered under Part I, Item 1 in this Quarterly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17 C.F.R. § 229.10, we are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Interim Chief Executive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Interim Chief Executive Officer and our Chief Financial Officer carried out an evaluation of the effectiveness of the design and operation of our disclosure controls and procedures as of June 30, 2025. Based on this evaluation, our Interim Chief Executive Officer and our Chief Financial Officer concluded that, due to the material weaknesses in our internal control over financial reporting previously identified in Item 9A, “Controls and Procedures” of our Annual Report on Form 10-K for the fiscal year ended December 31, 2024 and filed with the SEC on March 21, 2025, as amended on March 28, 2025, our disclosure controls and procedures were not effective at the reasonable assurance level as of June 30, 2025.</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Management, with the oversight of the Audit Committee of our Board of Directors, continue to focus on remediating the material weaknesses identified in the design and operation of our internal control over financial reporting, including adding additional qualified personnel, further documentation and implementation of control procedures and the implementation of control monitoring. While we have begun the process of implementing measures which we believe will remediate the underlying cause of these material weaknesses, there can be no assurance as to when the remediation plan will be fully developed and implemented and whether such measures will be effective. Until our remediation plan is fully implemented and effective, we will continue to devote time, attention and financial resources to this effort.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those measures intended to remediate the material weaknesses noted above, there have been no changes in our internal control over financial reporting (as such term is defined in Rules 13a-15(f) and 15d-15(f) under the Exchange Act) during the quarter ended June 30, 2025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legal proceedings, see the discussion under the caption Legal Proceedings in Note 16 - Commitments and Contingencies to our unaudited condensed consolidated financial statements included in Part I, Item 1 of this Quarterly Report, which information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Quarterly Report, there are no material changes to our risk factors as previously disclosed in Part I, Item 1A of the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officers or directors, as defined in Rule 16a-1(f), adopted, modified or terminated a Rule 10b5-1 trading arrangement or a non-Rule 10b5-1 trading arrangement as defined in item 408 of Regulation S-K, during the three months ended June 30,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Amendment and Waiver to Secured Convertible Note, dated as of May 8, 2025 (incorporated by reference to Exhibit 4.1 to the Company’s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Quarterly Report on Form 10-Q filed with the Securities and Exchange Commission on May 9, 2025).</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Pre-Funded Common Stock Purchase Warrant, dated as of May 8, 2025 (incorporated by reference to Exhibit  4.</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Company’s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Quarterly Report on Form 10-Q filed with the Securities and Exchange Commission on May 9, 2025).</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Pre-Funded Common Stock Purchase Warrant (incorporated by reference to Exhibit 4.1 to the Company’s Current Report on Form</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4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8-K filed with the Securities and Exchange Commission on May 22, 2025).</w:t>
              </w:r>
            </w:hyperlink>
          </w:p>
        </w:tc>
        <w:tc>
          <w:tcPr>
            <w:tcW w:w="4660" w:type="dxa"/>
            <w:vAlign w:val="bottom"/>
            <w:tcBorders>
              <w:bottom w:val="single" w:sz="8" w:color="CCEEFF"/>
            </w:tcBorders>
            <w:gridSpan w:val="8"/>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of Secured Convertible Note dated May 22, 2025 (incorporated by reference to Exhibit  4.</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Company’s Current Report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Form 8-K filed with the Securities and Exchange Commission on May 22,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Second Amendment, dated May 22, 2025, to Secured Convertible Note issued on November 5, 2024 (incorporated by reference to Exhibit</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Company’s Current Report on Form 8-K filed with the Securities and Exchange Commission on May 22, 2025).</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Purchase Agreement, dated May 20, 2025, by and between VCP IP Holdings, LLC and Agrify Corporation (incorporated by reference to</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Exhibit 10.1 to the Company’s Current Report on Form 8-K filed with the Securities and Exchange Commission on May 22,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Trademark and Recipe License Agreement, dated May 20, 2025, by and between MC Brands LLC and GTI Core, LLC (incorporated by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reference to Exhibit 10.2 to the Company’s Current Report on Form 8-K filed with the Securities and Exchange Commission on May 22,</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2025).</w:t>
              </w:r>
            </w:hyperlink>
          </w:p>
        </w:tc>
        <w:tc>
          <w:tcPr>
            <w:tcW w:w="7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15"/>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Trademark and Recipe License Agreement, dated May 20, 2025, by and between For Success Holding Company and Core Growth, LLC</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(incorporated by reference to Exhibit 10.3 to the Company’s Current Report on Form 8-K filed with the Securities and Exchange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Commission on May 22, 2025).</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Trademark and Recipe License Agreement, dated May 20, 2025, by and between VCP IP Holdings, LLC and Core Growth, LLC</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(incorporated by reference to Exhibit 10.4 to the Company’s Current Report on Form 8-K filed with the Securities and Exchange</w:t>
              </w:r>
            </w:hyperlink>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Commission on May 22, 2025).</w:t>
              </w:r>
            </w:hyperlink>
          </w:p>
        </w:tc>
        <w:tc>
          <w:tcPr>
            <w:tcW w:w="7800" w:type="dxa"/>
            <w:vAlign w:val="bottom"/>
            <w:tcBorders>
              <w:bottom w:val="single" w:sz="8" w:color="CCEEFF"/>
            </w:tcBorders>
            <w:gridSpan w:val="13"/>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Amended and Restated Shared Services Agreement, dated May 20, 2025, by and between Vision Management Services, LLC and Agrify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5"/>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Corporation  (incorporated by reference to Exhibit 10.5 to the Company’s Current Report on Form 8-K filed with the Securities and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Exchange Commission on May 22, 2025).</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Agrify 2022 Omnibus Equity Incentive Plan, (incorporated by reference to Appendix A to the Company’s Definitive Proxy Statement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22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Schedule 14A filed with the Securities and Exchange Commission on April 30, 2025).</w:t>
              </w:r>
            </w:hyperlink>
          </w:p>
        </w:tc>
        <w:tc>
          <w:tcPr>
            <w:tcW w:w="3880" w:type="dxa"/>
            <w:vAlign w:val="bottom"/>
            <w:tcBorders>
              <w:bottom w:val="single" w:sz="8" w:color="CCEEFF"/>
            </w:tcBorders>
            <w:gridSpan w:val="6"/>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Purchase Agreement, dated June 30, 2025, by and between Agrify Corporation and VCP IP Holdings, LLC.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Rule 13(a)-14(a)/15(d)-14(a) Certification of principal executive officer</w:t>
            </w:r>
          </w:p>
        </w:tc>
        <w:tc>
          <w:tcPr>
            <w:tcW w:w="4920" w:type="dxa"/>
            <w:vAlign w:val="bottom"/>
            <w:tcBorders>
              <w:bottom w:val="single" w:sz="8" w:color="CCEEFF"/>
            </w:tcBorders>
            <w:gridSpan w:val="9"/>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principal financial and accounting officer</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Section 1350 Certification of principal executive officer</w:t>
            </w:r>
          </w:p>
        </w:tc>
        <w:tc>
          <w:tcPr>
            <w:tcW w:w="6060" w:type="dxa"/>
            <w:vAlign w:val="bottom"/>
            <w:tcBorders>
              <w:bottom w:val="single" w:sz="8" w:color="CCEEFF"/>
            </w:tcBorders>
            <w:gridSpan w:val="11"/>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101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of principal financial and accounting officer</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20" w:firstLine="8"/>
        <w:spacing w:after="0" w:line="489" w:lineRule="auto"/>
        <w:tabs>
          <w:tab w:leader="none" w:pos="11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in accordance with Item 601 (b)(32) of Regulation S-K.</w:t>
      </w:r>
    </w:p>
    <w:p>
      <w:pPr>
        <w:spacing w:after="0" w:line="225" w:lineRule="exact"/>
        <w:rPr>
          <w:sz w:val="20"/>
          <w:szCs w:val="20"/>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AMENDED AND RESTATED PURCHASE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VCP IP HOLDINGS,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Dated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883285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PURCHASE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AMENDED AND RESTATED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June 30, 2025, is made by and between VCP IP HOLDINGS, LLC, a Delaware limited liability company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AGRIFY CORPORATION, a Nevada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Seller and Purchaser are sometimes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Parties entered into a Purchase Agreement (the “</w:t>
      </w:r>
      <w:r>
        <w:rPr>
          <w:rFonts w:ascii="Times New Roman" w:cs="Times New Roman" w:eastAsia="Times New Roman" w:hAnsi="Times New Roman"/>
          <w:sz w:val="18"/>
          <w:szCs w:val="18"/>
          <w:b w:val="1"/>
          <w:bCs w:val="1"/>
          <w:color w:val="auto"/>
        </w:rPr>
        <w:t>Original Agreement</w:t>
      </w:r>
      <w:r>
        <w:rPr>
          <w:rFonts w:ascii="Times New Roman" w:cs="Times New Roman" w:eastAsia="Times New Roman" w:hAnsi="Times New Roman"/>
          <w:sz w:val="18"/>
          <w:szCs w:val="18"/>
          <w:color w:val="auto"/>
        </w:rPr>
        <w:t>”) on May 20, 2025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 MC Brands LLC, a Colorado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direct wholly owned subsidiary, Core Growth, LLC, a Delaware limited liability company (“</w:t>
      </w:r>
      <w:r>
        <w:rPr>
          <w:rFonts w:ascii="Times New Roman" w:cs="Times New Roman" w:eastAsia="Times New Roman" w:hAnsi="Times New Roman"/>
          <w:sz w:val="18"/>
          <w:szCs w:val="18"/>
          <w:b w:val="1"/>
          <w:bCs w:val="1"/>
          <w:color w:val="auto"/>
        </w:rPr>
        <w:t>Core Growth</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color w:val="auto"/>
        </w:rPr>
        <w:t>Acquired Companies</w:t>
      </w:r>
      <w:r>
        <w:rPr>
          <w:rFonts w:ascii="Times New Roman" w:cs="Times New Roman" w:eastAsia="Times New Roman" w:hAnsi="Times New Roman"/>
          <w:sz w:val="18"/>
          <w:szCs w:val="18"/>
          <w:color w:val="auto"/>
        </w:rPr>
        <w:t xml:space="preserve">”), were, immediately prior to the Closing Date, engaged in the business of (i) owning Intellectual Property (as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and licensing it to (a) state-licensed cannabis businesses that manufacture, distribute, market, and sell cannabis and (b) businesses that manufacture, distribute, market, and sell hemp products that are compliant with the Agriculture Improvement Act of 2018 (the “</w:t>
      </w:r>
      <w:r>
        <w:rPr>
          <w:rFonts w:ascii="Times New Roman" w:cs="Times New Roman" w:eastAsia="Times New Roman" w:hAnsi="Times New Roman"/>
          <w:sz w:val="18"/>
          <w:szCs w:val="18"/>
          <w:b w:val="1"/>
          <w:bCs w:val="1"/>
          <w:color w:val="auto"/>
        </w:rPr>
        <w:t>Farm Bill</w:t>
      </w:r>
      <w:r>
        <w:rPr>
          <w:rFonts w:ascii="Times New Roman" w:cs="Times New Roman" w:eastAsia="Times New Roman" w:hAnsi="Times New Roman"/>
          <w:sz w:val="18"/>
          <w:szCs w:val="18"/>
          <w:color w:val="auto"/>
        </w:rPr>
        <w:t>”) and (ii) manufacturing, distributing, marketing, and selling hemp products that are compliant with the Farm Bill, in each case, within the United States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C. Immediately prior to the Closing (as defined below), Seller owned 100% of the Company’s membership interests (the “</w:t>
      </w:r>
      <w:r>
        <w:rPr>
          <w:rFonts w:ascii="Times New Roman" w:cs="Times New Roman" w:eastAsia="Times New Roman" w:hAnsi="Times New Roman"/>
          <w:sz w:val="18"/>
          <w:szCs w:val="18"/>
          <w:b w:val="1"/>
          <w:bCs w:val="1"/>
          <w:color w:val="auto"/>
        </w:rPr>
        <w:t>Membership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Immediately prior to the Closing, the Company owned 100% of the membership interests of Core Growth.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Seller desires to transfer, assign, and sell the Membership Interests to Purchaser in exchange for payment of the Purchase Price (defined herein), and Purchaser desires to accept such transfer and to pay the Purchase Price, on the terms and subject to the conditions contained in this Agreement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The Parties consummated the Closing on the Closing Date.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The Parties desire to amend and restate the Original Agreement to revise the circumstances under which the Call Option and the Put Option (each as defined below) may be exercised, and the modify the transfer restriction provisions applicable to Purchaser pursuant to Section 6.8.</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for good and valuable consideration, the receipt and sufficiency of which is hereby acknowledged, the Parties,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The following terms have the meanings specified or referred to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Documents</w:t>
      </w:r>
      <w:r>
        <w:rPr>
          <w:rFonts w:ascii="Times New Roman" w:cs="Times New Roman" w:eastAsia="Times New Roman" w:hAnsi="Times New Roman"/>
          <w:sz w:val="18"/>
          <w:szCs w:val="18"/>
          <w:color w:val="auto"/>
        </w:rPr>
        <w:t>” means the agreements, documents, instruments, or certificates delivered or required to be delivered by any party at the Closing pursuant to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color w:val="auto"/>
        </w:rPr>
        <w:t>” means any day on which commercial banks located in Chicago, Illinois are open for the conduct of ordinary banking business.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Working Capital</w:t>
      </w:r>
      <w:r>
        <w:rPr>
          <w:rFonts w:ascii="Times New Roman" w:cs="Times New Roman" w:eastAsia="Times New Roman" w:hAnsi="Times New Roman"/>
          <w:sz w:val="18"/>
          <w:szCs w:val="18"/>
          <w:color w:val="auto"/>
        </w:rPr>
        <w:t>” means: (i) the Current Assets of Core Growth, less (ii) the Current Liabilities of Core Growth, determined as of the open of business on the Closing Date, as calculated in the Closing Working Capital Statement.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Working Capital Target</w:t>
      </w:r>
      <w:r>
        <w:rPr>
          <w:rFonts w:ascii="Times New Roman" w:cs="Times New Roman" w:eastAsia="Times New Roman" w:hAnsi="Times New Roman"/>
          <w:sz w:val="18"/>
          <w:szCs w:val="18"/>
          <w:color w:val="auto"/>
        </w:rPr>
        <w:t>” means $1,000.</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Agreements</w:t>
      </w:r>
      <w:r>
        <w:rPr>
          <w:rFonts w:ascii="Times New Roman" w:cs="Times New Roman" w:eastAsia="Times New Roman" w:hAnsi="Times New Roman"/>
          <w:sz w:val="18"/>
          <w:szCs w:val="18"/>
          <w:color w:val="auto"/>
        </w:rPr>
        <w:t>” means all licenses, sublicenses, consent to use agreements, settlements, coexistence agreements, covenants not to sue, waivers, releases, permissions and other Contracts, whether written or oral, relating to material Company Intellectual Property to which any Acquired Company is a party, beneficiary or otherwise bound.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IP Registrations</w:t>
      </w:r>
      <w:r>
        <w:rPr>
          <w:rFonts w:ascii="Times New Roman" w:cs="Times New Roman" w:eastAsia="Times New Roman" w:hAnsi="Times New Roman"/>
          <w:sz w:val="18"/>
          <w:szCs w:val="18"/>
          <w:color w:val="auto"/>
        </w:rPr>
        <w:t>” means all Company Intellectual Property that is subject to any issuance, registration or application by or with any Governmental Authority or authorized private registrar in any jurisdiction, including issued patents, registered trademarks, and copyrights, and pending applications for any of the foregoing.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written agreement, contract, lease, consensual obligation, promise or undertaking.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copyrights and works of authorship, whether or not copyrightable, and all registrations, applications for registration, and renewals of any of the foregoing.</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Assets</w:t>
      </w:r>
      <w:r>
        <w:rPr>
          <w:rFonts w:ascii="Times New Roman" w:cs="Times New Roman" w:eastAsia="Times New Roman" w:hAnsi="Times New Roman"/>
          <w:sz w:val="18"/>
          <w:szCs w:val="18"/>
          <w:color w:val="auto"/>
        </w:rPr>
        <w:t>” means cash and cash equivalents, accounts receivable, inventory and prepaid expenses, but excluding deferred Tax assets, each determined in accordance with GAAP using the same accounting methods, practices, principles, policies, and procedures, with consistent classifications, judgments, and valuation and estimation methodologies that were used in the preparation of the Financial Statements for the most recent fiscal year end as if such accounts were being prepared as of a fiscal year end.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Liabilities</w:t>
      </w:r>
      <w:r>
        <w:rPr>
          <w:rFonts w:ascii="Times New Roman" w:cs="Times New Roman" w:eastAsia="Times New Roman" w:hAnsi="Times New Roman"/>
          <w:sz w:val="18"/>
          <w:szCs w:val="18"/>
          <w:color w:val="auto"/>
        </w:rPr>
        <w:t>” means accounts payable and accrued expenses, but excluding deferred Tax liabilities and the current portion of any Indebtedness, each determined in accordance with GAAP applied using the same accounting methods, practices, principles, policies, and procedures, with consistent classifications, judgments, and valuation and estimation methodologies that were used in the preparation of the Financial Statements for the most recent fiscal year end as if such accounts were being prepared as of a fiscal year end.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 or $</w:t>
      </w:r>
      <w:r>
        <w:rPr>
          <w:rFonts w:ascii="Times New Roman" w:cs="Times New Roman" w:eastAsia="Times New Roman" w:hAnsi="Times New Roman"/>
          <w:sz w:val="18"/>
          <w:szCs w:val="18"/>
          <w:color w:val="auto"/>
        </w:rPr>
        <w:t>” means the lawful currency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Federal Cannabis Laws</w:t>
      </w:r>
      <w:r>
        <w:rPr>
          <w:rFonts w:ascii="Times New Roman" w:cs="Times New Roman" w:eastAsia="Times New Roman" w:hAnsi="Times New Roman"/>
          <w:sz w:val="17"/>
          <w:szCs w:val="17"/>
          <w:color w:val="auto"/>
        </w:rPr>
        <w:t>” means federal laws of the United States that make illegal the manufacture, possession, sale, or distribution of cannabis.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means the unaudited balance sheets for Core Growth as of December 31, 2024 and as of March 31, 2025.</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Flow-Through Tax Return</w:t>
      </w:r>
      <w:r>
        <w:rPr>
          <w:rFonts w:ascii="Times New Roman" w:cs="Times New Roman" w:eastAsia="Times New Roman" w:hAnsi="Times New Roman"/>
          <w:sz w:val="18"/>
          <w:szCs w:val="18"/>
          <w:color w:val="auto"/>
        </w:rPr>
        <w:t>” means any income Tax Return (such as IRS Form 1065 and associated Schedules K-1 and corresponding state and local Tax Returns) for a Tax period ending on or before the Closing Date (not including a Straddle Period) that allocates income or Taxes to its owners and does not reflect or concern federal income Taxes that are imposed on the entity itself for which the Tax Return is filed.</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means an act in the making of a specific representation or warranty expressly set forth herein, committed by the Person making such express representation or warranty, with specific intent to deceive the Person(s) to whom the representation or warranty is made hereunder, and to induce such Person(s) to enter into and perform its obligations under this Agreement and requires: (a) a false representation of material fact expressly set forth in the representations and warranties set forth in this Agreement; (b) actual knowledge that such representation is false; (c) an intention to induce the Person(s) to whom the representation or warranty is made to act or refrain from acting in reliance upon it; (d) causing the Person(s) to whom the representation or warranty is made, in justifiable reliance upon such false representation to take or refrain from taking action; and (e) causing the Person(s) to whom the representation or warranty is made to suffer material damage by reason of such reliance.</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order, writ, judgment, injunction, decree, stipulation, determination or award entered by or with any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the Acquired Companies, all indebtedness for borrowed money.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(a) Patents, (b) Trademarks, (c) Trade Names, (d) know- how, (e) Copyrights, inventions, (f) Trade Secrets, (g) service marks, (h) recipes, and (i) all other intellectual property rights, and, in each case, all goodwill associated therewith or related thereto, and together with all causes of action (in law or equity), claims, demands and any other rights for, or arising from any past, present or future infringement thereof. Notwithstanding the foregoing, Intellectual Property shall exclude (i) internet domain names, social media account or user names, and all associated web addresses, URLs, websites and web pages and all content and data thereon or relating thereto, whether or not Copyrights, and (ii) historic sales, production, and marketing data with respect to the Acquired Companies’ products, it being understood, in each case, that any such intellectual property related to the Acquired Companies’ products and Trademarks are owned (and shall be retained) by Green Thumb Industries Inc. or its Affiliates.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means with respect to any Person, any liability or obligation of such Person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any event, occurrence, fact, condition or change that is materially adverse to (a) the business, results of operations, financial condition or assets of the Acquired Companies, or (b) the ability of Seller to consummate the transactions contemplated hereby;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“Material Adverse Effect” shall not include any event, occurrence, fact, condition or change, directly or indirectly, arising out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attributable to: (i) general economic or political conditions; (ii) conditions generally affecting the industries in which the Acquired Companies operate; (iii) any changes in financial, banking or securities markets in general, including any disruption thereof and any decline in the price of any security or any market index or any change in prevailing interest rates; (iv) acts of war (whether or not declared), armed hostilities or terrorism, or the escalation or worsening thereof; (v) any action required or permitted by this Agreement or any action taken (or omitted to be taken) with the written consent of or at the written request of Purchaser; (vi) any changes in applicable Laws or accounting rules (including GAAP) or the enforcement, implementation or interpretation thereof; (vii) the announcement, pendency or completion of the transactions contemplated by this Agreement, including losses or threatened losses of employees, customers, suppliers, distributors or others having relationships with the Acquired Companies; (viii) any natural or man-made disaster or acts of God; (ix) any epidemics, pandemics, disease outbreaks, or other public health emergencies; or (x) any failure by the Acquired Companies to meet any internal or published projections, forecasts or revenue or earnings predictions (provided that the underlying causes of such failures (subject to the other provisions of this definition) shall not be excluded);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any event, occurrence, fact, condition or change referred to in clauses</w:t>
      </w:r>
    </w:p>
    <w:p>
      <w:pPr>
        <w:spacing w:after="0" w:line="5" w:lineRule="exact"/>
        <w:rPr>
          <w:sz w:val="20"/>
          <w:szCs w:val="20"/>
          <w:color w:val="auto"/>
        </w:rPr>
      </w:pPr>
    </w:p>
    <w:p>
      <w:pPr>
        <w:jc w:val="both"/>
        <w:ind w:firstLine="8"/>
        <w:spacing w:after="0" w:line="255" w:lineRule="auto"/>
        <w:tabs>
          <w:tab w:leader="none" w:pos="2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immediately above shall be taken into account in determining whether a Material Adverse Effect has occurred or could reasonably be expected to occur to the extent that such event, occurrence, fact, condition or change has a disproportionate effect on the Company compared to other participants in the industries in which the Company conducts its businesses.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issued patents and patent applications (whether provisional or non- 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permits, licenses, franchises, approvals, authorizations, registrations, certificates, variances and similar rights obtained, or required to be obtained, from Governmental Authorities.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liens for current Taxes, assessments, and other governmental charges not yet due and payable and (ii) Seller Affiliate Liens (but only to the extent that such Seller Affiliate Liens will be released at or promptly following the Closing).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association, partnership (general or limited), joint venture, trust, estate, limited liability company or other legal entity or organization.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 Period</w:t>
      </w:r>
      <w:r>
        <w:rPr>
          <w:rFonts w:ascii="Times New Roman" w:cs="Times New Roman" w:eastAsia="Times New Roman" w:hAnsi="Times New Roman"/>
          <w:sz w:val="18"/>
          <w:szCs w:val="18"/>
          <w:color w:val="auto"/>
        </w:rPr>
        <w:t>” means any taxable period ending on or before the Closing Date and, with respect to any Straddle Period, the portion of such taxable period ending on and including the Closing Date.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Taxes</w:t>
      </w:r>
      <w:r>
        <w:rPr>
          <w:rFonts w:ascii="Times New Roman" w:cs="Times New Roman" w:eastAsia="Times New Roman" w:hAnsi="Times New Roman"/>
          <w:sz w:val="18"/>
          <w:szCs w:val="18"/>
          <w:color w:val="auto"/>
        </w:rPr>
        <w:t xml:space="preserve">” means any Taxes (i) of the Acquired Companies for any Pre-Closing Tax Period, allocated in the case of Straddle Periods in accordance with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(ii) for which Seller is responsible pursuant to </w:t>
      </w:r>
      <w:r>
        <w:rPr>
          <w:rFonts w:ascii="Times New Roman" w:cs="Times New Roman" w:eastAsia="Times New Roman" w:hAnsi="Times New Roman"/>
          <w:sz w:val="18"/>
          <w:szCs w:val="18"/>
          <w:u w:val="single" w:color="auto"/>
          <w:color w:val="auto"/>
        </w:rPr>
        <w:t>Section 6.6(c)</w:t>
      </w:r>
      <w:r>
        <w:rPr>
          <w:rFonts w:ascii="Times New Roman" w:cs="Times New Roman" w:eastAsia="Times New Roman" w:hAnsi="Times New Roman"/>
          <w:sz w:val="18"/>
          <w:szCs w:val="18"/>
          <w:color w:val="auto"/>
        </w:rPr>
        <w:t>, and (iii) of Seller or any of its Affiliates (other than the Acquired Companies) for which the Acquired Companies are liable under Treasury Regulation Section 1.1502-6 (or under any similar provision of state, local or foreign Law), which Tax relates to a Pre-Closing Tax Period. “Pre-Closing Taxes” shall not include any Taxes (A) arising from actions taken by Purchaser on the Closing Date following the Closing that are outside of the ordinary course of business or (B) arising from any breach of the covenants in this Agreement by Purchaser.</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claim, action, arbitration, audit, hearing, investigation, litigation or suit (whether civil, criminal, administrative, judicial or investigative, whether formal or informal, whether public or private) commenced, brought, conducted or heard by or before, or otherwise involving, any Governmental Authority or arbitrator.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Knowledge of Seller</w:t>
      </w:r>
      <w:r>
        <w:rPr>
          <w:rFonts w:ascii="Times New Roman" w:cs="Times New Roman" w:eastAsia="Times New Roman" w:hAnsi="Times New Roman"/>
          <w:sz w:val="18"/>
          <w:szCs w:val="18"/>
          <w:color w:val="auto"/>
        </w:rPr>
        <w:t>” or similar phrases as used herein means the knowledge of Anthony Georgiadis and Dominic O’Brien, after reasonable inquiry.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“Seller Affiliate Liens</w:t>
      </w:r>
      <w:r>
        <w:rPr>
          <w:rFonts w:ascii="Times New Roman" w:cs="Times New Roman" w:eastAsia="Times New Roman" w:hAnsi="Times New Roman"/>
          <w:sz w:val="18"/>
          <w:szCs w:val="18"/>
          <w:color w:val="auto"/>
        </w:rPr>
        <w:t>” means Liens under credit facilities of Seller’s Affiliates that are in effect as of the Closing and that have been disclosed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trademarks, service marks, brand marks, Trade Names, and, in each case, registrations thereof, pending applications for registration thereof, and unregistered rights (including, with respect to the Acquired Companies, those used in the Business).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Names</w:t>
      </w:r>
      <w:r>
        <w:rPr>
          <w:rFonts w:ascii="Times New Roman" w:cs="Times New Roman" w:eastAsia="Times New Roman" w:hAnsi="Times New Roman"/>
          <w:sz w:val="18"/>
          <w:szCs w:val="18"/>
          <w:color w:val="auto"/>
        </w:rPr>
        <w:t>” means (i) trade names, (ii) brand names and (iii) logos and all other names and slogans.</w:t>
      </w:r>
    </w:p>
    <w:p>
      <w:pPr>
        <w:spacing w:after="0" w:line="225"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means trade secrets, know-how, inventions (whether or not patentable), discoveries, improvements, technology, business and technical information, databases, data compilations and collections, tools, and other confidential and proprietary information, in each case, to the extent primarily related to the Acquired Companies’ products or services, and all rights therein. Notwithstanding the foregoing, Trade Secrets shall exclude historic sales, production, and marketing data with respect to the Acquired Companies’ products, it being understood, in each case, that any such intellectual property related to the Acquired Companies’ products and Trademarks are owned (and shall be retained) by Green Thumb Industries Inc. or its Affiliates.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CONSIDERATION</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At the Closing, Seller shall contribute, assign, and transfer the Membership Interests to Purchaser, free and clear of all liens, claims, options, charges, security interests, pledges, mortgages or other encumbrances (collectively,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other than Permitted Liens, and Purchaser shall accept such contribution.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aggregate purchase price for Seller’s transfer of the Membership Interests, at the Closing, shall be Five Million Seventy-Five Thousand Dollars ($5,075,000.00), subject to the following adjustment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firstLine="644"/>
        <w:spacing w:after="0" w:line="282" w:lineRule="auto"/>
        <w:tabs>
          <w:tab w:leader="none" w:pos="15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Closing Working Capital exceeds (ii) the Closing Working Capital Target plus $100,000, then the Purchase Price shall be increased by such excess amount.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Closing Working Capital Target less $100,000 exceeds (ii) Closing Working Capital, then the Purchase Price shall be reduced by such shortfall amount.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Following the Closing, Purchaser and Seller shall cooperate to allocate the value of the Purchase Price (and all other items treated as consideration for Tax purposes) among the assets of the Acquired Companies in accordance with Section 1060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adjustments to the Purchase Price for the Membership Interests herein shall be allocated in a manner consistent with such allocation. The Parties shall file, and cause their Affiliates to file, all returns, declarations, reports, information returns and statements, attachments thereto and other documents required or permitted to be filed under the provisions of any applicable Law and relating to Taxes (including amended returns and claims for refund) (“</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in a manner consistent with such allocation except as otherwise required by a final (or similar) determination of a tax authority.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in this Agreement, Purchaser (and any of its Affiliates or agents) shall be entitled to deduct and withhold from any payment pursuant to this Agreement such amounts as are required to be deducted and withheld under any applicable Law; provided, that Purchaser shall provide prior written notice to Seller regarding such withholding, shall reasonably cooperate with Seller to reduce or eliminate any such withholding, and shall timely remit any amount withheld to the appropriate tax authority. Such withheld or deducted amounts shall be treated for all purposes of this Agreement as having been delivered and paid to Seller or other applicable recipient of payment in respect of which such deduction and withholding was made.</w:t>
      </w:r>
    </w:p>
    <w:p>
      <w:pPr>
        <w:spacing w:after="0" w:line="1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The Closing</w:t>
      </w:r>
      <w:r>
        <w:rPr>
          <w:rFonts w:ascii="Times New Roman" w:cs="Times New Roman" w:eastAsia="Times New Roman" w:hAnsi="Times New Roman"/>
          <w:sz w:val="18"/>
          <w:szCs w:val="18"/>
          <w:color w:val="auto"/>
        </w:rPr>
        <w:t>. The closing of the transactions contemplated hereby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on the Closing Date, by electronic transmission of documents and signatures. The Closing shall be deemed effective at 8:00 a.m. Central time on the Closing Date.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Seller’s Deliveries</w:t>
      </w:r>
      <w:r>
        <w:rPr>
          <w:rFonts w:ascii="Times New Roman" w:cs="Times New Roman" w:eastAsia="Times New Roman" w:hAnsi="Times New Roman"/>
          <w:sz w:val="18"/>
          <w:szCs w:val="18"/>
          <w:color w:val="auto"/>
        </w:rPr>
        <w:t>. At the Closing, Seller shall deliver to Purchaser all of the following, all in form and substance reasonably acceptable to Purchaser:</w:t>
      </w:r>
    </w:p>
    <w:p>
      <w:pPr>
        <w:spacing w:after="0" w:line="162" w:lineRule="exact"/>
        <w:rPr>
          <w:sz w:val="20"/>
          <w:szCs w:val="20"/>
          <w:color w:val="auto"/>
        </w:rPr>
      </w:pPr>
    </w:p>
    <w:p>
      <w:pPr>
        <w:ind w:left="1540" w:hanging="23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Membership Interests</w:t>
      </w:r>
      <w:r>
        <w:rPr>
          <w:rFonts w:ascii="Times New Roman" w:cs="Times New Roman" w:eastAsia="Times New Roman" w:hAnsi="Times New Roman"/>
          <w:sz w:val="18"/>
          <w:szCs w:val="18"/>
          <w:color w:val="auto"/>
        </w:rPr>
        <w:t>. An assignment instrument executed by Seller, assigning the Membership Interests to Purchaser;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A certificate executed by an officer or manager of Seller, certifying that (i) attached thereto are true and complete copies of any corporate or company resolutions of Seller or its Affiliates that are required in order to authorize the execution, delivery, and performance of this Agreement and the other documents and transactions contemplated hereby, and (ii) attached thereto are true and complete copies of the Acquired Companies’ formation and governing documents.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 Certificate</w:t>
      </w:r>
      <w:r>
        <w:rPr>
          <w:rFonts w:ascii="Times New Roman" w:cs="Times New Roman" w:eastAsia="Times New Roman" w:hAnsi="Times New Roman"/>
          <w:sz w:val="18"/>
          <w:szCs w:val="18"/>
          <w:color w:val="auto"/>
        </w:rPr>
        <w:t>. A certificate evidencing the good standing of the Company issued by the Secretary of State of Colorado and a certificate evidencing the good standing of Core Growth issued by the Secretary of State of Delaware, in each case, dated not more than seven (7) Business Days prior to the Closing Date;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Releases</w:t>
      </w:r>
      <w:r>
        <w:rPr>
          <w:rFonts w:ascii="Times New Roman" w:cs="Times New Roman" w:eastAsia="Times New Roman" w:hAnsi="Times New Roman"/>
          <w:sz w:val="18"/>
          <w:szCs w:val="18"/>
          <w:color w:val="auto"/>
        </w:rPr>
        <w:t>. UCC termination statements (or other appropriate evidence) releasing any Liens upon the assets of the Acquired Companies, other than Permitted Liens;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W-9</w:t>
      </w:r>
      <w:r>
        <w:rPr>
          <w:rFonts w:ascii="Times New Roman" w:cs="Times New Roman" w:eastAsia="Times New Roman" w:hAnsi="Times New Roman"/>
          <w:sz w:val="18"/>
          <w:szCs w:val="18"/>
          <w:color w:val="auto"/>
        </w:rPr>
        <w:t>. A valid and complete IRS Form W-9, duly executed by Seller;</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Incredibles Trademark and Recipe License Agreement</w:t>
      </w:r>
      <w:r>
        <w:rPr>
          <w:rFonts w:ascii="Times New Roman" w:cs="Times New Roman" w:eastAsia="Times New Roman" w:hAnsi="Times New Roman"/>
          <w:sz w:val="18"/>
          <w:szCs w:val="18"/>
          <w:color w:val="auto"/>
        </w:rPr>
        <w:t xml:space="preserve">. A copy of the Trademark and Recipe License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Incredibles License Agreement</w:t>
      </w:r>
      <w:r>
        <w:rPr>
          <w:rFonts w:ascii="Times New Roman" w:cs="Times New Roman" w:eastAsia="Times New Roman" w:hAnsi="Times New Roman"/>
          <w:sz w:val="18"/>
          <w:szCs w:val="18"/>
          <w:color w:val="auto"/>
        </w:rPr>
        <w:t>”), executed by GTI Core, LLC;</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Beboe Trademark and Recipe License Agreement</w:t>
      </w:r>
      <w:r>
        <w:rPr>
          <w:rFonts w:ascii="Times New Roman" w:cs="Times New Roman" w:eastAsia="Times New Roman" w:hAnsi="Times New Roman"/>
          <w:sz w:val="18"/>
          <w:szCs w:val="18"/>
          <w:color w:val="auto"/>
        </w:rPr>
        <w:t xml:space="preserve">. A copy of the Trademark and Recipe License Agreement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Beboe License Agreement</w:t>
      </w:r>
      <w:r>
        <w:rPr>
          <w:rFonts w:ascii="Times New Roman" w:cs="Times New Roman" w:eastAsia="Times New Roman" w:hAnsi="Times New Roman"/>
          <w:sz w:val="18"/>
          <w:szCs w:val="18"/>
          <w:color w:val="auto"/>
        </w:rPr>
        <w:t>”), executed by For Success Holding Company;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Working Capital Statement</w:t>
      </w:r>
      <w:r>
        <w:rPr>
          <w:rFonts w:ascii="Times New Roman" w:cs="Times New Roman" w:eastAsia="Times New Roman" w:hAnsi="Times New Roman"/>
          <w:sz w:val="18"/>
          <w:szCs w:val="18"/>
          <w:color w:val="auto"/>
        </w:rPr>
        <w:t xml:space="preserve">. A good faith estimate of (i) the Current Assets of Core Growth less the Current Liabilities of Core Growth, determined as of the open of business on the Closing Date, and (ii) any resulting adjustment to the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Closing Working Capital Statement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Purchaser’s Deliveries</w:t>
      </w:r>
      <w:r>
        <w:rPr>
          <w:rFonts w:ascii="Times New Roman" w:cs="Times New Roman" w:eastAsia="Times New Roman" w:hAnsi="Times New Roman"/>
          <w:sz w:val="18"/>
          <w:szCs w:val="18"/>
          <w:color w:val="auto"/>
        </w:rPr>
        <w:t>. At the Closing Purchaser shall deliver to Seller the following, all in form and substance reasonably acceptable to Seller:</w:t>
      </w:r>
    </w:p>
    <w:p>
      <w:pPr>
        <w:spacing w:after="0" w:line="162" w:lineRule="exact"/>
        <w:rPr>
          <w:sz w:val="20"/>
          <w:szCs w:val="20"/>
          <w:color w:val="auto"/>
        </w:rPr>
      </w:pPr>
    </w:p>
    <w:p>
      <w:pPr>
        <w:ind w:left="1540" w:hanging="236"/>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 Purchase Price;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Incredibles Trademark and Recipe License Agreement</w:t>
      </w:r>
      <w:r>
        <w:rPr>
          <w:rFonts w:ascii="Times New Roman" w:cs="Times New Roman" w:eastAsia="Times New Roman" w:hAnsi="Times New Roman"/>
          <w:sz w:val="18"/>
          <w:szCs w:val="18"/>
          <w:color w:val="auto"/>
        </w:rPr>
        <w:t>. A copy of the Incredibles License Agreement, executed by the Company;</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Beboe Trademark and Recipe License Agreement</w:t>
      </w:r>
      <w:r>
        <w:rPr>
          <w:rFonts w:ascii="Times New Roman" w:cs="Times New Roman" w:eastAsia="Times New Roman" w:hAnsi="Times New Roman"/>
          <w:sz w:val="18"/>
          <w:szCs w:val="18"/>
          <w:color w:val="auto"/>
        </w:rPr>
        <w:t>. A copy of the Beboe License Agreement, executed by Core Growth;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left="660" w:firstLine="644"/>
        <w:spacing w:after="0" w:line="266" w:lineRule="auto"/>
        <w:tabs>
          <w:tab w:leader="none" w:pos="1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A certificate executed by an executive officer of Purchaser, certifying that attached thereto are true and complete copies of any corporate resolutions of Purchaser that are required in order to authorize the execution, delivery, and performance of this Agreement and the other documents and transactions contemplated hereby.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SELLER</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the Schedules attached hereto and incorporated herein by reference, Seller hereby represents and warrants to Purchaser as follows as of the Closing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and Authority of Seller</w:t>
      </w:r>
      <w:r>
        <w:rPr>
          <w:rFonts w:ascii="Times New Roman" w:cs="Times New Roman" w:eastAsia="Times New Roman" w:hAnsi="Times New Roman"/>
          <w:sz w:val="18"/>
          <w:szCs w:val="18"/>
          <w:color w:val="auto"/>
        </w:rPr>
        <w:t>. Seller is a Delaware limited liability company duly organized, validly existing and in good standing under the Laws of the state of Delaware. Seller has all necessary company power and authority to enter into this Agreement and the Ancillary Documents to which it is or will be a party, to carry out its obligations hereunder and thereunder and to consummate the transactions contemplated hereby and thereby. The execution and delivery by Seller of this Agreement and the Ancillary Documents to which Seller is or will be a party, the performance by Seller of its obligations hereunder and thereunder and the consummation by Seller of the transactions contemplated hereby and thereby have been duly authorized by all requisite limited liability company action on the part of Seller. This Agreement has been duly executed and delivered by Seller, and (assuming due authorization, execution and delivery by Purchaser) constitutes, and each Ancillary Document to which Seller is or will be a party when duly executed and delivered by Seller (assuming due authorization, execution and delivery by each other party thereto) will constitute, a legal, valid and binding obligation of Seller, enforceable against Seller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Organization, Authority and Qualification of the Acquired Companies</w:t>
      </w:r>
      <w:r>
        <w:rPr>
          <w:rFonts w:ascii="Times New Roman" w:cs="Times New Roman" w:eastAsia="Times New Roman" w:hAnsi="Times New Roman"/>
          <w:sz w:val="18"/>
          <w:szCs w:val="18"/>
          <w:color w:val="auto"/>
        </w:rPr>
        <w:t xml:space="preserve">. Each of the Acquired Companies is a limited liability company duly organized, validly existing and in good standing under the Laws of its state of formation and has all necessary limited liability company power and authority to own, operate or lease the properties and assets now owned, operated or leased by it and to carry on its business as it is currently conducted. </w:t>
      </w:r>
      <w:r>
        <w:rPr>
          <w:rFonts w:ascii="Times New Roman" w:cs="Times New Roman" w:eastAsia="Times New Roman" w:hAnsi="Times New Roman"/>
          <w:sz w:val="18"/>
          <w:szCs w:val="18"/>
          <w:u w:val="single" w:color="auto"/>
          <w:color w:val="auto"/>
        </w:rPr>
        <w:t>Schedule 4.2</w:t>
      </w:r>
      <w:r>
        <w:rPr>
          <w:rFonts w:ascii="Times New Roman" w:cs="Times New Roman" w:eastAsia="Times New Roman" w:hAnsi="Times New Roman"/>
          <w:sz w:val="18"/>
          <w:szCs w:val="18"/>
          <w:color w:val="auto"/>
        </w:rPr>
        <w:t xml:space="preserve"> sets forth each jurisdiction in which each Acquired Company is licensed or qualified to do business. Each of the Acquired Companies is duly licensed or qualified to do business and is in good standing in each jurisdiction in which the properties owned or leased by it or the operation of its business as currently conducted makes such licensing or qualification necessary, except where the failure to be so licensed, qualified or in good standing would not have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Capitalization;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5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the record owner of and has good and valid title to the Membership Interests, free and clear of all Liens other than Permitted Liens. The Membership Interests constitute 100% of the total issued and outstanding membership interests in the Company and other than the Membership Interests there are no other issued and outstanding equity interests in the Company. The Membership Interests have been duly authorized and are validly issued, fully-paid and non-assessable.</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6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or authorized options, warrants, convertible securities or other rights, agreements, arrangements or commitments of any character relating to any membership interests in the Acquired Companies or obligating Seller or the Acquired Companies to issue or sell any membership interests (including the Membership Interests), or any other interest in, the Acquired Companies. There are no outstanding or authorized equity appreciation, profit participation, phantom equity or similar equity-based rights with respect to the Acquired Companies. Other than the formation and governing documents that have been disclosed to Purchaser, there are no voting trusts, proxies or other agreements or understandings in effect with respect to the voting or transfer of any of the Membership Interests or the membership interests of Core Growth.</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or have any capital stock or other equity interests in, any other Person, other than Core Growth. The membership interests of Core Growth owned by the Company (the “</w:t>
      </w:r>
      <w:r>
        <w:rPr>
          <w:rFonts w:ascii="Times New Roman" w:cs="Times New Roman" w:eastAsia="Times New Roman" w:hAnsi="Times New Roman"/>
          <w:sz w:val="18"/>
          <w:szCs w:val="18"/>
          <w:b w:val="1"/>
          <w:bCs w:val="1"/>
          <w:color w:val="auto"/>
        </w:rPr>
        <w:t>Core Membership Interests</w:t>
      </w:r>
      <w:r>
        <w:rPr>
          <w:rFonts w:ascii="Times New Roman" w:cs="Times New Roman" w:eastAsia="Times New Roman" w:hAnsi="Times New Roman"/>
          <w:sz w:val="18"/>
          <w:szCs w:val="18"/>
          <w:color w:val="auto"/>
        </w:rPr>
        <w:t>”) constitute 100% of the total issued and outstanding membership interests in Core Growth, and other than the Core Membership Interests, there are no other issued and outstanding equity interests in Core Growth.</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Membership Interests and Core Membership Interests were issued in compliance with applicable Laws, were not issued in violation of the formation and governing documents of the respective Acquired Companies or any other agreement, arrangement or commitment to which the Seller or the Acquired Companies is a party, and are not subject to or in violation of any preemptive or similar rights of any Person.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 The execution, delivery and performance by Seller of this Agreement and the Ancillary Documents to which it is or will be a party, and the consummation of the transactions contemplated hereby and thereby, do not and will not: (i) result in a violation or breach of any provision of the formation or governing documents of Seller or the Acquired Companies; (ii) result in a violation or breach of any provision of any material Law or material Governmental Order applicable to Seller or the Acquired Companies; (iii) require the consent, notice or other action by any Person under, conflict with, result in a violation or breach of, or constitute a default under, any Material Contract; or (iv) result in the creation or imposition of any Lien other than a Permitted Lien on any properties or assets of any Acquired Company, except in the cases of clauses (iii) and (iv), where the violation, breach, conflict, default or failure to give notice or obtain consent would not have a Material Adverse Effect. No consent, approval, declaration or filing with, or notice to, any Governmental Authority is required by or with respect to Seller or the Acquired Companies in connection with the execution and delivery of this Agreement and the Ancillary Documents to which Seller is or will be a party and the consummation of the transactions contemplated hereby and thereby, except where the failure to obtain or make such consents, approvals, declarations, filings or notices would not have, in the aggregate, a Material Adverse Effect. Notwithstanding the foregoing, the Parties acknowledge and agree the consummation of the transactions contemplated hereby may require that Seller’s parent company make certain disclosures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other securities regulators.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Books and Records; Financial Statements</w:t>
      </w:r>
      <w:r>
        <w:rPr>
          <w:rFonts w:ascii="Times New Roman" w:cs="Times New Roman" w:eastAsia="Times New Roman" w:hAnsi="Times New Roman"/>
          <w:sz w:val="18"/>
          <w:szCs w:val="18"/>
          <w:color w:val="auto"/>
        </w:rPr>
        <w:t>. The Acquired Companies’ books and records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that have been disclosed to Purchaser are true and complete in all material respects and have been maintained in accordance with sound business practices. Seller has delivered to Purchaser complete and correct copies of the Financial Statements. The Financial Statements were prepared in accordance with GAAP, are consistent with the accounting records of Core Growth, and fairly present the financial position of Core Growth as of the dates thereof. The Company does not have any Current Assets or Current Liabilities.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Indebtedness; Liabilities</w:t>
      </w:r>
      <w:r>
        <w:rPr>
          <w:rFonts w:ascii="Times New Roman" w:cs="Times New Roman" w:eastAsia="Times New Roman" w:hAnsi="Times New Roman"/>
          <w:sz w:val="18"/>
          <w:szCs w:val="18"/>
          <w:color w:val="auto"/>
        </w:rPr>
        <w:t>. The Acquired Companies have no Indebtedness and, as of the Closing, will have no outstanding Current Liabilities.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Accounts; Cash and Cash Equivalents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4.7</w:t>
      </w:r>
      <w:r>
        <w:rPr>
          <w:rFonts w:ascii="Times New Roman" w:cs="Times New Roman" w:eastAsia="Times New Roman" w:hAnsi="Times New Roman"/>
          <w:sz w:val="18"/>
          <w:szCs w:val="18"/>
          <w:color w:val="auto"/>
        </w:rPr>
        <w:t>, the Acquired Companies have no bank accounts, investment accounts, cash, or cash equivalents.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Tangible Personal Property; Real Property</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4.8</w:t>
      </w:r>
      <w:r>
        <w:rPr>
          <w:rFonts w:ascii="Times New Roman" w:cs="Times New Roman" w:eastAsia="Times New Roman" w:hAnsi="Times New Roman"/>
          <w:sz w:val="18"/>
          <w:szCs w:val="18"/>
          <w:color w:val="auto"/>
        </w:rPr>
        <w:t>, the Acquired Companies do not own or lease any tangible personal property or real property. With respect to all leased real property of the Acquired Companies, (i) such lease is valid, binding and enforceable and in full force and effect, (ii) the applicable Acquired Company is not in breach or default under such lease, and no event has occurred that, with the delivery of notice, passage of time or both, would constitute such a breach or default, and the applicable Acquired Company has paid all rent due and payable under such lease; (iii) the applicable Acquired Company has not received nor given any notice of any default or event that, with notice or lapse of time or both, would constitute a default by the applicable Acquired Company under any such lease, and to Seller’s Knowledge no other party is in default thereof or has exercised any termination rights with respect thereto; and (iv) the applicable Acquired Company has not pledged, mortgaged, or otherwise granted a Lien on its leasehold interest in any leased real property.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5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Effects</w:t>
      </w:r>
      <w:r>
        <w:rPr>
          <w:rFonts w:ascii="Times New Roman" w:cs="Times New Roman" w:eastAsia="Times New Roman" w:hAnsi="Times New Roman"/>
          <w:sz w:val="18"/>
          <w:szCs w:val="18"/>
          <w:color w:val="auto"/>
        </w:rPr>
        <w:t>. Since December 31, 2024, there has not been any development or threatened development of a nature that has or, to Seller’s Knowledge,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Except as otherwise set forth on </w:t>
      </w:r>
      <w:r>
        <w:rPr>
          <w:rFonts w:ascii="Times New Roman" w:cs="Times New Roman" w:eastAsia="Times New Roman" w:hAnsi="Times New Roman"/>
          <w:sz w:val="18"/>
          <w:szCs w:val="18"/>
          <w:u w:val="single" w:color="auto"/>
          <w:color w:val="auto"/>
        </w:rPr>
        <w:t>Schedule 4.9(b)</w:t>
      </w:r>
      <w:r>
        <w:rPr>
          <w:rFonts w:ascii="Times New Roman" w:cs="Times New Roman" w:eastAsia="Times New Roman" w:hAnsi="Times New Roman"/>
          <w:sz w:val="18"/>
          <w:szCs w:val="18"/>
          <w:color w:val="auto"/>
        </w:rPr>
        <w:t>, since December 31, 2024, the Acquired Companies have conducted the Business only in a commercially reasonable ordinary course manner and has acted reasonably and in good faith to maintain and enhance the Business and, without limiting the foregoing, the Acquired Companies have not:</w:t>
      </w:r>
    </w:p>
    <w:p>
      <w:pPr>
        <w:spacing w:after="0" w:line="175"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or suffered to exist any Liens, other than Permitted Liens, or restrictions with respect to any of their equity interests or assets, whether tangible or intangible, or incurred, assumed or guaranteed any Indebtedness;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ind w:left="1300" w:hanging="332"/>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leased to others, licensed to others or transferred any of the Acquired Companies’ assets or properties, except in the ordinary course of the Business;</w:t>
      </w:r>
    </w:p>
    <w:p>
      <w:pPr>
        <w:spacing w:after="0" w:line="161" w:lineRule="exact"/>
        <w:rPr>
          <w:rFonts w:ascii="Times New Roman" w:cs="Times New Roman" w:eastAsia="Times New Roman" w:hAnsi="Times New Roman"/>
          <w:sz w:val="18"/>
          <w:szCs w:val="18"/>
          <w:color w:val="auto"/>
        </w:rPr>
      </w:pPr>
    </w:p>
    <w:p>
      <w:pPr>
        <w:ind w:left="1300" w:hanging="33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suffered any material loss, or material interruption in use, of any material asset;</w:t>
      </w:r>
    </w:p>
    <w:p>
      <w:pPr>
        <w:spacing w:after="0" w:line="225" w:lineRule="exact"/>
        <w:rPr>
          <w:rFonts w:ascii="Times New Roman" w:cs="Times New Roman" w:eastAsia="Times New Roman" w:hAnsi="Times New Roman"/>
          <w:sz w:val="18"/>
          <w:szCs w:val="18"/>
          <w:color w:val="auto"/>
        </w:rPr>
      </w:pPr>
    </w:p>
    <w:p>
      <w:pPr>
        <w:ind w:left="1300" w:right="20" w:hanging="332"/>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any rights related to the Business or arising under or in connection with any of the Acquired Companies’ material assets, except in the ordinary course of the Business;</w:t>
      </w:r>
    </w:p>
    <w:p>
      <w:pPr>
        <w:spacing w:after="0" w:line="161" w:lineRule="exact"/>
        <w:rPr>
          <w:rFonts w:ascii="Times New Roman" w:cs="Times New Roman" w:eastAsia="Times New Roman" w:hAnsi="Times New Roman"/>
          <w:sz w:val="18"/>
          <w:szCs w:val="18"/>
          <w:color w:val="auto"/>
        </w:rPr>
      </w:pPr>
    </w:p>
    <w:p>
      <w:pPr>
        <w:jc w:val="both"/>
        <w:ind w:left="1300" w:hanging="332"/>
        <w:spacing w:after="0" w:line="258"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made, changed or revoked any Tax election, (ii) settled or compromised any Tax Liability, (iii) changed an annual accounting period or changed (or made a request to any tax authority to change) any aspect of its method of accounting for Tax purposes, (iv) consented to any extension or waiver of the limitation period applicable to any Tax claim or assessment, (v) entered into any Tax sharing, closing, or similar agreement in respect of any Taxes, or (vi) obtained or requested any Tax ruling, in each case, with respect to the Acquired Companies;</w:t>
      </w:r>
    </w:p>
    <w:p>
      <w:pPr>
        <w:spacing w:after="0" w:line="183" w:lineRule="exact"/>
        <w:rPr>
          <w:rFonts w:ascii="Times New Roman" w:cs="Times New Roman" w:eastAsia="Times New Roman" w:hAnsi="Times New Roman"/>
          <w:sz w:val="18"/>
          <w:szCs w:val="18"/>
          <w:color w:val="auto"/>
        </w:rPr>
      </w:pPr>
    </w:p>
    <w:p>
      <w:pPr>
        <w:ind w:left="1300" w:hanging="33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any assets or properties in connection with the Business other than in the ordinary course of the Business;</w:t>
      </w:r>
    </w:p>
    <w:p>
      <w:pPr>
        <w:spacing w:after="0" w:line="225" w:lineRule="exact"/>
        <w:rPr>
          <w:rFonts w:ascii="Times New Roman" w:cs="Times New Roman" w:eastAsia="Times New Roman" w:hAnsi="Times New Roman"/>
          <w:sz w:val="18"/>
          <w:szCs w:val="18"/>
          <w:color w:val="auto"/>
        </w:rPr>
      </w:pPr>
    </w:p>
    <w:p>
      <w:pPr>
        <w:ind w:left="1300" w:hanging="332"/>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abandoned or failed to maintain in full force and effect any Company Intellectual Property, except where such abandonments or failures would not be expected to have a Material Adverse Effect; or</w:t>
      </w:r>
    </w:p>
    <w:p>
      <w:pPr>
        <w:spacing w:after="0" w:line="161" w:lineRule="exact"/>
        <w:rPr>
          <w:rFonts w:ascii="Times New Roman" w:cs="Times New Roman" w:eastAsia="Times New Roman" w:hAnsi="Times New Roman"/>
          <w:sz w:val="18"/>
          <w:szCs w:val="18"/>
          <w:color w:val="auto"/>
        </w:rPr>
      </w:pPr>
    </w:p>
    <w:p>
      <w:pPr>
        <w:ind w:left="1300" w:hanging="332"/>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amended its formation or governing documents;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xml:space="preserve"> lists each of the following Contracts (collectively, the “</w:t>
      </w:r>
      <w:r>
        <w:rPr>
          <w:rFonts w:ascii="Times New Roman" w:cs="Times New Roman" w:eastAsia="Times New Roman" w:hAnsi="Times New Roman"/>
          <w:sz w:val="18"/>
          <w:szCs w:val="18"/>
          <w:b w:val="1"/>
          <w:bCs w:val="1"/>
          <w:color w:val="auto"/>
        </w:rPr>
        <w:t>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4"/>
        <w:spacing w:after="0" w:line="266"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of the Acquired Companies involving aggregate consideration in excess of $250,000 or requiring performance by any party more than one year from the Closing Date, which, in each case, cannot be cancelled by the applicable Acquired Company without material penalty or without more than 90 days’ prior notice;</w:t>
      </w:r>
    </w:p>
    <w:p>
      <w:pPr>
        <w:spacing w:after="0" w:line="17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relate to the sale of any of the Acquired Companies’ assets, other than in the ordinary course of the Business;</w:t>
      </w:r>
    </w:p>
    <w:p>
      <w:pPr>
        <w:spacing w:after="0" w:line="225" w:lineRule="exact"/>
        <w:rPr>
          <w:rFonts w:ascii="Times New Roman" w:cs="Times New Roman" w:eastAsia="Times New Roman" w:hAnsi="Times New Roman"/>
          <w:sz w:val="18"/>
          <w:szCs w:val="18"/>
          <w:color w:val="auto"/>
        </w:rPr>
      </w:pPr>
    </w:p>
    <w:p>
      <w:pPr>
        <w:ind w:firstLine="644"/>
        <w:spacing w:after="0" w:line="282" w:lineRule="auto"/>
        <w:tabs>
          <w:tab w:leader="none" w:pos="9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relate to the acquisition of any business, a material amount of equity or assets of any other Person or any real property (whether by merger, sale of stock or other equity interests, sale of assets or otherwise);</w:t>
      </w:r>
    </w:p>
    <w:p>
      <w:pPr>
        <w:spacing w:after="0" w:line="37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0" w:name="page61"/>
    <w:bookmarkEnd w:id="60"/>
    <w:p>
      <w:pPr>
        <w:ind w:left="660" w:right="20" w:firstLine="644"/>
        <w:spacing w:after="0" w:line="282" w:lineRule="auto"/>
        <w:tabs>
          <w:tab w:leader="none" w:pos="15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agreements relating to trade payables, all agreements relating to Indebtedness (including, without limitation, guarantees) of the Acquired Companies;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between or among an Acquired Company on the one hand and Seller or any Affiliate of Seller (other than an Acquired Company) on the other hand;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agreements or agreements with any labor organization, union or association to which an Acquired Company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party;</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require an Acquired Company to purchase its total requirements of any product or service from a third party or that contain “take or pay” provisions;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other than those entered into in the ordinary course of business, that provide for the indemnification by an Acquired Company of any Person or the assumption of any Tax, environmental or other Liability of any Person;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agreements that limit or purport to limit the ability of an Acquired Company to compete in any line of business or with any Person or in any geographic area or during any period of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the Material Contracts are valid and binding upon the applicable Acquired Company and enforceable against the other parties thereto in accordance with their respective terms. The Acquired Companies are not in breach of any of the Material Contracts and, to Seller’s Knowledge (i) no other party to a Material Contract is in default thereunder and (ii) no condition exists which, with notice or lapse of time or both, would constitute a default by the Acquired Companies, or by any other party thereunder. The Acquired Companies have not provided or received any notice of any intention to terminate any Material Contract, and there are no disputes pending or to Seller’s Knowledge, threatened under any Material Contract.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Compliance with Laws;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5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application of Federal Cannabis Laws to the activities of the Acquired Companies’ respective businesses prior to the Closing, the Acquired Companies are not, as of the Closing, in any material respect, in violation of any statute, law, ordinance, regulation, rule, code, order, constitution, treaty, common law, judgment, decree, other requirement or rule of law (each a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of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 (each a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required for each Acquired Company to conduct its business have been obtained by it and are valid and in full force and effect. All fees and charges with respect to such Permits as of the Closing Date have been paid in full. The Company has complied and is now complying with the terms of all applicable Permits. No event has occurred that, with or without notice or lapse of time or both, would reasonably be expected to result in the revocation, suspension, lapse or limitation of any Permit of either Acquired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73" w:lineRule="auto"/>
        <w:tabs>
          <w:tab w:leader="none" w:pos="9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 Returns required to have been filed by the Acquired Companies have been timely filed (taking into account any valid extension of time within which to file), and all such Tax Returns are true, correct and complete in all material respects. All Taxes due and payable by the Acquired Companies have been timely paid in full (whether or not shown or required to be shown on any Tax Return) to the appropriate taxing authority. “</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shall mean all taxes with respect to net income, capital gains, gross income, gross receipts, sales, use, transfer, ad valorem, franchise, profits, license, capital, withholding, payroll, employment, excise, goods and services, severance, stamp, occupation, premium, property, assessments, or other taxes or governmental charges of any kind whatsoever, together with any interest, fines and any penalties, additions to tax or additional amounts incurred or accrued under applicable Law, or assessed, charged or imposed by any Governmental Authority.</w:t>
      </w:r>
    </w:p>
    <w:p>
      <w:pPr>
        <w:spacing w:after="0" w:line="171" w:lineRule="exact"/>
        <w:rPr>
          <w:rFonts w:ascii="Times New Roman" w:cs="Times New Roman" w:eastAsia="Times New Roman" w:hAnsi="Times New Roman"/>
          <w:sz w:val="17"/>
          <w:szCs w:val="17"/>
          <w:color w:val="auto"/>
        </w:rPr>
      </w:pPr>
    </w:p>
    <w:p>
      <w:pPr>
        <w:jc w:val="both"/>
        <w:ind w:firstLine="644"/>
        <w:spacing w:after="0" w:line="254" w:lineRule="auto"/>
        <w:tabs>
          <w:tab w:leader="none" w:pos="9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extensions or waivers of statutes of limitations have been given or requested with respect to any Taxes of the Acquired Companies. The Acquired Companies are not involved in nor is the subject of any dispute relating to Taxes, and has not received notice or threat of any pending audit or notice of deficiency from the IRS or any other tax authority. There are no unsatisfied liabilities for Taxes (including liabilities for interest, additions to Tax and penalties thereon and related expenses) with respect to any written notice of deficiency or similar document received by the Acquired Companies with respect to any Tax. The Acquired Companies have not received from any governmental entity in a jurisdiction where an Acquired Company has not filed any Tax Returns any written claim that an Acquired Company is subject to taxation by that jurisdiction, which claim has not been fully resolved. There are no liens for Taxes upon any assets of the Acquired Companies except for statutory liens for current Taxes that are not yet due and payable.</w:t>
      </w:r>
    </w:p>
    <w:p>
      <w:pPr>
        <w:spacing w:after="0" w:line="191" w:lineRule="exact"/>
        <w:rPr>
          <w:rFonts w:ascii="Times New Roman" w:cs="Times New Roman" w:eastAsia="Times New Roman" w:hAnsi="Times New Roman"/>
          <w:sz w:val="18"/>
          <w:szCs w:val="18"/>
          <w:color w:val="auto"/>
        </w:rPr>
      </w:pPr>
    </w:p>
    <w:p>
      <w:pPr>
        <w:jc w:val="both"/>
        <w:ind w:firstLine="644"/>
        <w:spacing w:after="0" w:line="258" w:lineRule="auto"/>
        <w:tabs>
          <w:tab w:leader="none" w:pos="8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that the Acquired Companies have been required by law to deduct, withhold or to collect for payment have been duly and timely deducted, withheld and collected, and have been paid over to the appropriate tax authority in compliance with all applicable Law with respect to payments made to any current or former employee, independent contractor, other service provider, creditor, shareholder, customer, vendor, supplier, or other third party, and the Acquired Companies have timely complied in all material respects with all information reporting and withholding requirements under all applicable Law, including maintenance of required records with respect thereto.</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92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closing agreements, private letter rulings, technical advice memoranda, advance pricing agreement, consent to an extension of time to make an election, consent to a change a method of accounting or other similar agreements or rulings relating to Taxes have been entered into or issued by any Tax authority with or in respect of the Acquired Companies. The Acquired Companies do not have a power of attorney with respect to any Tax that is in force as of the Closing Date.</w:t>
      </w:r>
    </w:p>
    <w:p>
      <w:pPr>
        <w:spacing w:after="0" w:line="3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2" w:name="page63"/>
    <w:bookmarkEnd w:id="62"/>
    <w:p>
      <w:pPr>
        <w:jc w:val="both"/>
        <w:ind w:firstLine="644"/>
        <w:spacing w:after="0" w:line="258" w:lineRule="auto"/>
        <w:tabs>
          <w:tab w:leader="none" w:pos="89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have collected and properly remitted all sales, use, value-added, goods and services and other similar Taxes required to have been collected and remitted with respect to sales or leases made or services provided by the Acquired Companies, and for all sales, leases, or provisions of services that are exempt from such Taxes and that were made without charging or remitting such Taxes, the Acquired Companies have received and retained any appropriate Tax exemption certificates and other documentations qualifying such sales, leases, or provision of services as exempt.</w:t>
      </w:r>
    </w:p>
    <w:p>
      <w:pPr>
        <w:spacing w:after="0" w:line="183" w:lineRule="exact"/>
        <w:rPr>
          <w:rFonts w:ascii="Times New Roman" w:cs="Times New Roman" w:eastAsia="Times New Roman" w:hAnsi="Times New Roman"/>
          <w:sz w:val="18"/>
          <w:szCs w:val="18"/>
          <w:color w:val="auto"/>
        </w:rPr>
      </w:pPr>
    </w:p>
    <w:p>
      <w:pPr>
        <w:ind w:firstLine="644"/>
        <w:spacing w:after="0" w:line="282" w:lineRule="auto"/>
        <w:tabs>
          <w:tab w:leader="none" w:pos="8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are not, and have not been, a party to, or a promoter of, a “reportable transaction” within the meaning of Treasury Regulations Section 1.6011-4(b).</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9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assets of the Acquired Companies are (i) tax-exempt use property within the meaning of Section 168(h) of the Code, (ii) subject to Section 168(g)(1)(A) of the Code, or (iii) subject to a disqualified leaseback or long-term agreement as defined in Section 467 of the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6" w:lineRule="auto"/>
        <w:tabs>
          <w:tab w:leader="none" w:pos="8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Liability</w:t>
      </w:r>
      <w:r>
        <w:rPr>
          <w:rFonts w:ascii="Times New Roman" w:cs="Times New Roman" w:eastAsia="Times New Roman" w:hAnsi="Times New Roman"/>
          <w:sz w:val="18"/>
          <w:szCs w:val="18"/>
          <w:color w:val="auto"/>
        </w:rPr>
        <w:t>. There are no pending or, to Seller’s Knowledge, threatened Proceedings that involve any product alleged to have been processed, manufactured, marketed, or sold by the Acquired Companies (including any product alleged to have borne any of the Acquired Company’s Trademarks or to have been processed, manufactured, marketed, or sold by third parties at an Acquired Company’s direction or pursuant to any contracts or other agreements to which any such third party and an Acquired Company are parties) (“</w:t>
      </w:r>
      <w:r>
        <w:rPr>
          <w:rFonts w:ascii="Times New Roman" w:cs="Times New Roman" w:eastAsia="Times New Roman" w:hAnsi="Times New Roman"/>
          <w:sz w:val="18"/>
          <w:szCs w:val="18"/>
          <w:b w:val="1"/>
          <w:bCs w:val="1"/>
          <w:color w:val="auto"/>
        </w:rPr>
        <w:t>Products</w:t>
      </w:r>
      <w:r>
        <w:rPr>
          <w:rFonts w:ascii="Times New Roman" w:cs="Times New Roman" w:eastAsia="Times New Roman" w:hAnsi="Times New Roman"/>
          <w:sz w:val="18"/>
          <w:szCs w:val="18"/>
          <w:color w:val="auto"/>
        </w:rPr>
        <w:t>”), including any such Proceedings pursuant to which any Products are alleged to have been defective, or improperly processed, manufactured or labeled; nor is there any valid basis for any such Proceeding.</w:t>
      </w:r>
    </w:p>
    <w:p>
      <w:pPr>
        <w:spacing w:after="0" w:line="187" w:lineRule="exact"/>
        <w:rPr>
          <w:rFonts w:ascii="Times New Roman" w:cs="Times New Roman" w:eastAsia="Times New Roman" w:hAnsi="Times New Roman"/>
          <w:sz w:val="18"/>
          <w:szCs w:val="18"/>
          <w:color w:val="auto"/>
        </w:rPr>
      </w:pPr>
    </w:p>
    <w:p>
      <w:pPr>
        <w:jc w:val="both"/>
        <w:ind w:firstLine="644"/>
        <w:spacing w:after="0" w:line="258" w:lineRule="auto"/>
        <w:tabs>
          <w:tab w:leader="none" w:pos="9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Warranty</w:t>
      </w:r>
      <w:r>
        <w:rPr>
          <w:rFonts w:ascii="Times New Roman" w:cs="Times New Roman" w:eastAsia="Times New Roman" w:hAnsi="Times New Roman"/>
          <w:sz w:val="18"/>
          <w:szCs w:val="18"/>
          <w:color w:val="auto"/>
        </w:rPr>
        <w:t xml:space="preserve">. Each Product produced in connection with the Business has been produced and delivered in material conformance with all contractual commitments, and the Acquired Companies has no Liability (and there is no basis for any present or future Proceeding against the Acquired Companies giving rise to any Liability) for replacement thereof. Except as set forth on </w:t>
      </w:r>
      <w:r>
        <w:rPr>
          <w:rFonts w:ascii="Times New Roman" w:cs="Times New Roman" w:eastAsia="Times New Roman" w:hAnsi="Times New Roman"/>
          <w:sz w:val="18"/>
          <w:szCs w:val="18"/>
          <w:u w:val="single" w:color="auto"/>
          <w:color w:val="auto"/>
        </w:rPr>
        <w:t>Schedule 4.13</w:t>
      </w:r>
      <w:r>
        <w:rPr>
          <w:rFonts w:ascii="Times New Roman" w:cs="Times New Roman" w:eastAsia="Times New Roman" w:hAnsi="Times New Roman"/>
          <w:sz w:val="18"/>
          <w:szCs w:val="18"/>
          <w:color w:val="auto"/>
        </w:rPr>
        <w:t>, and except for standard commercial product warranties and indemnities provided in the ordinary course of business, none of the Products produced in connection with the Business are subject to any extended and non-standard guaranty, warranty, or other indemnity.</w:t>
      </w:r>
    </w:p>
    <w:p>
      <w:pPr>
        <w:spacing w:after="0" w:line="183"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All inventory of the Acquired Companies consists of a quality and quantity usable and salable in the ordinary course of business consistent with past practice, except for obsolete, damaged, defective or slow-moving items that have been written off or written down to fair market value or for which adequate reserves have been established. All such inventory is owned by the Acquired Companies free and clear of all Liens (other than Permitted Liens), and no inventory is held on a consignment basis.</w:t>
      </w:r>
    </w:p>
    <w:p>
      <w:pPr>
        <w:spacing w:after="0" w:line="39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3" w:name="page64"/>
    <w:bookmarkEnd w:id="63"/>
    <w:p>
      <w:pPr>
        <w:jc w:val="both"/>
        <w:ind w:left="4" w:firstLine="644"/>
        <w:spacing w:after="0" w:line="266" w:lineRule="auto"/>
        <w:tabs>
          <w:tab w:leader="none" w:pos="9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The Acquired Companies have good and valid title to all personal property and other assets constituting the Business, other than assets sold or otherwise disposed of in the ordinary course of business consistent with past practice. All such assets are free and clear of Liens except for Permitted Liens.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4"/>
        <w:spacing w:after="0" w:line="261" w:lineRule="auto"/>
        <w:tabs>
          <w:tab w:leader="none" w:pos="90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is a true and complete list of all Patents, registered Trademarks, and registered copyrights owned by the Acquired Companies (the “</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listing, as applicable, (i) the name of the applicant or registrant and current owner;</w:t>
      </w:r>
    </w:p>
    <w:p>
      <w:pPr>
        <w:jc w:val="both"/>
        <w:ind w:left="4" w:hanging="4"/>
        <w:spacing w:after="0" w:line="253" w:lineRule="auto"/>
        <w:tabs>
          <w:tab w:leader="none" w:pos="2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date of application or issuance; (iii) the jurisdiction where the application or registration is located; and (iv) the application or registration number.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also sets forth a correct, current and complete list of all Company IP Agreements (i) under which any Acquired Company is a licensor or otherwise grants to any Person any right or interest relating to any Company Intellectual Property; (ii) under which any Acquired Company is a licensee or otherwise granted any right or interest relating to the Intellectual Property of any Person; and (iii) which otherwise relate to the Acquired Companies’ ownership or use of Intellectual Property.</w:t>
      </w:r>
    </w:p>
    <w:p>
      <w:pPr>
        <w:spacing w:after="0" w:line="186"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2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Acquired Company is the sole and exclusive legal and beneficial, and with respect to the Company IP Registrations, record, owner of all right, title and interest in and to the Company Intellectual Property listed next to such Acquired Company’s name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and has the valid and enforceable right to use all other Intellectual Property used or held for use in or necessary for the conduct of the Business, in each case, free and clear of Liens other than Permitted Liens. All assignments and other instruments necessary to establish, record, and perfect the Acquired Companies’ ownership interest in the Company IP Registrations have been validly executed, delivered, and filed with the relevant Governmental Authorities and authorized registrars.</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of this Agreement, nor the consummation of the transactions contemplated hereunder, will result in the loss or impairment of, or require the consent of any other Person in respect of, the Acquired Companies’ right to own or use any Company Intellectual Property.</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94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all of the Company Intellectual Property is valid and enforceable, and all Company IP Registrations are subsisting and in full force and effect.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xml:space="preserve">, the Acquired Companies have taken all reasonable steps to maintain and enforce the Company Intellectual Property to preserve the confidentiality of all Trade Secrets included in the Company Intellectual Property.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all required filings and fees related to the Company IP Registrations have been timely submitted with and paid to the relevant Governmental Authorities and authorized registrars.</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3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Knowledge, the conduct of the Business as currently and formerly conducted, including the use of the Company Intellectual Property in connection therewith, and the products, processes and services of the Acquired Companies have not materially infringed, misappropriated or otherwise violated the Intellectual Property or other rights of any Person. To Seller’s Knowledge, no Person has materially infringed, misappropriated or otherwise violated any Company Intellectual Property.</w:t>
      </w:r>
    </w:p>
    <w:p>
      <w:pPr>
        <w:spacing w:after="0" w:line="39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4" w:name="page65"/>
    <w:bookmarkEnd w:id="64"/>
    <w:p>
      <w:pPr>
        <w:jc w:val="both"/>
        <w:ind w:left="660" w:firstLine="644"/>
        <w:spacing w:after="0" w:line="255" w:lineRule="auto"/>
        <w:tabs>
          <w:tab w:leader="none" w:pos="15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material actions (including any opposition, cancellation, revocation, review or other proceeding), whether settled, pending or to Seller’s Knowledge, threatened (including in the form of offers to obtain a license): (i) alleging any infringement, misappropriation or other violation by any Acquired Company of the Intellectual Property of any Person; (ii) challenging the validity, enforceability, registrability, patentability or ownership of any Company Intellectual Property or the Acquired Companies’ respective right, title, or interest in or to any Company Intellectual Property; or (iii) by any Acquired Company alleging any infringement, misappropriation, or other violation by any Person of the Company Intellectual Property. Except as set forth on </w:t>
      </w:r>
      <w:r>
        <w:rPr>
          <w:rFonts w:ascii="Times New Roman" w:cs="Times New Roman" w:eastAsia="Times New Roman" w:hAnsi="Times New Roman"/>
          <w:sz w:val="18"/>
          <w:szCs w:val="18"/>
          <w:u w:val="single" w:color="auto"/>
          <w:color w:val="auto"/>
        </w:rPr>
        <w:t>Schedule 4.14</w:t>
      </w:r>
      <w:r>
        <w:rPr>
          <w:rFonts w:ascii="Times New Roman" w:cs="Times New Roman" w:eastAsia="Times New Roman" w:hAnsi="Times New Roman"/>
          <w:sz w:val="18"/>
          <w:szCs w:val="18"/>
          <w:color w:val="auto"/>
        </w:rPr>
        <w:t>, to the Seller’s Knowledge, there are no facts or circumstances that could reasonably be expected to give rise to any such action.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Proceedings pending or, to Seller’s Knowledge, threatened against the Acquired Companies or affecting any of their respective properties or assets. To Seller’s Knowledge, no event has occurred or circumstances exist that may give rise to, or serve as a basis for, any such Proceeding.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Labor and Employee Matters</w:t>
      </w:r>
      <w:r>
        <w:rPr>
          <w:rFonts w:ascii="Times New Roman" w:cs="Times New Roman" w:eastAsia="Times New Roman" w:hAnsi="Times New Roman"/>
          <w:sz w:val="18"/>
          <w:szCs w:val="18"/>
          <w:color w:val="auto"/>
        </w:rPr>
        <w:t>. The Acquired Companies have no employees. Each individual who is or has been classified by either Acquired Company as an independent contractor has been properly classified under applicable Law.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agent, broker, investment banker, financial advisor or other Person is or will be entitled to any brokerage commission, finder’s fee or like payment in connection with the Transaction based upon such arrangements made by or on behalf of Seller.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b w:val="1"/>
          <w:bCs w:val="1"/>
          <w:color w:val="auto"/>
        </w:rPr>
        <w:t>Error! Bookmark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defined.</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related portions of the Schedules), none of Seller, the Acquired Companies or any other Person has made or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express or implied representation or warranty, either written or oral, on behalf of Seller or the Acquired Companies, including any representation or warranty as to the accuracy or completeness of any information regarding the Acquired Companies furnished or made available to Purchaser and its representatives.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PURCHASER</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Purchaser hereby represents and warrants to Seller as follows as of the Closing Date: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Organization and Authority of Purchaser</w:t>
      </w:r>
      <w:r>
        <w:rPr>
          <w:rFonts w:ascii="Times New Roman" w:cs="Times New Roman" w:eastAsia="Times New Roman" w:hAnsi="Times New Roman"/>
          <w:sz w:val="18"/>
          <w:szCs w:val="18"/>
          <w:color w:val="auto"/>
        </w:rPr>
        <w:t>. Purchaser is a corporation duly organized, validly existing and in good standing under the Laws of the state of Nevada. Purchaser has all necessary corporate power and authority to enter into this Agreement and the Ancillary Documents to which Purchaser is or will be a party, to carry out its obligations hereunder and thereunder and to consummate the transactions contemplated hereby and thereby. The execution and delivery by Purchaser of this Agreement and the Ancillary Documents to which Purchaser is or will be a party, the performance by Purchaser of its obligations hereunder and thereunder and the consummation by Purchaser of the transactions contemplated hereby and thereby have been duly authorized by all requisite corporate action on the part of Purchaser. This Agreement has been duly executed and delivered by Purchaser, and (assuming due authorization, execution and delivery by Seller) constitutes, and each Ancillary Document to which Purchaser is or will be a party when duly executed and delivered by Purchaser (assuming due authorization, execution and delivery by each other party thereto) will constitute, a legal, valid and binding obligation of Purchaser, enforceable against Purchaser in accordance with its terms, except as such enforceability may be limited by bankruptcy, insolvency, reorganization, moratorium or similar Laws affecting creditors’ rights generally and by general principles of equity (regardless of whether enforcement is sought in a proceeding at law or in equity).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 The execution, delivery and performance by Purchaser of this Agreement and the Ancillary Documents to which it is or will be a party, and the consummation of the transactions contemplated hereby and thereby, do not and will not: (i) result in a violation or breach of any provision of the formation or governing documents of Purchaser; (ii) result in a violation or breach of any provision of any material Law or Governmental Order applicable to Purchaser; or (iii) require the consent, notice or other action by any Person under, conflict with, result in a violation or breach of, or constitute a default under, any agreement to which Purchaser is a party, except in the cases of clause (iii), where the violation, breach, conflict, default or failure to give notice or obtain consent would not have a material adverse effect on Purchaser’s ability to consummate the transactions contemplated hereby. No consent, approval, declaration or filing with, or notice to, any Governmental Authority is required by or with respect to Purchaser in connection with the execution and delivery of this Agreement and the Ancillary Documents to which it is or will be party and the consummation of the transactions contemplated hereby and thereby, except where the failure to obtain or make such consents, approvals, declarations, filings or notices would not have a material adverse effect on Purchaser’s ability to consummate the transactions contemplated hereby and thereby. Notwithstanding the foregoing, the Parties acknowledge and agree the consummation of the transactions contemplated hereby may require that Purchaser make certain disclosures with the SEC and other securities regulators.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Purchaser is acquiring the Membership Interests solely for its own account for investment purposes and not with a view to, or for offer or sale in connection with, any distribution thereof. Purchaser acknowledges that the Membership Interests are not registered under the Securities Act or any state securities laws, and that the Membership Interests may not be transferred or sold except pursuant to the registration provisions of the Securities Act or pursuant to an applicable exemption therefrom and subject to state securities laws and regulations, as applicable. Purchaser is able to bear the economic risk of holding the Membership Interests for an indefinite period (including total loss of its investment), and has sufficient knowledge and experience in financial and business matters so as to be capable of evaluating the merits and risk of its investment.</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No action or proceeding has been instituted against Purchaser before any Governmental Authority (i) seeking to restrain or prohibit the execution and delivery of this Agreement or the consummation of the Transaction, or (ii) that would, if decided adversely to Purchaser, have a material adverse effect on Purchaser’s ability to perform its obligations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Neither Purchaser nor any of its officers, directors or employees has made any agreement or taken any other action that might cause Seller to become liable for any brokerage fees, commissions or finders’ fees in connection with the Transaction.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Purchaser has filed or furnished, as applicable, all forms, reports, schedules, and other statements required to be filed or furnished by it with the SEC under the Securities Exchange Act or the Securities Act since January 1, 2024 (collectively, the “</w:t>
      </w:r>
      <w:r>
        <w:rPr>
          <w:rFonts w:ascii="Times New Roman" w:cs="Times New Roman" w:eastAsia="Times New Roman" w:hAnsi="Times New Roman"/>
          <w:sz w:val="18"/>
          <w:szCs w:val="18"/>
          <w:b w:val="1"/>
          <w:bCs w:val="1"/>
          <w:color w:val="auto"/>
        </w:rPr>
        <w:t>Purchaser SEC Reports</w:t>
      </w:r>
      <w:r>
        <w:rPr>
          <w:rFonts w:ascii="Times New Roman" w:cs="Times New Roman" w:eastAsia="Times New Roman" w:hAnsi="Times New Roman"/>
          <w:sz w:val="18"/>
          <w:szCs w:val="18"/>
          <w:color w:val="auto"/>
        </w:rPr>
        <w:t>”). As of its respective date, and, if amended, as of the date of the last such amendment, each Purchaser SEC Report complied in all material respects with the applicable requirements of the Securities Act and the Securities Exchange Act and any rules and regulations promulgated thereunder applicable to the Purchaser SEC Report. As of its respective date, and, if amended, as of the date of the last such amendment, no Purchaser SEC Report contained any untrue statement of a material fact or omitted to state a material fact required to be stated therein or necessary to make the statements made therein, in light of the circumstances in which they were made, not misleading. As of the Closing Date, there are no outstanding or unresolved comments from any comment letters received by Purchaser from the SEC relating to reports, statements, schedules, registration statements or other filings made by Purchaser with the SEC.</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6" w:lineRule="auto"/>
        <w:tabs>
          <w:tab w:leader="none" w:pos="15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conducted its own independent investigation, review and analysis of the business, results of operations, prospects, condition (financial or otherwise) or assets of the Acquired Companies, and acknowledges that it has been provided adequate access to the personnel, properties, assets, premises, books and records, and other documents and data of Seller and the Acquired Companies for such purpose.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acknowledges that (i) none of Seller, the Acquired Companies, nor any other Person on behalf of Seller or the Acquired Companies has made any representation or warranty, expressed or implied, as to the Acquired Companies or the Membership Interests, or the accuracy or completeness of any information regarding the Acquired Companies or the Membership Interests furnished or made available to Seller and its representatives, or any other matter related to the transactions contemplated herein, other than those representations and warranties expressly set forth in </w:t>
      </w:r>
      <w:r>
        <w:rPr>
          <w:rFonts w:ascii="Times New Roman" w:cs="Times New Roman" w:eastAsia="Times New Roman" w:hAnsi="Times New Roman"/>
          <w:sz w:val="18"/>
          <w:szCs w:val="18"/>
          <w:b w:val="1"/>
          <w:bCs w:val="1"/>
          <w:color w:val="auto"/>
        </w:rPr>
        <w:t>Error! Bookmark not defined.</w:t>
      </w:r>
      <w:r>
        <w:rPr>
          <w:rFonts w:ascii="Times New Roman" w:cs="Times New Roman" w:eastAsia="Times New Roman" w:hAnsi="Times New Roman"/>
          <w:sz w:val="18"/>
          <w:szCs w:val="18"/>
          <w:color w:val="auto"/>
        </w:rPr>
        <w:t>this Agreement (including the related portions of the Schedules), (ii) in determining to enter into this Agreement, Purchaser has not relied on any representation or warranty from Seller, the Acquired Companies or any other Person on behalf of Seller or the Acquired Companies, or upon the accuracy or completeness of any information regarding the Acquired Companies or the Membership Interests furnished or made available to Purchaser and its representatives, other than those representations and warranties expressly set forth in this Agreement (including the related portions of the Schedules), and (iii) none of Seller, the Acquired Companies or any other Person acting on behalf of Seller or the Acquired Companies shall have any liability to Purchaser or any other Person with respect to any projections, forecasts, estimates, plans, or budgets of future revenue, expenses, or expenditures, future results of operations, future cash flows, or the future financial condition of the Acquired Companies or the future business, operations, or affairs of the Acquired Companies.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No Other Representations and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b w:val="1"/>
          <w:bCs w:val="1"/>
          <w:color w:val="auto"/>
        </w:rPr>
        <w:t>Error! Bookmark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defined.</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the Purchaser or any other Person has made or makes any other express or implied representation or warranty, either written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 on behalf of the Purchaser, including any representation or warranty as to the accuracy or completeness of any information regarding the Purchaser furnished or made available to the Seller and its representatives.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 REPURCHASE RIGHTS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Seller and Purchaser shall not issue or make any press release or other public statements with respect to the transactions contemplated hereunder without the other Party’s prior written consent.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Further Assurances; Release of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6" w:lineRule="auto"/>
        <w:tabs>
          <w:tab w:leader="none" w:pos="15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each Party shall, and shall cause its Affiliates to, execute and deliver such additional documents, instruments, conveyances and assurances, and take such further actions as may be reasonably required to carry out the provisions hereof and give effect to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Seller shall, and shall cause its Affiliates to, execute and deliver such additional documents, instruments and assurances, and take such further actions as may be reasonably required to obtain a full and unconditional release of the Seller Affiliate Liens, which release shall be obtained within ninety (90) calendar days of the Closing and shall not require any payment or other consideration from the Purchaser.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Governmental Authority Concerns</w:t>
      </w:r>
      <w:r>
        <w:rPr>
          <w:rFonts w:ascii="Times New Roman" w:cs="Times New Roman" w:eastAsia="Times New Roman" w:hAnsi="Times New Roman"/>
          <w:sz w:val="18"/>
          <w:szCs w:val="18"/>
          <w:color w:val="auto"/>
        </w:rPr>
        <w:t>. The Parties agree that if any Governmental Authority raises concerns regarding any aspect of the transactions contemplated in this Agreement, the Parties will work together in good faith for a period of up to 30 days (or such longer period as the Parties may mutually agree) to address and resolve such concerns.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Access to and Preservation of Information and Records</w:t>
      </w:r>
      <w:r>
        <w:rPr>
          <w:rFonts w:ascii="Times New Roman" w:cs="Times New Roman" w:eastAsia="Times New Roman" w:hAnsi="Times New Roman"/>
          <w:sz w:val="18"/>
          <w:szCs w:val="18"/>
          <w:color w:val="auto"/>
        </w:rPr>
        <w:t>. For a period of five (5) years following the Closing Date, each of Purchaser and Seller shall preserve any books and records relating to the Business and shall provide to the other Party reasonable access to such books and records and to their respective employees and agents as the other Party shall reasonably request for purposes of preparing Tax Returns required to be filed by such Party, and responding to audits thereof, or as otherwise needed by such Party with respect to matters related to the Business. Each Party shall also provide the other Party such information related to the Acquired Companies or the Business as such other Party shall reasonably request for such purposes.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Payment of Pre-Closing Liabilities; Incorrect Payments</w:t>
      </w:r>
      <w:r>
        <w:rPr>
          <w:rFonts w:ascii="Times New Roman" w:cs="Times New Roman" w:eastAsia="Times New Roman" w:hAnsi="Times New Roman"/>
          <w:sz w:val="18"/>
          <w:szCs w:val="18"/>
          <w:color w:val="auto"/>
        </w:rPr>
        <w:t>. Notwithstanding anything to the contrary herein, the Parties agree that (i) Purchaser shall be solely responsible for satisfying any pre-Closing payables of the Acquired Companies that remain outstanding as of the Closing, and (ii) while Purchaser shall be entitled to receive funds payable into the Acquired Companies’ bank accounts with respect to receivables that were included as Current Assets in the calculation of Closing Working Capital, to the extent that either Acquired Company receives post- Closing payments that were not included as Current Assets in the calculation of Closing Working Capital and that ought to have been made to Seller or its Affiliates, then, to the extent the amount of such payments exceeds $1,000.00, the Purchaser shall cause the Acquired Companies to pay the amount of such excess to Seller or its designee.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5" w:lineRule="auto"/>
        <w:tabs>
          <w:tab w:leader="none" w:pos="9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personal property, real property and ad valorem (and other similar) Taxes of the Acquired Companies for any Tax period beginning on or before the Closing Date and ending after the Closing Date (a “</w:t>
      </w:r>
      <w:r>
        <w:rPr>
          <w:rFonts w:ascii="Times New Roman" w:cs="Times New Roman" w:eastAsia="Times New Roman" w:hAnsi="Times New Roman"/>
          <w:sz w:val="18"/>
          <w:szCs w:val="18"/>
          <w:b w:val="1"/>
          <w:bCs w:val="1"/>
          <w:color w:val="auto"/>
        </w:rPr>
        <w:t>Straddle Period</w:t>
      </w:r>
      <w:r>
        <w:rPr>
          <w:rFonts w:ascii="Times New Roman" w:cs="Times New Roman" w:eastAsia="Times New Roman" w:hAnsi="Times New Roman"/>
          <w:sz w:val="18"/>
          <w:szCs w:val="18"/>
          <w:color w:val="auto"/>
        </w:rPr>
        <w:t>”) that is attributable to the portion of such Tax period ending on and including the Closing Date shall be deemed to be the amount of such Taxes for the entire Straddle Period multiplied by a fraction, the numerator of which is the number of days in the Tax period ending on the Closing Date and the denominator of which is the number of days in such Straddle Period. The amount of any other Taxes of the Acquired Companies that relate to the pre-Closing portion of a Straddle Period will be determined based on an interim closing of the books as of the end of the Closing Date; provided, however, that any item determined on an annual or periodic basis (such as deductions for depreciation or real estate Taxes) shall be apportioned on a daily basis.</w:t>
      </w:r>
    </w:p>
    <w:p>
      <w:pPr>
        <w:spacing w:after="0" w:line="188" w:lineRule="exact"/>
        <w:rPr>
          <w:rFonts w:ascii="Times New Roman" w:cs="Times New Roman" w:eastAsia="Times New Roman" w:hAnsi="Times New Roman"/>
          <w:sz w:val="18"/>
          <w:szCs w:val="18"/>
          <w:color w:val="auto"/>
        </w:rPr>
      </w:pPr>
    </w:p>
    <w:p>
      <w:pPr>
        <w:jc w:val="both"/>
        <w:ind w:firstLine="644"/>
        <w:spacing w:after="0" w:line="254" w:lineRule="auto"/>
        <w:tabs>
          <w:tab w:leader="none" w:pos="9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prepare and timely file, or cause to be prepared and timely filed, all Tax Returns of any combined, consolidated, affiliated or unitary group that includes an Acquired Company and for which Seller or any of its Affiliates (other than the Company) is the common parent (a “</w:t>
      </w:r>
      <w:r>
        <w:rPr>
          <w:rFonts w:ascii="Times New Roman" w:cs="Times New Roman" w:eastAsia="Times New Roman" w:hAnsi="Times New Roman"/>
          <w:sz w:val="18"/>
          <w:szCs w:val="18"/>
          <w:b w:val="1"/>
          <w:bCs w:val="1"/>
          <w:color w:val="auto"/>
        </w:rPr>
        <w:t>Seller Consolidated Group</w:t>
      </w:r>
      <w:r>
        <w:rPr>
          <w:rFonts w:ascii="Times New Roman" w:cs="Times New Roman" w:eastAsia="Times New Roman" w:hAnsi="Times New Roman"/>
          <w:sz w:val="18"/>
          <w:szCs w:val="18"/>
          <w:color w:val="auto"/>
        </w:rPr>
        <w:t>” and any such Tax Return, a “</w:t>
      </w:r>
      <w:r>
        <w:rPr>
          <w:rFonts w:ascii="Times New Roman" w:cs="Times New Roman" w:eastAsia="Times New Roman" w:hAnsi="Times New Roman"/>
          <w:sz w:val="18"/>
          <w:szCs w:val="18"/>
          <w:b w:val="1"/>
          <w:bCs w:val="1"/>
          <w:color w:val="auto"/>
        </w:rPr>
        <w:t>Seller Consolidated Return</w:t>
      </w:r>
      <w:r>
        <w:rPr>
          <w:rFonts w:ascii="Times New Roman" w:cs="Times New Roman" w:eastAsia="Times New Roman" w:hAnsi="Times New Roman"/>
          <w:sz w:val="18"/>
          <w:szCs w:val="18"/>
          <w:color w:val="auto"/>
        </w:rPr>
        <w:t>”), and all Flow-Through Tax Returns of the Acquired Companies required to be filed for taxable periods ending on or prior to the Closing Date that become due after the Closing Date (each an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All Seller Tax Returns shall be prepared in accordance with the past practices of the Acquired Companies except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Law. Except as provided above for Seller Tax Returns, Purchaser shall prepare and timely file, or cause to be prepared and timely filed all Tax Returns required to be filed by the Acquired Companies after the Closing Date with respect to a Pre-Closing Tax Period. Any such Tax Return shall be prepared in accordance with the past practices of the Acquired Companies except as otherwise required by Law.</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9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all Tax Returns with respect to any transfer, documentary, sales, use, stamp, registration, value added and other such Taxes and fees (including any penalties and interest) incurred in connection with, or as a result of, the Transaction (including any real property transfer Tax and any other similar Tax) (the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incurred in connection with or as a consequence of the Transaction shall be timely filed by the Party hereto responsible for such filing under applicable Law, and all such Transfer Taxes (and all reasonable out-of-pocket costs for preparation of such Tax Returns) shall be borne by the Seller. Purchaser and Seller shall reasonably cooperate to reduce or eliminate any Transfer Taxes to the extent permitted by applicable Law.</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9" w:name="page70"/>
    <w:bookmarkEnd w:id="69"/>
    <w:p>
      <w:pPr>
        <w:ind w:left="-460" w:firstLine="644"/>
        <w:spacing w:after="0" w:line="282" w:lineRule="auto"/>
        <w:tabs>
          <w:tab w:leader="none" w:pos="4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to utilize, or cause their respective Affiliates to utilize, the “standard procedure” set forth in Section 4 of Revenue Procedure 2004-53, 2004-2 C.B. 320 for wage reporting with respect to any transferring Business employees.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promptly notify Seller in writing upon receipt by Purchaser or any of its Affiliates of notice of any pending or threatened Tax audits, examinations or assessments which, if successful, is reasonably expected to result in an indemnity payment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Tax Claim</w:t>
      </w:r>
      <w:r>
        <w:rPr>
          <w:rFonts w:ascii="Times New Roman" w:cs="Times New Roman" w:eastAsia="Times New Roman" w:hAnsi="Times New Roman"/>
          <w:sz w:val="18"/>
          <w:szCs w:val="18"/>
          <w:color w:val="auto"/>
        </w:rPr>
        <w:t>”). Notwithstanding anything to the contrary in this Agreement, Seller shall have the right to control any Tax Claim relating to (A) any Tax Return of Seller or any of its Affiliates (other than solely the Acquired Companies), (B) any Flow-Through Tax Return (in respect of periods ending on or prior to the Closing Date), and (C) any Tax Return of any Seller Consolidated Group (including any Seller Consolidated Return). If Seller chooses not to control such Tax Claim, Purchaser may defend the same in such manner as it may deem appropriate. The Party hereto controlling a Tax Claim shall in any event keep the other Party hereto informed of the progress of such Tax Claim, shall promptly provide such other Party with copies of all material documents (including material notices, protests, briefs, written rulings and determinations and correspondence) pertaining to such Tax Claim and shall not settle such Tax Claim without such other Party’s advance written consent, which consent shall not be unreasonably withheld, conditioned or delayed.</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the transactions contemplated by this Agreement shall be treated for all U.S. federal income tax purposes and, as may be applicable, for state and local income tax purposes, as a sale of all the assets of the Acquired Companies in the case of Seller and as a purchase of all the assets of the Acquired Companies in the case of Purchaser. The Parties shall file, and cause their Affiliates to file, all Tax Returns in a manner consistent with such treatment and will take no position inconsistent with such characterization for any income tax purposes.</w:t>
      </w:r>
    </w:p>
    <w:p>
      <w:pPr>
        <w:spacing w:after="0" w:line="183"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4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Purchaser and the Acquired Companies shall not, and shall cause their Affiliates not to, without the prior written consent of Seller (which consent shall not be unreasonably withheld, conditioned or delayed), (i) make or change any Tax election that has a retroactive effect to a Pre-Closing Tax Period, or (ii) amend, refile or otherwise modify any Tax Return relating to a Pre-Closing Tax Period.</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refund or credit or offset in lieu thereof (including any interest paid or credited by a taxing authority with respect thereto) of the Acquired Companies with respect to a Pre-Closing Tax Period or for which Seller would otherwise be responsible pursuant to this Agreement (a “</w:t>
      </w:r>
      <w:r>
        <w:rPr>
          <w:rFonts w:ascii="Times New Roman" w:cs="Times New Roman" w:eastAsia="Times New Roman" w:hAnsi="Times New Roman"/>
          <w:sz w:val="18"/>
          <w:szCs w:val="18"/>
          <w:b w:val="1"/>
          <w:bCs w:val="1"/>
          <w:color w:val="auto"/>
        </w:rPr>
        <w:t>Tax Refund</w:t>
      </w:r>
      <w:r>
        <w:rPr>
          <w:rFonts w:ascii="Times New Roman" w:cs="Times New Roman" w:eastAsia="Times New Roman" w:hAnsi="Times New Roman"/>
          <w:sz w:val="18"/>
          <w:szCs w:val="18"/>
          <w:color w:val="auto"/>
        </w:rPr>
        <w:t>”) shall be for the sole benefit of Seller, provided that Seller shall not be entitled to any refund of Taxes to the extent such refund is attributable to the carryback of losses solely arising in or attributable to any period that is not a Pre-Closing Tax Period. To the extent that Purchaser or any of its Affiliates (including the Acquired Companies after the Closing) receives any Tax Refund, Purchaser shall promptly pay to Seller such Tax Refund after such receipt.</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Repurchase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Call Option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1300" w:hanging="332"/>
        <w:spacing w:after="0" w:line="254"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grants to Seller an option to repurchase the Acquired Companies (such option, the “</w:t>
      </w:r>
      <w:r>
        <w:rPr>
          <w:rFonts w:ascii="Times New Roman" w:cs="Times New Roman" w:eastAsia="Times New Roman" w:hAnsi="Times New Roman"/>
          <w:sz w:val="18"/>
          <w:szCs w:val="18"/>
          <w:b w:val="1"/>
          <w:bCs w:val="1"/>
          <w:color w:val="auto"/>
        </w:rPr>
        <w:t>Call Option</w:t>
      </w:r>
      <w:r>
        <w:rPr>
          <w:rFonts w:ascii="Times New Roman" w:cs="Times New Roman" w:eastAsia="Times New Roman" w:hAnsi="Times New Roman"/>
          <w:sz w:val="18"/>
          <w:szCs w:val="18"/>
          <w:color w:val="auto"/>
        </w:rPr>
        <w:t>”), at a purchase price equal to (i) the Purchase Price plus an amount of simple interest on such Purchase Price equal to 10% per annum based on the number of days elapsed between the Closing and the date Seller delivers the Call Option Exercise Notice (defined below) and assuming a 365-day year if the Call Option Exercise Notice is delivered on or prior to the 24-month anniversary of the Closing or (ii) at a purchase price agreed upon by Purchaser and Seller or, if they cannot agree, the midway point of the valuation range determined by a third-party appraisal company jointly selected by the parties if the Call Option Exercise Notice is delivered after the 24-month anniversary of the Closing (the “</w:t>
      </w:r>
      <w:r>
        <w:rPr>
          <w:rFonts w:ascii="Times New Roman" w:cs="Times New Roman" w:eastAsia="Times New Roman" w:hAnsi="Times New Roman"/>
          <w:sz w:val="18"/>
          <w:szCs w:val="18"/>
          <w:b w:val="1"/>
          <w:bCs w:val="1"/>
          <w:color w:val="auto"/>
        </w:rPr>
        <w:t>Option Purchase Price</w:t>
      </w:r>
      <w:r>
        <w:rPr>
          <w:rFonts w:ascii="Times New Roman" w:cs="Times New Roman" w:eastAsia="Times New Roman" w:hAnsi="Times New Roman"/>
          <w:sz w:val="18"/>
          <w:szCs w:val="18"/>
          <w:color w:val="auto"/>
        </w:rPr>
        <w:t>”). The Call Option may only be exercised upon an event outside the Seller’s and Purchaser’s control which (i) could reasonably be expected to have a material and adverse impact on the standing of the Purchaser on its primary exchange or (ii) upon a ban of consumable hemp-derived THC products. This Call Option will expire on the five (5) year anniversary of the Closing unless duly exercised by the Seller prior to such date.</w:t>
      </w:r>
    </w:p>
    <w:p>
      <w:pPr>
        <w:spacing w:after="0" w:line="186" w:lineRule="exact"/>
        <w:rPr>
          <w:rFonts w:ascii="Times New Roman" w:cs="Times New Roman" w:eastAsia="Times New Roman" w:hAnsi="Times New Roman"/>
          <w:sz w:val="18"/>
          <w:szCs w:val="18"/>
          <w:color w:val="auto"/>
        </w:rPr>
      </w:pPr>
    </w:p>
    <w:p>
      <w:pPr>
        <w:jc w:val="both"/>
        <w:ind w:left="1300" w:hanging="332"/>
        <w:spacing w:after="0" w:line="270" w:lineRule="auto"/>
        <w:tabs>
          <w:tab w:leader="none" w:pos="130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exercise the Call Option, the Seller must deliver a written notice to the Purchaser prior to the Five (5) year anniversary of the Closing referencing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and stating its intention to exercise the Call Option (the “</w:t>
      </w:r>
      <w:r>
        <w:rPr>
          <w:rFonts w:ascii="Times New Roman" w:cs="Times New Roman" w:eastAsia="Times New Roman" w:hAnsi="Times New Roman"/>
          <w:sz w:val="17"/>
          <w:szCs w:val="17"/>
          <w:b w:val="1"/>
          <w:bCs w:val="1"/>
          <w:color w:val="auto"/>
        </w:rPr>
        <w:t>Call Option Exercise Notice</w:t>
      </w:r>
      <w:r>
        <w:rPr>
          <w:rFonts w:ascii="Times New Roman" w:cs="Times New Roman" w:eastAsia="Times New Roman" w:hAnsi="Times New Roman"/>
          <w:sz w:val="17"/>
          <w:szCs w:val="17"/>
          <w:color w:val="auto"/>
        </w:rPr>
        <w:t xml:space="preserve">”) on the date that is five (5) business days following the date of the Call Option Exercise Notice or such date as may be mutually agreed to by the Seller and the Purchaser. The aggregate Option Purchase Price (as determined in accordance with </w:t>
      </w:r>
      <w:r>
        <w:rPr>
          <w:rFonts w:ascii="Times New Roman" w:cs="Times New Roman" w:eastAsia="Times New Roman" w:hAnsi="Times New Roman"/>
          <w:sz w:val="17"/>
          <w:szCs w:val="17"/>
          <w:u w:val="single" w:color="auto"/>
          <w:color w:val="auto"/>
        </w:rPr>
        <w:t>Section 6.7(a)</w:t>
      </w:r>
    </w:p>
    <w:p>
      <w:pPr>
        <w:spacing w:after="0" w:line="2" w:lineRule="exact"/>
        <w:rPr>
          <w:rFonts w:ascii="Times New Roman" w:cs="Times New Roman" w:eastAsia="Times New Roman" w:hAnsi="Times New Roman"/>
          <w:sz w:val="17"/>
          <w:szCs w:val="17"/>
          <w:color w:val="auto"/>
        </w:rPr>
      </w:pPr>
    </w:p>
    <w:p>
      <w:pPr>
        <w:ind w:left="13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shall be paid by the Seller to the Purchaser pursuant to a wire transfer of immediately available funds to an account designated in writing to the Seller by the Purchaser upon the closing of Seller’s repurchase of the Acquired Companies.</w:t>
      </w:r>
    </w:p>
    <w:p>
      <w:pPr>
        <w:spacing w:after="0" w:line="181" w:lineRule="exact"/>
        <w:rPr>
          <w:rFonts w:ascii="Times New Roman" w:cs="Times New Roman" w:eastAsia="Times New Roman" w:hAnsi="Times New Roman"/>
          <w:sz w:val="17"/>
          <w:szCs w:val="17"/>
          <w:color w:val="auto"/>
        </w:rPr>
      </w:pPr>
    </w:p>
    <w:p>
      <w:pPr>
        <w:ind w:left="900" w:hanging="25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Put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238"/>
        <w:spacing w:after="0" w:line="256" w:lineRule="auto"/>
        <w:tabs>
          <w:tab w:leader="none" w:pos="130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grants to Purchaser an option to require the Seller to repurchase the Acquired Companies (such option, the “</w:t>
      </w:r>
      <w:r>
        <w:rPr>
          <w:rFonts w:ascii="Times New Roman" w:cs="Times New Roman" w:eastAsia="Times New Roman" w:hAnsi="Times New Roman"/>
          <w:sz w:val="18"/>
          <w:szCs w:val="18"/>
          <w:b w:val="1"/>
          <w:bCs w:val="1"/>
          <w:color w:val="auto"/>
        </w:rPr>
        <w:t>Put Option</w:t>
      </w:r>
      <w:r>
        <w:rPr>
          <w:rFonts w:ascii="Times New Roman" w:cs="Times New Roman" w:eastAsia="Times New Roman" w:hAnsi="Times New Roman"/>
          <w:sz w:val="18"/>
          <w:szCs w:val="18"/>
          <w:color w:val="auto"/>
        </w:rPr>
        <w:t>”), at a purchase price equal to the Option Purchase Price (treating a Put Option Exercise Notice as a Call Option Exercise Notice for purposes of calculating the Option Purchase Price), if the Seller Affiliate Liens are not fully released from the Acquired Companies and their assets within 90 days following Closing (or such longer timeframe if otherwise extended upon mutual agreement of the Parties)(a “</w:t>
      </w:r>
      <w:r>
        <w:rPr>
          <w:rFonts w:ascii="Times New Roman" w:cs="Times New Roman" w:eastAsia="Times New Roman" w:hAnsi="Times New Roman"/>
          <w:sz w:val="18"/>
          <w:szCs w:val="18"/>
          <w:b w:val="1"/>
          <w:bCs w:val="1"/>
          <w:color w:val="auto"/>
        </w:rPr>
        <w:t>Put Option Trigger Event</w:t>
      </w:r>
      <w:r>
        <w:rPr>
          <w:rFonts w:ascii="Times New Roman" w:cs="Times New Roman" w:eastAsia="Times New Roman" w:hAnsi="Times New Roman"/>
          <w:sz w:val="18"/>
          <w:szCs w:val="18"/>
          <w:color w:val="auto"/>
        </w:rPr>
        <w:t>”). The Put Option will expire on the five (5) year anniversary of the Closing unless duly exercised by the Seller prior to such date.</w:t>
      </w:r>
    </w:p>
    <w:p>
      <w:pPr>
        <w:spacing w:after="0" w:line="200" w:lineRule="exact"/>
        <w:rPr>
          <w:sz w:val="20"/>
          <w:szCs w:val="20"/>
          <w:color w:val="auto"/>
        </w:rPr>
      </w:pPr>
    </w:p>
    <w:p>
      <w:pPr>
        <w:spacing w:after="0" w:line="20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1" w:name="page72"/>
    <w:bookmarkEnd w:id="71"/>
    <w:p>
      <w:pPr>
        <w:jc w:val="both"/>
        <w:ind w:left="1300" w:hanging="332"/>
        <w:spacing w:after="0" w:line="255"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exercise the Put Option, the Purchaser must deliver a written notice to the Seller within ninety (90) days of a Put Option Trigger Event, which notice shall reference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state the Purchaser’s intention to exercise the Put Option (the “</w:t>
      </w:r>
      <w:r>
        <w:rPr>
          <w:rFonts w:ascii="Times New Roman" w:cs="Times New Roman" w:eastAsia="Times New Roman" w:hAnsi="Times New Roman"/>
          <w:sz w:val="18"/>
          <w:szCs w:val="18"/>
          <w:b w:val="1"/>
          <w:bCs w:val="1"/>
          <w:color w:val="auto"/>
        </w:rPr>
        <w:t>Put Option Exercise Notice</w:t>
      </w:r>
      <w:r>
        <w:rPr>
          <w:rFonts w:ascii="Times New Roman" w:cs="Times New Roman" w:eastAsia="Times New Roman" w:hAnsi="Times New Roman"/>
          <w:sz w:val="18"/>
          <w:szCs w:val="18"/>
          <w:color w:val="auto"/>
        </w:rPr>
        <w:t xml:space="preserve">”) on the date that is five (5) business days following the date of the Put Option Exercise Notice or such date as may be mutually agreed to by the Seller and the Purchaser. The aggregate Option Purchase Price (as determined in accordance with </w:t>
      </w:r>
      <w:r>
        <w:rPr>
          <w:rFonts w:ascii="Times New Roman" w:cs="Times New Roman" w:eastAsia="Times New Roman" w:hAnsi="Times New Roman"/>
          <w:sz w:val="18"/>
          <w:szCs w:val="18"/>
          <w:u w:val="single" w:color="auto"/>
          <w:color w:val="auto"/>
        </w:rPr>
        <w:t>Section 6.7(a)(i)</w:t>
      </w:r>
      <w:r>
        <w:rPr>
          <w:rFonts w:ascii="Times New Roman" w:cs="Times New Roman" w:eastAsia="Times New Roman" w:hAnsi="Times New Roman"/>
          <w:sz w:val="18"/>
          <w:szCs w:val="18"/>
          <w:color w:val="auto"/>
        </w:rPr>
        <w:t>) shall be paid by the Seller to the Purchaser pursuant to a wire transfer of immediately available funds to an account designated in writing to the Seller by the Purchaser upon the closing of Seller’s repurchase of the Acquired Companies.</w:t>
      </w:r>
    </w:p>
    <w:p>
      <w:pPr>
        <w:spacing w:after="0" w:line="188" w:lineRule="exact"/>
        <w:rPr>
          <w:rFonts w:ascii="Times New Roman" w:cs="Times New Roman" w:eastAsia="Times New Roman" w:hAnsi="Times New Roman"/>
          <w:sz w:val="18"/>
          <w:szCs w:val="18"/>
          <w:color w:val="auto"/>
        </w:rPr>
      </w:pPr>
    </w:p>
    <w:p>
      <w:pPr>
        <w:ind w:left="880" w:hanging="23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32"/>
        <w:spacing w:after="0" w:line="254"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either of the Put Option or the Call Option is exercised, the Purchaser shall take all actions as may be reasonably necessary to consummate the repurchase by the Seller of the Acquired Companies and the assets held by the Acquired Companies at the Closing free and clear of all liens, claims, options, charges, security interests, pledges, mortgages or other encumbrances, including, without limitation, entering into agreements and delivering certificates and instruments and consents as may be necessary or appropriate (which definitive documents shall contain representations and warranties, purchase price adjustment provisions, and indemnification provisions that are, in each case, substantially identical to those contained herein). To the extent any assets of the Acquired Companies at the time of Closing are transferred to an affiliate of the Purchaser following Closing, then, in connection with the exercise of any Put Option or Call Option, the Purchaser shall take all actions as may be reasonably necessary to transfer such assets to the Acquired Companies prior the consummation of the repurchase.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Restrictions on Transfer; Right of First Offer; Right of First Refusal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332"/>
        <w:spacing w:after="0" w:line="254"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hereby agrees that, for a period beginning at the Closing and ending on the five (5) year anniversary thereof, without the prior written notice to Seller along with compliance with the terms and conditions of Sections 6.8(b) and 6.8(c), neither the Purchaser nor its Affiliates shall, directly or indirectly, sell, pledge, sublicense, transfer, abandon, or otherwise dispose of any of the membership interests or material assets of the Acquired Companies (such prohibited transfers being referred to collectively as “</w:t>
      </w:r>
      <w:r>
        <w:rPr>
          <w:rFonts w:ascii="Times New Roman" w:cs="Times New Roman" w:eastAsia="Times New Roman" w:hAnsi="Times New Roman"/>
          <w:sz w:val="18"/>
          <w:szCs w:val="18"/>
          <w:b w:val="1"/>
          <w:bCs w:val="1"/>
          <w:color w:val="auto"/>
        </w:rPr>
        <w:t>Transfers</w:t>
      </w:r>
      <w:r>
        <w:rPr>
          <w:rFonts w:ascii="Times New Roman" w:cs="Times New Roman" w:eastAsia="Times New Roman" w:hAnsi="Times New Roman"/>
          <w:sz w:val="18"/>
          <w:szCs w:val="18"/>
          <w:color w:val="auto"/>
        </w:rPr>
        <w:t xml:space="preserve">”). The Transfer restrictions set forth in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are designed solely to prevent Transfer of the membership interests or material assets of the Acquired Companies to a competitor or to a less creditworthy, or otherwise less qualified, party in the event such party is not the only potential purchaser of the membership interests or material assets of the Acquired Companies. The Transfer restrictions set forth in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are not intended to constrain the Purchaser from recognizing its economic interests in the Acquired Companies.</w:t>
      </w:r>
    </w:p>
    <w:p>
      <w:pPr>
        <w:spacing w:after="0" w:line="200" w:lineRule="exact"/>
        <w:rPr>
          <w:sz w:val="20"/>
          <w:szCs w:val="20"/>
          <w:color w:val="auto"/>
        </w:rPr>
      </w:pPr>
    </w:p>
    <w:p>
      <w:pPr>
        <w:spacing w:after="0" w:line="20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2" w:name="page73"/>
    <w:bookmarkEnd w:id="72"/>
    <w:p>
      <w:pPr>
        <w:ind w:left="440" w:hanging="256"/>
        <w:spacing w:after="0"/>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Offer</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left="840" w:hanging="332"/>
        <w:spacing w:after="0" w:line="268" w:lineRule="auto"/>
        <w:tabs>
          <w:tab w:leader="none" w:pos="8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Closing (the “</w:t>
      </w:r>
      <w:r>
        <w:rPr>
          <w:rFonts w:ascii="Times New Roman" w:cs="Times New Roman" w:eastAsia="Times New Roman" w:hAnsi="Times New Roman"/>
          <w:sz w:val="18"/>
          <w:szCs w:val="18"/>
          <w:b w:val="1"/>
          <w:bCs w:val="1"/>
          <w:color w:val="auto"/>
        </w:rPr>
        <w:t>ROFO Period</w:t>
      </w:r>
      <w:r>
        <w:rPr>
          <w:rFonts w:ascii="Times New Roman" w:cs="Times New Roman" w:eastAsia="Times New Roman" w:hAnsi="Times New Roman"/>
          <w:sz w:val="18"/>
          <w:szCs w:val="18"/>
          <w:color w:val="auto"/>
        </w:rPr>
        <w:t>”), the Purchaser shall not solicit offers to enter into any agreement or consummate any transaction relating to a Transfer with any Person that is not the Seller or its Affiliates (a “</w:t>
      </w:r>
      <w:r>
        <w:rPr>
          <w:rFonts w:ascii="Times New Roman" w:cs="Times New Roman" w:eastAsia="Times New Roman" w:hAnsi="Times New Roman"/>
          <w:sz w:val="18"/>
          <w:szCs w:val="18"/>
          <w:b w:val="1"/>
          <w:bCs w:val="1"/>
          <w:color w:val="auto"/>
        </w:rPr>
        <w:t>Third Party Transaction</w:t>
      </w:r>
      <w:r>
        <w:rPr>
          <w:rFonts w:ascii="Times New Roman" w:cs="Times New Roman" w:eastAsia="Times New Roman" w:hAnsi="Times New Roman"/>
          <w:sz w:val="18"/>
          <w:szCs w:val="18"/>
          <w:color w:val="auto"/>
        </w:rPr>
        <w:t xml:space="preserve">”) except in compliance with the terms and conditions of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left="840" w:hanging="332"/>
        <w:spacing w:after="0" w:line="258" w:lineRule="auto"/>
        <w:tabs>
          <w:tab w:leader="none" w:pos="8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ROFO Period, the Purchaser decides to pursue a Third Party Transaction, the Purchaser shall, prior to soliciting any offers with respect to a Third Party Transaction, deliver to the Seller a written offer (the “</w:t>
      </w:r>
      <w:r>
        <w:rPr>
          <w:rFonts w:ascii="Times New Roman" w:cs="Times New Roman" w:eastAsia="Times New Roman" w:hAnsi="Times New Roman"/>
          <w:sz w:val="18"/>
          <w:szCs w:val="18"/>
          <w:b w:val="1"/>
          <w:bCs w:val="1"/>
          <w:color w:val="auto"/>
        </w:rPr>
        <w:t>ROFO Offer Notice</w:t>
      </w:r>
      <w:r>
        <w:rPr>
          <w:rFonts w:ascii="Times New Roman" w:cs="Times New Roman" w:eastAsia="Times New Roman" w:hAnsi="Times New Roman"/>
          <w:sz w:val="18"/>
          <w:szCs w:val="18"/>
          <w:color w:val="auto"/>
        </w:rPr>
        <w:t>”) outlining the material financial and other terms and conditions under which the Purchaser would like to effect a Third Party Transaction (the “</w:t>
      </w:r>
      <w:r>
        <w:rPr>
          <w:rFonts w:ascii="Times New Roman" w:cs="Times New Roman" w:eastAsia="Times New Roman" w:hAnsi="Times New Roman"/>
          <w:sz w:val="18"/>
          <w:szCs w:val="18"/>
          <w:b w:val="1"/>
          <w:bCs w:val="1"/>
          <w:color w:val="auto"/>
        </w:rPr>
        <w:t>ROFO Material Terms</w:t>
      </w:r>
      <w:r>
        <w:rPr>
          <w:rFonts w:ascii="Times New Roman" w:cs="Times New Roman" w:eastAsia="Times New Roman" w:hAnsi="Times New Roman"/>
          <w:sz w:val="18"/>
          <w:szCs w:val="18"/>
          <w:color w:val="auto"/>
        </w:rPr>
        <w:t>”). Each ROFO Offer Notice constitutes an offer made by the Purchaser to enter into an agreement with the Seller or its Affiliates subject to the ROFO Material Terms (the “</w:t>
      </w:r>
      <w:r>
        <w:rPr>
          <w:rFonts w:ascii="Times New Roman" w:cs="Times New Roman" w:eastAsia="Times New Roman" w:hAnsi="Times New Roman"/>
          <w:sz w:val="18"/>
          <w:szCs w:val="18"/>
          <w:b w:val="1"/>
          <w:bCs w:val="1"/>
          <w:color w:val="auto"/>
        </w:rPr>
        <w:t>ROFO Offer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840" w:hanging="332"/>
        <w:spacing w:after="0" w:line="266" w:lineRule="auto"/>
        <w:tabs>
          <w:tab w:leader="none" w:pos="8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expiration of the thirty (30) day period following Seller’s receipt of the ROFO Offer Notice (the “</w:t>
      </w:r>
      <w:r>
        <w:rPr>
          <w:rFonts w:ascii="Times New Roman" w:cs="Times New Roman" w:eastAsia="Times New Roman" w:hAnsi="Times New Roman"/>
          <w:sz w:val="18"/>
          <w:szCs w:val="18"/>
          <w:b w:val="1"/>
          <w:bCs w:val="1"/>
          <w:color w:val="auto"/>
        </w:rPr>
        <w:t>ROFO Exercise Period</w:t>
      </w:r>
      <w:r>
        <w:rPr>
          <w:rFonts w:ascii="Times New Roman" w:cs="Times New Roman" w:eastAsia="Times New Roman" w:hAnsi="Times New Roman"/>
          <w:sz w:val="18"/>
          <w:szCs w:val="18"/>
          <w:color w:val="auto"/>
        </w:rPr>
        <w:t>”), the Seller may accept the ROFO Offer by delivery to the Purchaser of a written notice of acceptance executed by the Seller.</w:t>
      </w:r>
    </w:p>
    <w:p>
      <w:pPr>
        <w:spacing w:after="0" w:line="175" w:lineRule="exact"/>
        <w:rPr>
          <w:rFonts w:ascii="Times New Roman" w:cs="Times New Roman" w:eastAsia="Times New Roman" w:hAnsi="Times New Roman"/>
          <w:sz w:val="18"/>
          <w:szCs w:val="18"/>
          <w:color w:val="auto"/>
        </w:rPr>
      </w:pPr>
    </w:p>
    <w:p>
      <w:pPr>
        <w:jc w:val="both"/>
        <w:ind w:left="840" w:hanging="332"/>
        <w:spacing w:after="0" w:line="255" w:lineRule="auto"/>
        <w:tabs>
          <w:tab w:leader="none" w:pos="8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by the expiration of the ROFO Exercise Period, the Seller has not accepted the ROFO Offer, and provided that the Purchaser has materially complied with all of the provisions of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 xml:space="preserve">), at any time following the expiration of the ROFO Exercise Period, the Purchaser may solicit offers with respect to a Third Party Transaction (subject to the Purchaser’s compliance with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If a Third Party Transaction is not consummated within 180 days of the ROFO Offer Notice, the terms and conditions of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 xml:space="preserve">) will again apply and the Purchaser shall not solicit offers with respect to a Third Party Transaction during the ROFO Period without affording the Seller the right of first offer on the terms and conditions of this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3" w:name="page74"/>
    <w:bookmarkEnd w:id="73"/>
    <w:p>
      <w:pPr>
        <w:ind w:left="420" w:hanging="236"/>
        <w:spacing w:after="0"/>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840" w:hanging="332"/>
        <w:spacing w:after="0" w:line="286" w:lineRule="auto"/>
        <w:tabs>
          <w:tab w:leader="none" w:pos="8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Closing (the “</w:t>
      </w:r>
      <w:r>
        <w:rPr>
          <w:rFonts w:ascii="Times New Roman" w:cs="Times New Roman" w:eastAsia="Times New Roman" w:hAnsi="Times New Roman"/>
          <w:sz w:val="18"/>
          <w:szCs w:val="18"/>
          <w:b w:val="1"/>
          <w:bCs w:val="1"/>
          <w:color w:val="auto"/>
        </w:rPr>
        <w:t>ROFR Period</w:t>
      </w:r>
      <w:r>
        <w:rPr>
          <w:rFonts w:ascii="Times New Roman" w:cs="Times New Roman" w:eastAsia="Times New Roman" w:hAnsi="Times New Roman"/>
          <w:sz w:val="18"/>
          <w:szCs w:val="18"/>
          <w:color w:val="auto"/>
        </w:rPr>
        <w:t xml:space="preserve">”), the Purchaser shall not enter into any agreement to, or consummate, any Third Party Transaction except in compliance with the terms and conditions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840" w:hanging="332"/>
        <w:spacing w:after="0" w:line="256" w:lineRule="auto"/>
        <w:tabs>
          <w:tab w:leader="none" w:pos="8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the ROFR Period, the Purchaser receives a bona fide written offer for a Third Party Transaction that the Purchaser desires to accept (each, a “</w:t>
      </w:r>
      <w:r>
        <w:rPr>
          <w:rFonts w:ascii="Times New Roman" w:cs="Times New Roman" w:eastAsia="Times New Roman" w:hAnsi="Times New Roman"/>
          <w:sz w:val="18"/>
          <w:szCs w:val="18"/>
          <w:b w:val="1"/>
          <w:bCs w:val="1"/>
          <w:color w:val="auto"/>
        </w:rPr>
        <w:t>Third Party Offer</w:t>
      </w:r>
      <w:r>
        <w:rPr>
          <w:rFonts w:ascii="Times New Roman" w:cs="Times New Roman" w:eastAsia="Times New Roman" w:hAnsi="Times New Roman"/>
          <w:sz w:val="18"/>
          <w:szCs w:val="18"/>
          <w:color w:val="auto"/>
        </w:rPr>
        <w:t>”), the Purchaser shall, within five (5) business days following the receipt of the Third Party Offer, notify the Seller in writing (the “</w:t>
      </w:r>
      <w:r>
        <w:rPr>
          <w:rFonts w:ascii="Times New Roman" w:cs="Times New Roman" w:eastAsia="Times New Roman" w:hAnsi="Times New Roman"/>
          <w:sz w:val="18"/>
          <w:szCs w:val="18"/>
          <w:b w:val="1"/>
          <w:bCs w:val="1"/>
          <w:color w:val="auto"/>
        </w:rPr>
        <w:t>ROFR Offer Notice</w:t>
      </w:r>
      <w:r>
        <w:rPr>
          <w:rFonts w:ascii="Times New Roman" w:cs="Times New Roman" w:eastAsia="Times New Roman" w:hAnsi="Times New Roman"/>
          <w:sz w:val="18"/>
          <w:szCs w:val="18"/>
          <w:color w:val="auto"/>
        </w:rPr>
        <w:t>”) of the identity of all proposed parties to such Third Party Transaction and the material financial and other terms and conditions of such Third Party Offer (the “</w:t>
      </w:r>
      <w:r>
        <w:rPr>
          <w:rFonts w:ascii="Times New Roman" w:cs="Times New Roman" w:eastAsia="Times New Roman" w:hAnsi="Times New Roman"/>
          <w:sz w:val="18"/>
          <w:szCs w:val="18"/>
          <w:b w:val="1"/>
          <w:bCs w:val="1"/>
          <w:color w:val="auto"/>
        </w:rPr>
        <w:t>ROFR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Material Terms</w:t>
      </w:r>
      <w:r>
        <w:rPr>
          <w:rFonts w:ascii="Times New Roman" w:cs="Times New Roman" w:eastAsia="Times New Roman" w:hAnsi="Times New Roman"/>
          <w:sz w:val="18"/>
          <w:szCs w:val="18"/>
          <w:color w:val="auto"/>
        </w:rPr>
        <w:t>”). Each ROFR Offer Notice constitutes an offer made by the Purchaser to enter into an agreement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or its Affiliates on the same ROFR Material Terms of such Third Party Offer (the “</w:t>
      </w:r>
      <w:r>
        <w:rPr>
          <w:rFonts w:ascii="Times New Roman" w:cs="Times New Roman" w:eastAsia="Times New Roman" w:hAnsi="Times New Roman"/>
          <w:sz w:val="18"/>
          <w:szCs w:val="18"/>
          <w:b w:val="1"/>
          <w:bCs w:val="1"/>
          <w:color w:val="auto"/>
        </w:rPr>
        <w:t>ROFR Offer</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840" w:hanging="332"/>
        <w:spacing w:after="0" w:line="268" w:lineRule="auto"/>
        <w:tabs>
          <w:tab w:leader="none" w:pos="8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expiration of the thirty (30) day period following Seller’s receipt of the ROFR Offer Notice (the “</w:t>
      </w:r>
      <w:r>
        <w:rPr>
          <w:rFonts w:ascii="Times New Roman" w:cs="Times New Roman" w:eastAsia="Times New Roman" w:hAnsi="Times New Roman"/>
          <w:sz w:val="18"/>
          <w:szCs w:val="18"/>
          <w:b w:val="1"/>
          <w:bCs w:val="1"/>
          <w:color w:val="auto"/>
        </w:rPr>
        <w:t>ROFR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the Seller may accept the ROFR Offer by delivery to the Purchaser of a written notice of acceptance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the Seller.</w:t>
      </w:r>
    </w:p>
    <w:p>
      <w:pPr>
        <w:spacing w:after="0" w:line="174" w:lineRule="exact"/>
        <w:rPr>
          <w:rFonts w:ascii="Times New Roman" w:cs="Times New Roman" w:eastAsia="Times New Roman" w:hAnsi="Times New Roman"/>
          <w:sz w:val="18"/>
          <w:szCs w:val="18"/>
          <w:color w:val="auto"/>
        </w:rPr>
      </w:pPr>
    </w:p>
    <w:p>
      <w:pPr>
        <w:jc w:val="both"/>
        <w:ind w:left="840" w:hanging="332"/>
        <w:spacing w:after="0" w:line="255" w:lineRule="auto"/>
        <w:tabs>
          <w:tab w:leader="none" w:pos="8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by the expiration of the ROFR Exercise Period, the Seller has not accepted the ROFR Offer, and provided that the Purchaser has materially complied with all of the provisions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at any time following the expiration of the ROFR Exercise Period, the Purchaser may consummate the Third Party Transaction with the counterparty identified in the applicable ROFR Offer Notice on ROFR Material Terms that are the same or more favorable to the Purchaser as the Material Terms set forth in the ROFR Offer Notice. If such Third Party Transaction is not consummated within 180 days of the Offer Notice, the terms and conditions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will again apply and the Purchaser shall not enter into any Third Party Transaction during the ROFR Period without affording the Seller the right of first refusal on the terms and conditions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terms and conditions of this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apply to each Third Party Offer received by the Purchaser during the ROFR Period.</w:t>
      </w:r>
    </w:p>
    <w:p>
      <w:pPr>
        <w:spacing w:after="0" w:line="37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Seller hereby agrees as follows: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Parties acknowledge that, in light of Purchaser’s business interests in the Acquired Companies and their Business following the Closing and Seller’s interest in protecting information with respect to its and its Affiliates’ business (the “</w:t>
      </w:r>
      <w:r>
        <w:rPr>
          <w:rFonts w:ascii="Times New Roman" w:cs="Times New Roman" w:eastAsia="Times New Roman" w:hAnsi="Times New Roman"/>
          <w:sz w:val="18"/>
          <w:szCs w:val="18"/>
          <w:b w:val="1"/>
          <w:bCs w:val="1"/>
          <w:color w:val="auto"/>
        </w:rPr>
        <w:t>Retained Business</w:t>
      </w:r>
      <w:r>
        <w:rPr>
          <w:rFonts w:ascii="Times New Roman" w:cs="Times New Roman" w:eastAsia="Times New Roman" w:hAnsi="Times New Roman"/>
          <w:sz w:val="18"/>
          <w:szCs w:val="18"/>
          <w:color w:val="auto"/>
        </w:rPr>
        <w:t>”) that has or may be disclosed in connection with the negotiation of this Agreement or the consummation of the transactions contemplated hereby, confidential treatment shall be afforded with respect to confidential or proprietary information related to the Business and the Retained Business that is not generally known within the relevant trade group or by the public, including all documents, writings, memoranda, business plans, illustrations, designs, plans, processes, programs, inventions, reports, sources of supply, customer lists, supplier lists, trade secrets and all other valuable or unique information and techniques acquired, developed or used by the Acquired Companies related to the Business or by Seller or its Affiliates, as the case may be (hereinafter collectively termed “</w:t>
      </w:r>
      <w:r>
        <w:rPr>
          <w:rFonts w:ascii="Times New Roman" w:cs="Times New Roman" w:eastAsia="Times New Roman" w:hAnsi="Times New Roman"/>
          <w:sz w:val="18"/>
          <w:szCs w:val="18"/>
          <w:b w:val="1"/>
          <w:bCs w:val="1"/>
          <w:color w:val="auto"/>
        </w:rPr>
        <w:t>Protected Information</w:t>
      </w:r>
      <w:r>
        <w:rPr>
          <w:rFonts w:ascii="Times New Roman" w:cs="Times New Roman" w:eastAsia="Times New Roman" w:hAnsi="Times New Roman"/>
          <w:sz w:val="18"/>
          <w:szCs w:val="18"/>
          <w:color w:val="auto"/>
        </w:rPr>
        <w:t>”). Each Party expressly acknowledges and agrees that the other Party’s Protected Information constitutes trade secrets and/or confidential and proprietary business information to which it has had access in connection with the transactions contemplated hereby, and which, in the case of Protected information related to the Acquired Companies and the Business, will be acquired by Purchaser upon Closing. Protected Information shall exclude information that (i) becomes generally available or known to the public by any means except disclosure by a Party in violation of the restrictions set forth herein, (ii) becomes available to a Party from a third party and such disclosure does not violate an obligation of confidentiality owed to the other Party, and (iii) is independently developed by a Party without reference to the other Party’s Protected Information. Each Party agrees to maintain all of the other Party’s Protected Information in strict confidence and to refrain from making any disclosure of any such Protected Information to any other party for so long as the Protected Information is not generally available or known to the public. Each Party also agrees to take all reasonable measures necessary to keep the Protected Information from being (i) inadvertently disclosed to any third party, or (ii) misappropriated by a third party. Notwithstanding the foregoing, a Party may disclose the other Party’s Protected Information (i) to its legal, financial, and other professional advisors, provided that such advisors are bound by professional or contractual confidentiality restrictions to the extent reasonably necessary to ensure the confidential treatment of such Protected Information and (ii) to the extent that, upon advise of counsel, it is legally obligated to do so, provided that (to the extent legally permissible) such Party gives prior written notice of such obligation to the other Party and reasonably cooperates with any effort by the other Party to limit the scope of such disclosure (at the other Party’s cost). To the extent there is any conflict between the provisions of the License Agreement and this</w:t>
      </w:r>
    </w:p>
    <w:p>
      <w:pPr>
        <w:spacing w:after="0" w:line="8"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 provisions of the License Agreement shall control. The restrictions set forth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terminate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anniversary of the Closing Date.</w:t>
      </w:r>
    </w:p>
    <w:p>
      <w:pPr>
        <w:spacing w:after="0" w:line="20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xml:space="preserve">. If, at the time of enforcement of any of the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 court of competent jurisdiction determines that the restrictions stated therein are unreasonable under the circumstances then existing, the Parties agree that the maximum period, scope, or geographical area reasonable under the circumstances shall be substituted for the stated period, scope, or geographical area. The Parties further agree that such court shall be allowed to revise the restrictions contained therein to cover the maximum period, scope, or geographical area permitted by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Seller agrees that if it shall commit or threaten to commit a breach of any of the covenants and agreements contained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then Purchaser shall have the right to seek and obtain all appropriate injunctive and other equitable remedies therefor, in addition to any other rights and remedies that may be available at Law, it being acknowledged and agreed that any such breach may cause irreparable injury to Purchaser and that money damages would not provide an adequate remedy therefor.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Survival of Representations, Warranties and Covenants</w:t>
      </w:r>
      <w:r>
        <w:rPr>
          <w:rFonts w:ascii="Times New Roman" w:cs="Times New Roman" w:eastAsia="Times New Roman" w:hAnsi="Times New Roman"/>
          <w:sz w:val="18"/>
          <w:szCs w:val="18"/>
          <w:color w:val="auto"/>
        </w:rPr>
        <w:t xml:space="preserve">. The respective representations and warranties of each of the Parties shall survive the Closing for a period of eighteen (18) months, provided that the representations and warranties contained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shall survive indefinitely and the representations and warranties set forth in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shall survive the Closing for a period of three (3) years (collectively, the “</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None of the covenants or other agreements contained in this Agreement shall survive the Closing Date other than those which by their terms contemplate performance after the Closing Date, and each such surviving covenant and agreement shall survive the Closing for the period contemplated by its terms.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such survival period and such claims shall survive until finally resolved.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Seller’s Indemnification</w:t>
      </w:r>
      <w:r>
        <w:rPr>
          <w:rFonts w:ascii="Times New Roman" w:cs="Times New Roman" w:eastAsia="Times New Roman" w:hAnsi="Times New Roman"/>
          <w:sz w:val="18"/>
          <w:szCs w:val="18"/>
          <w:color w:val="auto"/>
        </w:rPr>
        <w:t xml:space="preserve">. Subject to the terms and conditions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Seller shall indemnify and hold harmless Purchaser and its Affiliates and their respective officers, directors, managers, members, stockholders, agents, successors and assigns from and against and in respect of any and all demands, claims, threatened claims, causes of action, administrative orders and notices, losses, costs, fines, Liabilities, penalties, damages (direct or indirect) and expenses (including, without limitation, reasonable legal, accounting and consultant fees and other expenses incurred in the investigation and defense of any actual or threatened claims or actions) (hereinafter collectively called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resulting from, in connection with or arising out of:</w:t>
      </w:r>
    </w:p>
    <w:p>
      <w:pPr>
        <w:spacing w:after="0" w:line="187" w:lineRule="exact"/>
        <w:rPr>
          <w:sz w:val="20"/>
          <w:szCs w:val="20"/>
          <w:color w:val="auto"/>
        </w:rPr>
      </w:pPr>
    </w:p>
    <w:p>
      <w:pPr>
        <w:ind w:left="1540" w:hanging="236"/>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inaccuracy of any representation or the breach of any warranty made by Seller in this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Seller of any of the covenants or agreements in this Agreement;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Pre-Closing Taxes;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of the Acquired Companies outstanding as of the Closing.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Purchaser’s Indemnification</w:t>
      </w:r>
      <w:r>
        <w:rPr>
          <w:rFonts w:ascii="Times New Roman" w:cs="Times New Roman" w:eastAsia="Times New Roman" w:hAnsi="Times New Roman"/>
          <w:sz w:val="18"/>
          <w:szCs w:val="18"/>
          <w:color w:val="auto"/>
        </w:rPr>
        <w:t>. Purchaser shall indemnify and hold harmless Seller and its Affiliates and their respective officers, directors, stockholders, agents, successors and assigns, from and against and in respect of any and all Losses resulting from, in connection with or arising out of:</w:t>
      </w:r>
    </w:p>
    <w:p>
      <w:pPr>
        <w:spacing w:after="0" w:line="176" w:lineRule="exact"/>
        <w:rPr>
          <w:sz w:val="20"/>
          <w:szCs w:val="20"/>
          <w:color w:val="auto"/>
        </w:rPr>
      </w:pPr>
    </w:p>
    <w:p>
      <w:pPr>
        <w:jc w:val="center"/>
        <w:ind w:left="5480" w:right="1860" w:hanging="4176"/>
        <w:spacing w:after="0" w:line="783"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inaccuracy of any representation or the breach of any warranty made by Purchaser in this Agreement; or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ind w:left="1300"/>
        <w:spacing w:after="0"/>
        <w:rPr>
          <w:sz w:val="20"/>
          <w:szCs w:val="20"/>
          <w:color w:val="auto"/>
        </w:rPr>
      </w:pPr>
      <w:r>
        <w:rPr>
          <w:rFonts w:ascii="Times New Roman" w:cs="Times New Roman" w:eastAsia="Times New Roman" w:hAnsi="Times New Roman"/>
          <w:sz w:val="18"/>
          <w:szCs w:val="18"/>
          <w:color w:val="auto"/>
        </w:rPr>
        <w:t>(b) The breach by Purchaser of any of the covenants or agreements in this Agreement.</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A Party or Parties against whom an indemnification claim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has been asserted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(individually and collectively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shall have the right, at their own expense, assisted by counsel of their own choosing, to participate in the defense of any action or proceeding brought by a third party (including any Governmental Authority) which resulted in said Claim (a “</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and if such right is exercised, the Party or Parties entitled to indemnification (individually and collectively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reasonably cooperate in the defense of such action or proceeding.</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Nature of Other Liabilities</w:t>
      </w:r>
      <w:r>
        <w:rPr>
          <w:rFonts w:ascii="Times New Roman" w:cs="Times New Roman" w:eastAsia="Times New Roman" w:hAnsi="Times New Roman"/>
          <w:sz w:val="18"/>
          <w:szCs w:val="18"/>
          <w:color w:val="auto"/>
        </w:rPr>
        <w:t>. In the event any Indemnified Party should have a Claim against any Indemnifying Party hereunder that does not involve a Third Party Claim, the Indemnified Party shall transmit to the Indemnifying Party a written notice (the “</w:t>
      </w:r>
      <w:r>
        <w:rPr>
          <w:rFonts w:ascii="Times New Roman" w:cs="Times New Roman" w:eastAsia="Times New Roman" w:hAnsi="Times New Roman"/>
          <w:sz w:val="18"/>
          <w:szCs w:val="18"/>
          <w:b w:val="1"/>
          <w:bCs w:val="1"/>
          <w:color w:val="auto"/>
        </w:rPr>
        <w:t>Indemnity Notice</w:t>
      </w:r>
      <w:r>
        <w:rPr>
          <w:rFonts w:ascii="Times New Roman" w:cs="Times New Roman" w:eastAsia="Times New Roman" w:hAnsi="Times New Roman"/>
          <w:sz w:val="18"/>
          <w:szCs w:val="18"/>
          <w:color w:val="auto"/>
        </w:rPr>
        <w:t>”) describing in reasonable detail the nature of the Claim, and the basis of the Indemnified Party’s request for indemnification under this Agreement. If the Indemnifying Party does not notify the Indemnified Party within thirty (30) days from its receipt of the Indemnity Notice that the Indemnifying Party disputes such Claim, the Claim specified by the Indemnified Party in the Indemnity Notice shall be deemed a Liability of the Indemnifying Party hereunder, with respect to which the Indemnified Party is entitled to prompt indemnification hereunder.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Certain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15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except to the extent caused by a Party’s Fraud or intentional misconduct, the maximum aggregate liability of either Party with respect to breaches of representations or warranties made hereunder (other than the Fundamental Representations) shall not exceed $500,000.00, and neither Party shall be obligated to indemnify the other Party or its Affiliates with respect to Losses arising from breaches of such representations or warranties until such Losses, in the aggregate, exceed $37,500.00 (the “</w:t>
      </w:r>
      <w:r>
        <w:rPr>
          <w:rFonts w:ascii="Times New Roman" w:cs="Times New Roman" w:eastAsia="Times New Roman" w:hAnsi="Times New Roman"/>
          <w:sz w:val="18"/>
          <w:szCs w:val="18"/>
          <w:b w:val="1"/>
          <w:bCs w:val="1"/>
          <w:color w:val="auto"/>
        </w:rPr>
        <w:t>Deductible</w:t>
      </w:r>
      <w:r>
        <w:rPr>
          <w:rFonts w:ascii="Times New Roman" w:cs="Times New Roman" w:eastAsia="Times New Roman" w:hAnsi="Times New Roman"/>
          <w:sz w:val="18"/>
          <w:szCs w:val="18"/>
          <w:color w:val="auto"/>
        </w:rPr>
        <w:t>”), in which event the Indemnifying Party shall only be required to pay or be liable for Losses in excess of the Deductible.</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the maximum aggregate liability of either Party shall not exceed an amount equal to the Purchase Price paid at the Closing.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an Indemnifying Party in respect of any Loss shall be limited to the amount of any liability or damage that remains after deducting therefrom any insurance proceeds and any indemnity, contribution or other similar payment received or reasonably expected to be received by the Indemnified Party (or the Acquired Companies) in respect of any such claim. The Indemnified Party shall use its commercially reasonable efforts to recover under insurance policies or indemnity, contribution or other similar agreements for any Losses prior to seeking indemnification under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ind w:left="660" w:firstLine="644"/>
        <w:spacing w:after="0" w:line="282" w:lineRule="auto"/>
        <w:tabs>
          <w:tab w:leader="none" w:pos="15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an Indemnifying Party in respect of any Loss shall be reduced by an amount equal to any Tax benefit realized as a result of such Loss by the Indemnified Party.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Indemnifying Party be liable to any Indemnified Party for any punitive, incidental, consequential, special or indirect damages, including loss of future revenue or income, loss of business reputation or opportunity relating to the breach or alleged breach of this Agreement, or diminution of value or any damages based on any type of multiple.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Indemnified Party shall take, and cause its Affiliates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Losses may be claimed hereunder to the extent that such Losses either (i) were included in the calculation of the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(ii) had they been factored into calculating the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would not have resulted in a reduction in the Purchase Price.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Effect of Investigation</w:t>
      </w:r>
      <w:r>
        <w:rPr>
          <w:rFonts w:ascii="Times New Roman" w:cs="Times New Roman" w:eastAsia="Times New Roman" w:hAnsi="Times New Roman"/>
          <w:sz w:val="18"/>
          <w:szCs w:val="18"/>
          <w:color w:val="auto"/>
        </w:rPr>
        <w:t>. The representations, warranties and covenants of the Indemnifying Party, and the Indemnified Party’s right 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 xml:space="preserve">Section 8.8 </w:t>
      </w:r>
      <w:r>
        <w:rPr>
          <w:rFonts w:ascii="Times New Roman" w:cs="Times New Roman" w:eastAsia="Times New Roman" w:hAnsi="Times New Roman"/>
          <w:sz w:val="17"/>
          <w:szCs w:val="17"/>
          <w:u w:val="single" w:color="auto"/>
          <w:color w:val="auto"/>
        </w:rPr>
        <w:t>Exclusive Remedies</w:t>
      </w:r>
      <w:r>
        <w:rPr>
          <w:rFonts w:ascii="Times New Roman" w:cs="Times New Roman" w:eastAsia="Times New Roman" w:hAnsi="Times New Roman"/>
          <w:sz w:val="17"/>
          <w:szCs w:val="17"/>
          <w:color w:val="auto"/>
        </w:rPr>
        <w:t xml:space="preserve">. The Parties acknowledge and agree that from and after Closing their sole and exclusive remedy with respect to any and all claims (other than claims of Fraud against a Party hereto committing Fraud) for any breach of any representation, warranty, covenant, agreement or obligation set forth herein or otherwise relating to the subject matter of this Agreement, shall be pursuant to the indemnification provisions set forth in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b w:val="1"/>
          <w:bCs w:val="1"/>
          <w:color w:val="auto"/>
        </w:rPr>
        <w:t>Error! Bookmark not defined.</w:t>
      </w:r>
      <w:r>
        <w:rPr>
          <w:rFonts w:ascii="Times New Roman" w:cs="Times New Roman" w:eastAsia="Times New Roman" w:hAnsi="Times New Roman"/>
          <w:sz w:val="17"/>
          <w:szCs w:val="17"/>
          <w:color w:val="auto"/>
        </w:rPr>
        <w:t xml:space="preserve">. In furtherance of the foregoing, each Party hereby waives, from and after Closing,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Successors and Assigns and No Third-Party Beneficiaries</w:t>
      </w:r>
      <w:r>
        <w:rPr>
          <w:rFonts w:ascii="Times New Roman" w:cs="Times New Roman" w:eastAsia="Times New Roman" w:hAnsi="Times New Roman"/>
          <w:sz w:val="18"/>
          <w:szCs w:val="18"/>
          <w:color w:val="auto"/>
        </w:rPr>
        <w:t>. This Agreement shall inure to the benefit of, and be binding upon, the Parties hereto and their respective successors, representatives and assigns. Neither Party shall assign its rights hereunder without the other Party’s prior written consent; provided that such consent shall not be required in the cases of assignments made (i) by operation of law or (ii) to a Party’s Affiliate. Nothing in this Agreement shall confer upon any Person not a party to this Agreement, or the legal representatives of such Person, any rights (including, without limitation, rights as a third-party beneficiary) or remedies of any nature or kind whatsoever under or by reason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herein, all costs and expenses incurred by a Party in connection with this Agreement and with the consummation of the Transactions shall be paid by such Party.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given to such Party at its address set forth below, with delivery being effective upon actual receipt or on the second Business Day after deposit if sent by a recognized overnight delivery service or by registered or certified mail (postage prepaid, return receipt requested), in each case to the address specified in this Section.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If to Purchaser,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Rolling Meadows, IL 60008</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Peter Shapiro, Director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peter@brooklynbowl.com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Frank A. Segall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frank.segall@blankrome.com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If to Seller,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VCP IP Holdings,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Green Thumb Industries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 60654 Attn: General Counsel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bkravitz@gtigrows.com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Dentons US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233 S. Wacker Dr., #5900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Ross Docksey and Jacob Styburski</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ross.docksey@dentons.com and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jacob.styburski@dentons.com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 such other address or persons as the Parties may from time to time designate in writing in the manner provided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Ancillary Documents and the Exhibits and the Schedules attached hereto, represents the entire agreement and understanding of the Parties hereto with respect to the transactions contemplated hereby. This Agreement supersedes all prior negotiations, discussions, correspondence, communications, understandings and agreements among the Parties related to the subject matter of this Agreement, whether written or oral, and all prior drafts thereof, including the Original Agreement, all of which are merged into this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Amendments; Waiver</w:t>
      </w:r>
      <w:r>
        <w:rPr>
          <w:rFonts w:ascii="Times New Roman" w:cs="Times New Roman" w:eastAsia="Times New Roman" w:hAnsi="Times New Roman"/>
          <w:sz w:val="18"/>
          <w:szCs w:val="18"/>
          <w:color w:val="auto"/>
        </w:rPr>
        <w:t>. This Agreement may be amended only by a written instrument signed by Purchaser and Seller. No waiver by any Party of any of the provisions hereof shall be effective unless explicitly set forth in writing and signed by the Party so waiving. No waiver by a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With regard to all dates and time periods set forth or referred to in this Agreement, time is of the essence.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 so long as the economic or legal substance of the transactions contemplated hereby are not affected in any manner adverse to either Party. Upon such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Rules of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and the abbreviation “e.g.” mean “including, without limitation” unless the context clearly states otherwise.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to this Agreement shall be deemed to be a part of this Agreement.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 herein to this “Agreement” shall include the Exhibits and Schedules attached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1560" w:hanging="256"/>
        <w:spacing w:after="0"/>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“shall” when used in this Agreement is a word of mandate, construed as “must.”</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without regard to any presumption or rule requiring construction or interpretation against the Party drafting an instrument or causing any instrument to be drafted.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reference only and shall not effect the interpretation of this Agreement.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section headings in the Schedules correspond to the sections of this Agreement, but information provided in any section of the Schedules shall constitute disclosure for purposes of each section of this Agreement where such information is relevant. Unless the context otherwise requires, all capitalized terms used in the Schedules shall have the respective meanings assigned to such terms in this Agreement. Certain information set forth in the Schedules is included solely for informational purposes, and may not be required to be disclosed pursuant to this Agreement. No disclosure in the Schedules relating to any possible breach or violation of any agreement or Law shall be construed as an admission or indication that any such breach or violation exists or has actually occurred. The inclusion of any information in the Schedules shall not be deemed to be an admission or acknowledgment by Seller that in and of itself, such information is material to or outside the ordinary course of the business. No disclosure in the Schedules shall be deemed to create any rights in any third party.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and all of which together shall be considered one and the same agreement. The signature of any party that is delivered by telecopy or other means of electronic execution and/or delivery (including DocuSign) shall be effective and deemed an original.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Governing Law; 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firstLine="644"/>
        <w:spacing w:after="0" w:line="282" w:lineRule="auto"/>
        <w:tabs>
          <w:tab w:leader="none" w:pos="159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DELAWARE, WITHOUT REGARD TO PRINCIPLES OF CONFLICT OF LAWS.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Informal Dispute Resolution</w:t>
      </w:r>
      <w:r>
        <w:rPr>
          <w:rFonts w:ascii="Times New Roman" w:cs="Times New Roman" w:eastAsia="Times New Roman" w:hAnsi="Times New Roman"/>
          <w:sz w:val="18"/>
          <w:szCs w:val="18"/>
          <w:color w:val="auto"/>
        </w:rPr>
        <w:t xml:space="preserve">. In the event of any dispute, claim or controversy arising out of or relating to this Agreement, the Parties shall first attempt in good faith to resolve their dispute through in-person or video conference negotiation between authorized representatives of each of the Parties with authority to settle the relevant dispute for a period of not less than ten (10) days from the delivery of written notice under this </w:t>
      </w:r>
      <w:r>
        <w:rPr>
          <w:rFonts w:ascii="Times New Roman" w:cs="Times New Roman" w:eastAsia="Times New Roman" w:hAnsi="Times New Roman"/>
          <w:sz w:val="18"/>
          <w:szCs w:val="18"/>
          <w:u w:val="single" w:color="auto"/>
          <w:color w:val="auto"/>
        </w:rPr>
        <w:t>Section 9.10(b)</w:t>
      </w:r>
      <w:r>
        <w:rPr>
          <w:rFonts w:ascii="Times New Roman" w:cs="Times New Roman" w:eastAsia="Times New Roman" w:hAnsi="Times New Roman"/>
          <w:sz w:val="18"/>
          <w:szCs w:val="18"/>
          <w:color w:val="auto"/>
        </w:rPr>
        <w:t>. Either Party may commence this negotiation by delivering written notice to the other Party pursuant to the terms outlined in this Agreement. The Parties may agree to engage the services of a jointly agreed-upon mediator to facilitate this in-person meeting, in which case they agree to share equally in the costs of the mediation.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left="-460" w:firstLine="644"/>
        <w:spacing w:after="0" w:line="253" w:lineRule="auto"/>
        <w:tabs>
          <w:tab w:leader="none" w:pos="4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unresolved controversy or claim arising out of or relating to this Agreement, except as (i) otherwise expressly provided in this Agreement, or (ii) any such controversies or claims arising out of a Party’s breach of its restrictive covenants hereunder for which a provisional remedy or equitable relief is sought, shall be submitted to arbitration with a single arbitrator mutually agreed upon by the Parties, and if no agreement can be reached within thirty (30) days after names of potential arbitrators have been proposed, then by one arbitrator having reasonable experience in corporate transactions of the type provided for in this Agreement and who is chosen by JAMS. The arbitration shall take place in Chicago, Illinois in accordance with the JAMS International Arbitration Rules then in effect, and judgment upon any award rendered in such arbitration will be final and binding and may be entered in any court having jurisdiction thereof. There shall be limited discovery prior to the arbitration hearing as follows: (a) exchange of witness lists and copies of documentary evidence and documents relating to or arising out of the issues to be arbitrated; (b) depositions of all Party witnesses; and (c) such other depositions as may be allowed by the arbitrators upon a showing of good cause. Depositions shall be conducted in accordance with Illinois laws, the arbitrator shall be required to provide in writing to the Parties the basis for the award or order of such arbitrator, and a court reporter shall record all hearings, with such record constituting the official transcript of such proceedings.</w:t>
      </w:r>
    </w:p>
    <w:p>
      <w:pPr>
        <w:spacing w:after="0" w:line="189" w:lineRule="exact"/>
        <w:rPr>
          <w:rFonts w:ascii="Times New Roman" w:cs="Times New Roman" w:eastAsia="Times New Roman" w:hAnsi="Times New Roman"/>
          <w:sz w:val="18"/>
          <w:szCs w:val="18"/>
          <w:color w:val="auto"/>
        </w:rPr>
      </w:pPr>
    </w:p>
    <w:p>
      <w:pPr>
        <w:jc w:val="both"/>
        <w:ind w:left="-460" w:firstLine="644"/>
        <w:spacing w:after="0" w:line="271" w:lineRule="auto"/>
        <w:tabs>
          <w:tab w:leader="none" w:pos="443"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JURY TRIAL WAIVER</w:t>
      </w:r>
      <w:r>
        <w:rPr>
          <w:rFonts w:ascii="Times New Roman" w:cs="Times New Roman" w:eastAsia="Times New Roman" w:hAnsi="Times New Roman"/>
          <w:sz w:val="17"/>
          <w:szCs w:val="17"/>
          <w:color w:val="auto"/>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9.10(D)</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signed as of the date first written above.</w:t>
      </w:r>
    </w:p>
    <w:p>
      <w:pPr>
        <w:spacing w:after="0" w:line="23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SELLER:</w:t>
      </w:r>
      <w:r>
        <w:rPr>
          <w:sz w:val="20"/>
          <w:szCs w:val="20"/>
          <w:color w:val="auto"/>
        </w:rPr>
        <w:tab/>
      </w:r>
      <w:r>
        <w:rPr>
          <w:rFonts w:ascii="Times New Roman" w:cs="Times New Roman" w:eastAsia="Times New Roman" w:hAnsi="Times New Roman"/>
          <w:sz w:val="18"/>
          <w:szCs w:val="18"/>
          <w:color w:val="auto"/>
        </w:rPr>
        <w:t>VCP IP HOLDINGS, LLC</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Anthony Georgiadis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PURCHASER:</w:t>
      </w:r>
      <w:r>
        <w:rPr>
          <w:sz w:val="20"/>
          <w:szCs w:val="20"/>
          <w:color w:val="auto"/>
        </w:rPr>
        <w:tab/>
      </w: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CEO</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Kovler, certify that:</w:t>
      </w:r>
    </w:p>
    <w:p>
      <w:pPr>
        <w:spacing w:after="0" w:line="225"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Agrify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Asher, certify that:</w:t>
      </w:r>
    </w:p>
    <w:p>
      <w:pPr>
        <w:spacing w:after="0" w:line="225"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2025 of Agrify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8"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Agrify Corporation (the “Company”) on Form 10-Q, for the period ended June 30, 2025, as filed with the Securities and Exchange Commission on the date hereof (the “Report”), I, Benjamin Kovler, Chairman and Interim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4"/>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336"/>
        <w:spacing w:after="0" w:line="499" w:lineRule="auto"/>
        <w:tabs>
          <w:tab w:leader="none" w:pos="6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August 8,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Agrify Corporation (the “Company”) on Form 10-Q, for the period ended June 30, 2025, as filed with the Securities and Exchange Commission on the date hereof (the “Report”), I, Brad Asher,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4"/>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336"/>
        <w:spacing w:after="0" w:line="499" w:lineRule="auto"/>
        <w:tabs>
          <w:tab w:leader="none" w:pos="6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 August 8,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lvl w:ilvl="1">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lvl w:ilvl="1">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04"/>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lowerRoman"/>
      <w:start w:val="1"/>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1"/>
    </w:lvl>
  </w:abstractNum>
  <w:abstractNum w:abstractNumId="18">
    <w:nsid w:val="3804823E"/>
    <w:multiLevelType w:val="hybridMultilevel"/>
    <w:lvl w:ilvl="0">
      <w:lvlJc w:val="left"/>
      <w:lvlText w:val="(%1)"/>
      <w:numFmt w:val="lowerLetter"/>
      <w:start w:val="4"/>
    </w:lvl>
  </w:abstractNum>
  <w:abstractNum w:abstractNumId="19">
    <w:nsid w:val="77465F01"/>
    <w:multiLevelType w:val="hybridMultilevel"/>
    <w:lvl w:ilvl="0">
      <w:lvlJc w:val="left"/>
      <w:lvlText w:val="(%1)"/>
      <w:numFmt w:val="lowerLetter"/>
      <w:start w:val="1"/>
    </w:lvl>
  </w:abstractNum>
  <w:abstractNum w:abstractNumId="20">
    <w:nsid w:val="7724C67E"/>
    <w:multiLevelType w:val="hybridMultilevel"/>
    <w:lvl w:ilvl="0">
      <w:lvlJc w:val="left"/>
      <w:lvlText w:val="(%1)"/>
      <w:numFmt w:val="lowerLetter"/>
      <w:start w:val="1"/>
    </w:lvl>
    <w:lvl w:ilvl="1">
      <w:lvlJc w:val="left"/>
      <w:lvlText w:val="%2."/>
      <w:numFmt w:val="decimal"/>
      <w:start w:val="1"/>
    </w:lvl>
  </w:abstractNum>
  <w:abstractNum w:abstractNumId="21">
    <w:nsid w:val="5C482A97"/>
    <w:multiLevelType w:val="hybridMultilevel"/>
    <w:lvl w:ilvl="0">
      <w:lvlJc w:val="left"/>
      <w:lvlText w:val="%1."/>
      <w:numFmt w:val="decimal"/>
      <w:start w:val="2"/>
    </w:lvl>
  </w:abstractNum>
  <w:abstractNum w:abstractNumId="22">
    <w:nsid w:val="2463B9EA"/>
    <w:multiLevelType w:val="hybridMultilevel"/>
    <w:lvl w:ilvl="0">
      <w:lvlJc w:val="left"/>
      <w:lvlText w:val="(%1)"/>
      <w:numFmt w:val="lowerLetter"/>
      <w:start w:val="1"/>
    </w:lvl>
  </w:abstractNum>
  <w:abstractNum w:abstractNumId="23">
    <w:nsid w:val="5E884ADC"/>
    <w:multiLevelType w:val="hybridMultilevel"/>
    <w:lvl w:ilvl="0">
      <w:lvlJc w:val="left"/>
      <w:lvlText w:val="(%1)"/>
      <w:numFmt w:val="lowerLetter"/>
      <w:start w:val="4"/>
    </w:lvl>
  </w:abstractNum>
  <w:abstractNum w:abstractNumId="24">
    <w:nsid w:val="51EAD36B"/>
    <w:multiLevelType w:val="hybridMultilevel"/>
    <w:lvl w:ilvl="0">
      <w:lvlJc w:val="left"/>
      <w:lvlText w:val="(%1)"/>
      <w:numFmt w:val="lowerLetter"/>
      <w:start w:val="1"/>
    </w:lvl>
  </w:abstractNum>
  <w:abstractNum w:abstractNumId="25">
    <w:nsid w:val="2D517796"/>
    <w:multiLevelType w:val="hybridMultilevel"/>
    <w:lvl w:ilvl="0">
      <w:lvlJc w:val="left"/>
      <w:lvlText w:val="(%1)"/>
      <w:numFmt w:val="lowerLetter"/>
      <w:start w:val="1"/>
    </w:lvl>
  </w:abstractNum>
  <w:abstractNum w:abstractNumId="26">
    <w:nsid w:val="580BD78F"/>
    <w:multiLevelType w:val="hybridMultilevel"/>
    <w:lvl w:ilvl="0">
      <w:lvlJc w:val="left"/>
      <w:lvlText w:val="(%1)"/>
      <w:numFmt w:val="lowerLetter"/>
      <w:start w:val="5"/>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1)"/>
      <w:numFmt w:val="lowerLetter"/>
      <w:start w:val="4"/>
    </w:lvl>
  </w:abstractNum>
  <w:abstractNum w:abstractNumId="29">
    <w:nsid w:val="70A64E2A"/>
    <w:multiLevelType w:val="hybridMultilevel"/>
    <w:lvl w:ilvl="0">
      <w:lvlJc w:val="left"/>
      <w:lvlText w:val="%1"/>
      <w:numFmt w:val="lowerLetter"/>
      <w:start w:val="1"/>
    </w:lvl>
    <w:lvl w:ilvl="1">
      <w:lvlJc w:val="left"/>
      <w:lvlText w:val="(%2)"/>
      <w:numFmt w:val="lowerLetter"/>
      <w:start w:val="1"/>
    </w:lvl>
  </w:abstractNum>
  <w:abstractNum w:abstractNumId="30">
    <w:nsid w:val="6A2342EC"/>
    <w:multiLevelType w:val="hybridMultilevel"/>
    <w:lvl w:ilvl="0">
      <w:lvlJc w:val="left"/>
      <w:lvlText w:val="(%1)"/>
      <w:numFmt w:val="lowerLetter"/>
      <w:start w:val="35"/>
    </w:lvl>
    <w:lvl w:ilvl="1">
      <w:lvlJc w:val="left"/>
      <w:lvlText w:val="(%2)"/>
      <w:numFmt w:val="lowerLetter"/>
      <w:start w:val="2"/>
    </w:lvl>
  </w:abstractNum>
  <w:abstractNum w:abstractNumId="31">
    <w:nsid w:val="2A487CB0"/>
    <w:multiLevelType w:val="hybridMultilevel"/>
    <w:lvl w:ilvl="0">
      <w:lvlJc w:val="left"/>
      <w:lvlText w:val="(%1)"/>
      <w:numFmt w:val="lowerLetter"/>
      <w:start w:val="6"/>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lowerLetter"/>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lowerLetter"/>
      <w:start w:val="4"/>
    </w:lvl>
  </w:abstractNum>
  <w:abstractNum w:abstractNumId="36">
    <w:nsid w:val="7A6D8D3C"/>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37">
    <w:nsid w:val="4B588F54"/>
    <w:multiLevelType w:val="hybridMultilevel"/>
    <w:lvl w:ilvl="0">
      <w:lvlJc w:val="left"/>
      <w:lvlText w:val="%1"/>
      <w:numFmt w:val="lowerLetter"/>
      <w:start w:val="1"/>
    </w:lvl>
    <w:lvl w:ilvl="1">
      <w:lvlJc w:val="left"/>
      <w:lvlText w:val="%2."/>
      <w:numFmt w:val="decimal"/>
      <w:start w:val="2"/>
    </w:lvl>
  </w:abstractNum>
  <w:abstractNum w:abstractNumId="38">
    <w:nsid w:val="542289EC"/>
    <w:multiLevelType w:val="hybridMultilevel"/>
    <w:lvl w:ilvl="0">
      <w:lvlJc w:val="left"/>
      <w:lvlText w:val="(%1)"/>
      <w:numFmt w:val="lowerLetter"/>
      <w:start w:val="3"/>
    </w:lvl>
    <w:lvl w:ilvl="1">
      <w:lvlJc w:val="left"/>
      <w:lvlText w:val="%2."/>
      <w:numFmt w:val="decimal"/>
      <w:start w:val="1"/>
    </w:lvl>
  </w:abstractNum>
  <w:abstractNum w:abstractNumId="39">
    <w:nsid w:val="6DE91B18"/>
    <w:multiLevelType w:val="hybridMultilevel"/>
    <w:lvl w:ilvl="0">
      <w:lvlJc w:val="left"/>
      <w:lvlText w:val="(%1)"/>
      <w:numFmt w:val="lowerLetter"/>
      <w:start w:val="1"/>
    </w:lvl>
    <w:lvl w:ilvl="1">
      <w:lvlJc w:val="left"/>
      <w:lvlText w:val="%2."/>
      <w:numFmt w:val="decimal"/>
      <w:start w:val="1"/>
    </w:lvl>
  </w:abstractNum>
  <w:abstractNum w:abstractNumId="40">
    <w:nsid w:val="38437FDB"/>
    <w:multiLevelType w:val="hybridMultilevel"/>
    <w:lvl w:ilvl="0">
      <w:lvlJc w:val="left"/>
      <w:lvlText w:val="(%1)"/>
      <w:numFmt w:val="lowerLetter"/>
      <w:start w:val="2"/>
    </w:lvl>
    <w:lvl w:ilvl="1">
      <w:lvlJc w:val="left"/>
      <w:lvlText w:val="%2."/>
      <w:numFmt w:val="decimal"/>
      <w:start w:val="1"/>
    </w:lvl>
  </w:abstractNum>
  <w:abstractNum w:abstractNumId="41">
    <w:nsid w:val="7644A45C"/>
    <w:multiLevelType w:val="hybridMultilevel"/>
    <w:lvl w:ilvl="0">
      <w:lvlJc w:val="left"/>
      <w:lvlText w:val="(%1)"/>
      <w:numFmt w:val="lowerLetter"/>
      <w:start w:val="3"/>
    </w:lvl>
    <w:lvl w:ilvl="1">
      <w:lvlJc w:val="left"/>
      <w:lvlText w:val="%2."/>
      <w:numFmt w:val="decimal"/>
      <w:start w:val="1"/>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4"/>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lowerLetter"/>
      <w:start w:val="4"/>
    </w:lvl>
  </w:abstractNum>
  <w:abstractNum w:abstractNumId="48">
    <w:nsid w:val="79A1DEAA"/>
    <w:multiLevelType w:val="hybridMultilevel"/>
    <w:lvl w:ilvl="0">
      <w:lvlJc w:val="left"/>
      <w:lvlText w:val="(%1)"/>
      <w:numFmt w:val="lowerLetter"/>
      <w:start w:val="1"/>
    </w:lvl>
  </w:abstractNum>
  <w:abstractNum w:abstractNumId="49">
    <w:nsid w:val="75C6C33A"/>
    <w:multiLevelType w:val="hybridMultilevel"/>
    <w:lvl w:ilvl="0">
      <w:lvlJc w:val="left"/>
      <w:lvlText w:val="(%1)"/>
      <w:numFmt w:val="lowerLetter"/>
      <w:start w:val="3"/>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75" Type="http://schemas.openxmlformats.org/officeDocument/2006/relationships/hyperlink" Target="https://www.sec.gov/Archives/edgar/data/1800637/000121390025041201/ea023943501ex4-1_agrify.htm" TargetMode="External"/><Relationship Id="rId76" Type="http://schemas.openxmlformats.org/officeDocument/2006/relationships/hyperlink" Target="https://www.sec.gov/Archives/edgar/data/1800637/000121390025041201/ea023943501ex4-2_agrify.htm" TargetMode="External"/><Relationship Id="rId77" Type="http://schemas.openxmlformats.org/officeDocument/2006/relationships/hyperlink" Target="https://www.sec.gov/Archives/edgar/data/1800637/000121390025046875/ea024318601ex4-1_agrify.htm" TargetMode="External"/><Relationship Id="rId78" Type="http://schemas.openxmlformats.org/officeDocument/2006/relationships/hyperlink" Target="https://www.sec.gov/Archives/edgar/data/1800637/000121390025046875/ea024318601ex4-2_agrify.htm" TargetMode="External"/><Relationship Id="rId79" Type="http://schemas.openxmlformats.org/officeDocument/2006/relationships/hyperlink" Target="https://www.sec.gov/Archives/edgar/data/1800637/000121390025046875/ea024318601ex4-3_agrify.htm" TargetMode="External"/><Relationship Id="rId80" Type="http://schemas.openxmlformats.org/officeDocument/2006/relationships/hyperlink" Target="https://www.sec.gov/Archives/edgar/data/1800637/000121390025046875/ea024318601ex10-1_agrify.htm" TargetMode="External"/><Relationship Id="rId81" Type="http://schemas.openxmlformats.org/officeDocument/2006/relationships/hyperlink" Target="https://www.sec.gov/Archives/edgar/data/1800637/000121390025046875/ea024318601ex10-2_agrify.htm" TargetMode="External"/><Relationship Id="rId82" Type="http://schemas.openxmlformats.org/officeDocument/2006/relationships/hyperlink" Target="https://www.sec.gov/Archives/edgar/data/1800637/000121390025046875/ea024318601ex10-3_agrify.htm" TargetMode="External"/><Relationship Id="rId83" Type="http://schemas.openxmlformats.org/officeDocument/2006/relationships/hyperlink" Target="https://www.sec.gov/Archives/edgar/data/1800637/000121390025046875/ea024318601ex10-4_agrify.htm" TargetMode="External"/><Relationship Id="rId84" Type="http://schemas.openxmlformats.org/officeDocument/2006/relationships/hyperlink" Target="https://www.sec.gov/Archives/edgar/data/1800637/000121390025046875/ea024318601ex10-5_agrify.htm" TargetMode="External"/><Relationship Id="rId85" Type="http://schemas.openxmlformats.org/officeDocument/2006/relationships/hyperlink" Target="https://www.sec.gov/Archives/edgar/data/1800637/000121390025037070/ea023959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2025-08-08T06:05:39Z</dcterms:created>
  <dcterms:modified xsi:type="dcterms:W3CDTF">2025-08-08T06:05:39Z</dcterms:modified>
</cp:coreProperties>
</file>