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Proxy Statement Pursuant to Section 14(a) of the </w:t>
        <w:br/>
        <w:t>Securities Exchange Act of 1934</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8413" w:type="dxa"/>
        <w:jc w:val="left"/>
        <w:tblInd w:w="0" w:type="dxa"/>
        <w:tblLayout w:type="fixed"/>
        <w:tblCellMar>
          <w:top w:w="0" w:type="dxa"/>
          <w:left w:w="0" w:type="dxa"/>
          <w:bottom w:w="0" w:type="dxa"/>
          <w:right w:w="0" w:type="dxa"/>
        </w:tblCellMar>
      </w:tblPr>
      <w:tblGrid>
        <w:gridCol w:w="331"/>
        <w:gridCol w:w="146"/>
        <w:gridCol w:w="7936"/>
      </w:tblGrid>
      <w:tr>
        <w:trPr/>
        <w:tc>
          <w:tcPr>
            <w:tcW w:w="33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RYTHM, Inc.</w:t>
        <w:br/>
      </w:r>
      <w:r>
        <w:rPr>
          <w:rFonts w:ascii="Times New Roman PS Std;serif" w:hAnsi="Times New Roman PS Std;serif"/>
          <w:b/>
          <w:i w:val="false"/>
          <w:caps w:val="false"/>
          <w:smallCaps w:val="false"/>
          <w:sz w:val="20"/>
        </w:rPr>
        <w:t>(Name of Registrant as Specified In Its Charter)</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___________________________________________________________________</w:t>
        <w:br/>
        <w:t>(Name of Person(s) Filing Proxy Statement, if Other than the Registrant)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12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2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2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1524000" cy="13258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1325880"/>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RYTHM,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MEETING OF STOCKHOLDERS</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July 9, 2026</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AND PROXY STATEMENT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1524000" cy="13258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1325880"/>
                    </a:xfrm>
                    <a:prstGeom prst="rect">
                      <a:avLst/>
                    </a:prstGeom>
                  </pic:spPr>
                </pic:pic>
              </a:graphicData>
            </a:graphic>
          </wp:inline>
        </w:drawing>
      </w:r>
    </w:p>
    <w:p>
      <w:pPr>
        <w:pStyle w:val="TextBody"/>
        <w:keepNext w:val="false"/>
        <w:pageBreakBefore w:val="false"/>
        <w:widowControl/>
        <w:pBdr/>
        <w:bidi w:val="0"/>
        <w:spacing w:before="2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July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9,</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2026</w:t>
      </w:r>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Dear RYTHM, Inc. Stockholder:</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 xml:space="preserve">On behalf of the Board of Directors, I am pleased to invite you to attend a Virtual Special Meeting of Stockholders of RYTHM, Inc. (“RYTHM” or the “Company”) to be held on Monday, August 10, 2026, at 10:00 a.m., Central Time. To be admitted to the Special Meeting at </w:t>
      </w:r>
      <w:r>
        <w:rPr>
          <w:rFonts w:ascii="Times New Roman PS Std;serif" w:hAnsi="Times New Roman PS Std;serif"/>
          <w:b w:val="false"/>
          <w:i/>
          <w:caps w:val="false"/>
          <w:smallCaps w:val="false"/>
          <w:sz w:val="22"/>
        </w:rPr>
        <w:t>www.virtualshareholdermeeting.com/RYM2026SM</w:t>
      </w:r>
      <w:r>
        <w:rPr>
          <w:rFonts w:ascii="Times New Roman PS Std;serif" w:hAnsi="Times New Roman PS Std;serif"/>
          <w:b w:val="false"/>
          <w:i w:val="false"/>
          <w:caps w:val="false"/>
          <w:smallCaps w:val="false"/>
          <w:sz w:val="22"/>
        </w:rPr>
        <w:t>, you must enter the control number found on your proxy card, voting instruction form or notice you previously received. You may vote during the Special Meeting by following the instructions available on the meeting website during the meeting.</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At the meeting, you and the other stockholders will be asked to vote upon the following:</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2"/>
        </w:rPr>
        <w:t>To approve the issuance of shares of Common Stock to the holders of certain convertible promissory notes and warrants and pursuant to shared services agreements in accordance with Nasdaq Listing Rule 5635.</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As of June 26, 2026, the Company had 2,179,128</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shares of Common Stock outstanding. Only shareholders of record as of the close of business on June 26, 2026 are entitled to receive notice of, to attend, and to vote at, the Special Meeting.</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Whether or not you can attend the meeting, please read the attached proxy statement. When you have done so, please </w:t>
      </w:r>
      <w:r>
        <w:rPr>
          <w:rFonts w:ascii="Times New Roman PS Std;serif" w:hAnsi="Times New Roman PS Std;serif"/>
          <w:b/>
          <w:i w:val="false"/>
          <w:caps w:val="false"/>
          <w:smallCaps w:val="false"/>
          <w:sz w:val="22"/>
        </w:rPr>
        <w:t>mark your vote on the proxy card</w:t>
      </w:r>
      <w:r>
        <w:rPr>
          <w:rFonts w:ascii="Times New Roman PS Std;serif" w:hAnsi="Times New Roman PS Std;serif"/>
          <w:b w:val="false"/>
          <w:i w:val="false"/>
          <w:caps w:val="false"/>
          <w:smallCaps w:val="false"/>
          <w:sz w:val="22"/>
        </w:rPr>
        <w:t>, </w:t>
      </w:r>
      <w:r>
        <w:rPr>
          <w:rFonts w:ascii="Times New Roman PS Std;serif" w:hAnsi="Times New Roman PS Std;serif"/>
          <w:b/>
          <w:i w:val="false"/>
          <w:caps w:val="false"/>
          <w:smallCaps w:val="false"/>
          <w:sz w:val="22"/>
        </w:rPr>
        <w:t>sign and date the proxy card, and return it to us. </w:t>
      </w:r>
      <w:r>
        <w:rPr>
          <w:rFonts w:ascii="Times New Roman PS Std;serif" w:hAnsi="Times New Roman PS Std;serif"/>
          <w:b w:val="false"/>
          <w:i w:val="false"/>
          <w:caps w:val="false"/>
          <w:smallCaps w:val="false"/>
          <w:sz w:val="22"/>
        </w:rPr>
        <w:t>Alternatively, you may cast your vote by telephone, or through the Internet. Instructions for voting by telephone or through the Internet are included with your </w:t>
      </w:r>
      <w:r>
        <w:rPr>
          <w:rFonts w:ascii="Times New Roman PS Std;serif" w:hAnsi="Times New Roman PS Std;serif"/>
          <w:b/>
          <w:i w:val="false"/>
          <w:caps w:val="false"/>
          <w:smallCaps w:val="false"/>
          <w:sz w:val="22"/>
        </w:rPr>
        <w:t>proxy</w:t>
      </w:r>
      <w:r>
        <w:rPr>
          <w:rFonts w:ascii="Times New Roman PS Std;serif" w:hAnsi="Times New Roman PS Std;serif"/>
          <w:b w:val="false"/>
          <w:i w:val="false"/>
          <w:caps w:val="false"/>
          <w:smallCaps w:val="false"/>
          <w:sz w:val="22"/>
        </w:rPr>
        <w:t>. Your vote is important. Please act promptly by voting your shares by telephone, via the Internet, or by signing, dating and returning the proxy card.</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Thank you for your continued interest in RYTHM. We look forward to seeing you at the meeting.</w:t>
      </w:r>
    </w:p>
    <w:tbl>
      <w:tblPr>
        <w:tblW w:w="4883" w:type="dxa"/>
        <w:jc w:val="left"/>
        <w:tblInd w:w="0" w:type="dxa"/>
        <w:tblLayout w:type="fixed"/>
        <w:tblCellMar>
          <w:top w:w="0" w:type="dxa"/>
          <w:left w:w="0" w:type="dxa"/>
          <w:bottom w:w="0" w:type="dxa"/>
          <w:right w:w="0" w:type="dxa"/>
        </w:tblCellMar>
      </w:tblPr>
      <w:tblGrid>
        <w:gridCol w:w="4546"/>
        <w:gridCol w:w="146"/>
        <w:gridCol w:w="191"/>
      </w:tblGrid>
      <w:tr>
        <w:trPr/>
        <w:tc>
          <w:tcPr>
            <w:tcW w:w="45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54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Benjamin Kovler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5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Kovler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546" w:type="dxa"/>
            <w:tcBorders/>
          </w:tcPr>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Chairman and Interim Chief Executive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2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2220 Hicks Road, Suite 210, Rolling Meadows, IL 60008 • Tel: (855) 420-0020</w:t>
        <w:br/>
        <w:t xml:space="preserve">ir@rythminc.com • </w:t>
      </w:r>
      <w:r>
        <w:rPr>
          <w:rFonts w:ascii="Times New Roman PS Std;serif" w:hAnsi="Times New Roman PS Std;serif"/>
          <w:b w:val="false"/>
          <w:i/>
          <w:caps w:val="false"/>
          <w:smallCaps w:val="false"/>
          <w:sz w:val="22"/>
        </w:rPr>
        <w:t>www.rythminc.com</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1524000" cy="13258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 cy="1325880"/>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RYTHM, Inc.</w:t>
        <w:br/>
        <w:t>2220 Hicks Road, Suite 210</w:t>
        <w:br/>
        <w:t>Rolling Meadows, IL 60008</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1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br/>
        <w:t>To Be Held Monday, August 10, 2026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RYTHM, Inc.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RYTHM, Inc. (“RYTHM”) will hold a Virtual Special Meeting of Stockholders on Monday, August 10, 2026 at 10:00 a.m, Central Time. To be admitted to the Special Meeting at </w:t>
      </w:r>
      <w:r>
        <w:rPr>
          <w:rFonts w:ascii="Times New Roman PS Std;serif" w:hAnsi="Times New Roman PS Std;serif"/>
          <w:b w:val="false"/>
          <w:i/>
          <w:caps w:val="false"/>
          <w:smallCaps w:val="false"/>
          <w:sz w:val="20"/>
        </w:rPr>
        <w:t>www.virtualshareholdermeeting.com/RYM2026SM,</w:t>
      </w:r>
      <w:r>
        <w:rPr>
          <w:rFonts w:ascii="Times New Roman PS Std;serif" w:hAnsi="Times New Roman PS Std;serif"/>
          <w:b w:val="false"/>
          <w:i w:val="false"/>
          <w:caps w:val="false"/>
          <w:smallCaps w:val="false"/>
          <w:sz w:val="20"/>
        </w:rPr>
        <w:t xml:space="preserve"> you must enter the control number found on your proxy card, voting instruction form or notice you previously received. You may vote during the Special Meeting by following the instructions available on the meeting website during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holding this meeting for the following purpose: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approve the issuance of shares of Common Stock to the holders of certain convertible promissory notes and warrants and pursuant to shared services agreements in accordance with Nasdaq Listing Rule 5635 (the “Issuance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selected June 26, 2026 as the record date for determining stockholders entitled to vote at the Special Meeting. As of June 26, 2026, RYTHM had 2,179,128 shares of Common Stock outstanding. A list of stockholders on that date will be available for inspection at RYTHM’s corporate headquarters, 2220 Hicks Road, Suite 210, Rolling Meadows, IL 60008, during normal business hours for the ten-day period prior to the Special Meeting. Only holders of our Common Stock as of the close of business on June 26, 2026 are entitled to vote at the Special Meeting or any adjournment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about July 10, 2026, we are mailing to our stockholders our proxy statement and proxy materials.</w:t>
      </w:r>
    </w:p>
    <w:tbl>
      <w:tblPr>
        <w:tblW w:w="3833" w:type="dxa"/>
        <w:jc w:val="left"/>
        <w:tblInd w:w="0" w:type="dxa"/>
        <w:tblLayout w:type="fixed"/>
        <w:tblCellMar>
          <w:top w:w="0" w:type="dxa"/>
          <w:left w:w="0" w:type="dxa"/>
          <w:bottom w:w="0" w:type="dxa"/>
          <w:right w:w="0" w:type="dxa"/>
        </w:tblCellMar>
      </w:tblPr>
      <w:tblGrid>
        <w:gridCol w:w="3496"/>
        <w:gridCol w:w="146"/>
        <w:gridCol w:w="191"/>
      </w:tblGrid>
      <w:tr>
        <w:trPr/>
        <w:tc>
          <w:tcPr>
            <w:tcW w:w="34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4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Benjamin Kovler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4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Kovler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496" w:type="dxa"/>
            <w:tcBorders/>
          </w:tcPr>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Corporate Secretary</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Rolling Meadows, Illinois </w:t>
        <w:br/>
        <w:t>July 9,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Important Notice Regarding Availability of Proxy Materials for the Virtual Special Meeting of Stockholders to be Held on August 10, 2026: The Notice of Special Meeting and Proxy Statement are available at </w:t>
      </w:r>
      <w:r>
        <w:rPr>
          <w:rFonts w:ascii="Times New Roman PS Std;serif" w:hAnsi="Times New Roman PS Std;serif"/>
          <w:b/>
          <w:i/>
          <w:caps w:val="false"/>
          <w:smallCaps w:val="false"/>
          <w:sz w:val="20"/>
        </w:rPr>
        <w:t>www.proxyvote.com</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2220 Hicks Road, Suite 210, Rolling Meadows, IL 60008 • Tel: (855) 420-0020</w:t>
        <w:br/>
        <w:t xml:space="preserve">ir@rythminc.com • </w:t>
      </w:r>
      <w:r>
        <w:rPr>
          <w:rFonts w:ascii="Times New Roman PS Std;serif" w:hAnsi="Times New Roman PS Std;serif"/>
          <w:b w:val="false"/>
          <w:i/>
          <w:caps w:val="false"/>
          <w:smallCaps w:val="false"/>
          <w:sz w:val="20"/>
        </w:rPr>
        <w:t>www.rythminc.com</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IMPORTANT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you expect to attend the virtual special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RYTHM, INC.</w:t>
        <w:br/>
        <w:t>PROXY STATEMENT</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7438" w:type="dxa"/>
        <w:jc w:val="left"/>
        <w:tblInd w:w="0" w:type="dxa"/>
        <w:tblLayout w:type="fixed"/>
        <w:tblCellMar>
          <w:top w:w="0" w:type="dxa"/>
          <w:left w:w="0" w:type="dxa"/>
          <w:bottom w:w="0" w:type="dxa"/>
          <w:right w:w="0" w:type="dxa"/>
        </w:tblCellMar>
      </w:tblPr>
      <w:tblGrid>
        <w:gridCol w:w="6571"/>
        <w:gridCol w:w="146"/>
        <w:gridCol w:w="721"/>
      </w:tblGrid>
      <w:tr>
        <w:trPr/>
        <w:tc>
          <w:tcPr>
            <w:tcW w:w="65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571"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GENERAL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6571"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ITEM 1 — ISSUANCE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6571"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STOCK OWNERSHIP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6571"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 xml:space="preserve">EXPENSES OF SOLICITATION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6571"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6571" w:type="dxa"/>
            <w:tcBorders/>
            <w:vAlign w:val="bottom"/>
          </w:tcPr>
          <w:p>
            <w:pPr>
              <w:pStyle w:val="TableContents"/>
              <w:keepNext w:val="false"/>
              <w:widowControl/>
              <w:pBdr/>
              <w:bidi w:val="0"/>
              <w:spacing w:before="0" w:after="283"/>
              <w:ind w:left="200" w:right="0" w:hanging="200"/>
              <w:jc w:val="left"/>
              <w:rPr/>
            </w:pPr>
            <w:hyperlink w:anchor="T9906">
              <w:r>
                <w:rPr>
                  <w:rStyle w:val="InternetLink"/>
                  <w:rFonts w:ascii="Times New Roman PS Std;serif" w:hAnsi="Times New Roman PS Std;serif"/>
                  <w:b w:val="false"/>
                  <w:i w:val="false"/>
                  <w:caps w:val="false"/>
                  <w:smallCaps w:val="false"/>
                  <w:sz w:val="20"/>
                </w:rPr>
                <w:t xml:space="preserve">ADVANCE NOTICE PROCEDURES AND STOCKHOLDER PROPOSALS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6571"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ADDITIONAL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01"/>
      <w:bookmarkEnd w:id="1"/>
      <w:r>
        <w:rPr>
          <w:rFonts w:ascii="Times New Roman PS Std;serif" w:hAnsi="Times New Roman PS Std;serif"/>
          <w:b/>
          <w:i w:val="false"/>
          <w:caps w:val="false"/>
          <w:smallCaps w:val="false"/>
          <w:sz w:val="20"/>
        </w:rPr>
        <w:t xml:space="preserve">GENERAL INFORMATION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Meeting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contains information related to the Virtual Special Meeting of Stockholders of RYTHM, Inc. (“we,” “us”, “our”, the “Company” or “RYTHM”) to be held on Monday, August 10, 2026, beginning at 10 a.m. Central Time, and any postponements or adjournments thereof (the “Special Meeting”). This proxy statement was prepared at the direction of our Board of Directors to solicit your proxy for use at the Special Meeting. On or about July 10, 2026, we are mailing to our stockholders our proxy statement and proxy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admitted to the Special Meeting at </w:t>
      </w:r>
      <w:r>
        <w:rPr>
          <w:rFonts w:ascii="Times New Roman PS Std;serif" w:hAnsi="Times New Roman PS Std;serif"/>
          <w:b w:val="false"/>
          <w:i/>
          <w:caps w:val="false"/>
          <w:smallCaps w:val="false"/>
          <w:sz w:val="20"/>
        </w:rPr>
        <w:t>www.virtualshareholdermeeting.com/RYM2026SM</w:t>
      </w:r>
      <w:r>
        <w:rPr>
          <w:rFonts w:ascii="Times New Roman PS Std;serif" w:hAnsi="Times New Roman PS Std;serif"/>
          <w:b w:val="false"/>
          <w:i w:val="false"/>
          <w:caps w:val="false"/>
          <w:smallCaps w:val="false"/>
          <w:sz w:val="20"/>
        </w:rPr>
        <w:t> you must enter the control number found on your proxy card, voting instruction form or notice you previously received. You may vote during the Special Meeting by following the instructions available on the meeting website during the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is soliciting my proxy?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the Board of Directors of RYTHM, Inc., are sending you this proxy statement in connection with our solicitation of proxies for use at the Special Meeting. Certain directors, officers and employees of RYTHM may (without compensation) solicit proxies on our behalf by mail, phone, fax, Internet or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is paying for this solicitation?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RYTHM will pay for any solicitation of proxies. RYTHM also will reimburse banks, brokers, custodians, nominees and fiduciaries for their reasonable charges and expenses to forward our proxy materials to the beneficial owners of RYTHM Common Stock.</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am I voting 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There is one item scheduled to be voted on at the Special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Item 1 — To approve the issuance of shares of Common Stock to the holders of certain convertible promissory notes and warrants and pursuant to shared services agreements in accordance with Nasdaq Listing Rule 5635 (the “Issuance Proposal”).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can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Only those who owned Common Stock of record at the close of business on June 26, 2026, the record date for the Special Meeting (the “Record Date”), can vote. If you owned Common Stock on the Record Date, you have one vote per share for each Item up for vote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 I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your shares either at the Special Meeting or by proxy. To vote by proxy, you should </w:t>
      </w:r>
      <w:r>
        <w:rPr>
          <w:rFonts w:ascii="Times New Roman PS Std;serif" w:hAnsi="Times New Roman PS Std;serif"/>
          <w:b/>
          <w:i w:val="false"/>
          <w:caps w:val="false"/>
          <w:smallCaps w:val="false"/>
          <w:sz w:val="20"/>
        </w:rPr>
        <w:t>mark, date, sign </w:t>
      </w:r>
      <w:r>
        <w:rPr>
          <w:rFonts w:ascii="Times New Roman PS Std;serif" w:hAnsi="Times New Roman PS Std;serif"/>
          <w:b w:val="false"/>
          <w:i w:val="false"/>
          <w:caps w:val="false"/>
          <w:smallCaps w:val="false"/>
          <w:sz w:val="20"/>
        </w:rPr>
        <w:t>and </w:t>
      </w:r>
      <w:r>
        <w:rPr>
          <w:rFonts w:ascii="Times New Roman PS Std;serif" w:hAnsi="Times New Roman PS Std;serif"/>
          <w:b/>
          <w:i w:val="false"/>
          <w:caps w:val="false"/>
          <w:smallCaps w:val="false"/>
          <w:sz w:val="20"/>
        </w:rPr>
        <w:t>mail</w:t>
      </w:r>
      <w:r>
        <w:rPr>
          <w:rFonts w:ascii="Times New Roman PS Std;serif" w:hAnsi="Times New Roman PS Std;serif"/>
          <w:b w:val="false"/>
          <w:i w:val="false"/>
          <w:caps w:val="false"/>
          <w:smallCaps w:val="false"/>
          <w:sz w:val="20"/>
        </w:rPr>
        <w:t> the proxy card provided with this proxy statement or vote by telephone or through the Internet.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will be able to participate in the Special Meeting online and submit your questions during the meeting by visiting </w:t>
      </w:r>
      <w:r>
        <w:rPr>
          <w:rFonts w:ascii="Times New Roman PS Std;serif" w:hAnsi="Times New Roman PS Std;serif"/>
          <w:b w:val="false"/>
          <w:i/>
          <w:caps w:val="false"/>
          <w:smallCaps w:val="false"/>
          <w:sz w:val="20"/>
        </w:rPr>
        <w:t>www.virtualshareholdermeeting.com/RYM2026SM</w:t>
      </w:r>
      <w:r>
        <w:rPr>
          <w:rFonts w:ascii="Times New Roman PS Std;serif" w:hAnsi="Times New Roman PS Std;serif"/>
          <w:b w:val="false"/>
          <w:i w:val="false"/>
          <w:caps w:val="false"/>
          <w:smallCaps w:val="false"/>
          <w:sz w:val="20"/>
        </w:rPr>
        <w:t xml:space="preserve">. To be admitted to the Special Meeting, you must enter the control number found on your proxy card, voting instruction form or notice you received. You also will be able to vote your shares electronically prior to or during the Special Meeting. If you want to submit a question during the Special Meeting, log into </w:t>
      </w:r>
      <w:r>
        <w:rPr>
          <w:rFonts w:ascii="Times New Roman PS Std;serif" w:hAnsi="Times New Roman PS Std;serif"/>
          <w:b w:val="false"/>
          <w:i/>
          <w:caps w:val="false"/>
          <w:smallCaps w:val="false"/>
          <w:sz w:val="20"/>
        </w:rPr>
        <w:t>www.virtualshareholdermeeting.com/RYM2026SM</w:t>
      </w:r>
      <w:r>
        <w:rPr>
          <w:rFonts w:ascii="Times New Roman PS Std;serif" w:hAnsi="Times New Roman PS Std;serif"/>
          <w:b w:val="false"/>
          <w:i w:val="false"/>
          <w:caps w:val="false"/>
          <w:smallCaps w:val="false"/>
          <w:sz w:val="20"/>
        </w:rPr>
        <w:t>, type your question into the “Ask a Question” field, and click “Submit.” Questions pertinent to meeting matters will be read and answered during the meeting, subject to time constraints.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encounter any difficulties accessing the virtual meeting during the check-in or meeting time, please call the technical support number that will be posted on the Virtual Shareholder Meeting log in page.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Can I vote by telephone or electronically?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10:59 p.m., Central Daylight Time, on August 9, 2026.</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are votes counted?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w:t>
      </w:r>
      <w:r>
        <w:rPr>
          <w:rFonts w:ascii="Times New Roman PS Std;serif" w:hAnsi="Times New Roman PS Std;serif"/>
          <w:b/>
          <w:i w:val="false"/>
          <w:caps w:val="false"/>
          <w:smallCaps w:val="false"/>
          <w:sz w:val="20"/>
        </w:rPr>
        <w:t>FOR,” “AGAINST”</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ABSTAIN”</w:t>
      </w:r>
      <w:r>
        <w:rPr>
          <w:rFonts w:ascii="Times New Roman PS Std;serif" w:hAnsi="Times New Roman PS Std;serif"/>
          <w:b w:val="false"/>
          <w:i w:val="false"/>
          <w:caps w:val="false"/>
          <w:smallCaps w:val="false"/>
          <w:sz w:val="20"/>
        </w:rPr>
        <w:t> the Issuance Proposal described in Item 1 of this proxy statement.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return your proxy but do not mark your voting preference, the individuals named as proxies will vote your shares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Item 1. Giving a proxy will not affect your right to vote your shares at the Special Meeting. If you attend the Special Meeting, you may revoke your proxy and vote at the Special Meeting if you wish.</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Q:     What are broker non-votes</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and abstentions?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there by any proposals on which brokers have discretion to vote without instructions from beneficial owners?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Item 1, the Issuance Proposal, as that matter is not considered a “discretionary” item. Accordingly, we do not expect to receive any broker non-votes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 abstentions affect the existence of a quorum and the vote required for the proposal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Abstentions on any matter are included in determining the number of shares represented for the purpose of determining whether a quorum is present at a stockholders’ meeting. Although abstentions are considered present and entitled to vote on a matter, abstentions are not considered to be votes cast under Nevada law, and thus will have no impact on the outcome of Item 1, which requires the favorable vote of a majority of the votes cast at the Special Meeting by stockholders entitled to vote on the matter.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Can I change my vote after I return my proxy card?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Even after you have submitted your proxy, you may change your vote at any time before the proxy is exercised by filing with the Corporate Secretary either written notice of your revocation or a duly executed proxy bearing a later date. Attendance at the Special Meeting will not by itself revoke a previously granted proxy; however, delivery of a later dated proxy before the polls close at the Special Meeting will revoke a proxy previously granted.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Board’s recommendations?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Our Board of Directors recommends that you vote your shares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Issuance Proposal as described in Item 1 of this proxy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constitutes a quorum?</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of June 26, 2026, we had 2,179,128 shares of Common Stock outstanding and 52 holders of record. Each share of our Common Stock is entitled to one vote per share. The holders of one-third of the total outstanding shares entitled to vote, present at the Special Meeting or represented by proxy, will constitute a quorum for the transaction of business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a quorum is not present?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 quorum is not present at the scheduled time of the Special Meeting, then the stockholders who are represented may adjourn the Special Meeting until a quorum is present. The time and place of an adjourned meeting, if necessary, would be announced at the time the adjournment is taken and no other notice would be given. Voting cannot take place unless a quorum is present.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voting requirement to approve Item 1?</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affirmative vote of a majority of votes cast on the proposal is required to ratify the Issuance Proposal as described in Item 1 of this proxy statement.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Can I vote on other matters?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Our Third Amended and Restated Bylaws limit the business transacted at a Special Meeting to the purposes stated in the notice of the Special Meeting. Accordingly, no matters other than those included in the Notice of Special Meeting may properly come before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count the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Representatives of Broadridge Financial Solutions, Inc., our transfer agent, will tabulate the votes.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02"/>
      <w:bookmarkEnd w:id="2"/>
      <w:r>
        <w:rPr>
          <w:rFonts w:ascii="Times New Roman PS Std;serif" w:hAnsi="Times New Roman PS Std;serif"/>
          <w:b/>
          <w:i w:val="false"/>
          <w:caps w:val="false"/>
          <w:smallCaps w:val="false"/>
          <w:sz w:val="20"/>
        </w:rPr>
        <w:t xml:space="preserve">ITEM 1 — ISSUANCE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listed on Nasdaq and, as such, we are subject to the exchange’s listing rules. We are seeking stockholder approval of the issuance of shares of Common Stock to the holders of certain convertible promissory notes and warrants and pursuant to shared services agreements for purposes of complying with Nasdaq Listing Rule 5635. Nasdaq Listing Rule 5635(b) requires stockholder approval prior to the issuance of securities when the issuance or potential issuance will result in a change of control of the Company. Under Nasdaq’s interpretation of Nasdaq Listing Rule 5635(b), a “change of control” would occur when, as a result of the issuance of securities, an investor or a group would own, or have the right to acquire, 20% or more of the outstanding shares of common stock or voting power. Additionally, as described further below, Nasdaq Listing Rule 5635(d) requires stockholder approval for transactions other than public offerings of 20% or more of a company’s outstanding common stock or voting power outstanding before the issuance, at a price that is less than the lower of (i) the Nasdaq Official Closing Price immediately preceding the signing of the binding agreement in connection with such transaction; or (ii) the average Nasdaq Official Closing Price of the common stock for the five trading days immediately preceding the signing of such binding agreement (the “Minimum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RSLGH, LLC (“RSLGH”), a subsidiary of Green Thumb Industries Inc. (“Green Thumb”), owns approximately 32.1% of our outstanding shares of Common Stock. Benjamin Kovler, our Chairman and Interim Chief Executive Officer, is the Chairman and Chief Executive Officer of Green Thumb, and Armon Vakili, a member of our Board of Directors, is an employee of Green Thumb. If this Item 1 is approved and if RSLGH converts and exercises all of its convertible notes and warrants, and assuming that all such securities are amended to remove any other beneficial ownership limitations, then RSLGH would be expected to hold approximately 90.1% of our outstanding Common Stock. As a result, Green Thumb and its affiliates, through RSLGH, would exercise control over matters requiring stockholder approval, including the election of directors, amendment of our articles of incorporation and approval of significant corporate transactions. The table below summarizes the shares of Common Stock that would be issuable upon approval of this Item 1, including the portion of those securities that are held by RSLGH:</w:t>
      </w:r>
    </w:p>
    <w:tbl>
      <w:tblPr>
        <w:tblW w:w="10205" w:type="dxa"/>
        <w:jc w:val="left"/>
        <w:tblInd w:w="0" w:type="dxa"/>
        <w:tblLayout w:type="fixed"/>
        <w:tblCellMar>
          <w:top w:w="0" w:type="dxa"/>
          <w:left w:w="0" w:type="dxa"/>
          <w:bottom w:w="0" w:type="dxa"/>
          <w:right w:w="0" w:type="dxa"/>
        </w:tblCellMar>
      </w:tblPr>
      <w:tblGrid>
        <w:gridCol w:w="5105"/>
        <w:gridCol w:w="146"/>
        <w:gridCol w:w="286"/>
        <w:gridCol w:w="826"/>
        <w:gridCol w:w="399"/>
        <w:gridCol w:w="146"/>
        <w:gridCol w:w="1238"/>
        <w:gridCol w:w="417"/>
        <w:gridCol w:w="146"/>
        <w:gridCol w:w="1015"/>
        <w:gridCol w:w="481"/>
      </w:tblGrid>
      <w:tr>
        <w:trPr/>
        <w:tc>
          <w:tcPr>
            <w:tcW w:w="51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Security</w:t>
            </w:r>
          </w:p>
        </w:tc>
        <w:tc>
          <w:tcPr>
            <w:tcW w:w="146" w:type="dxa"/>
            <w:tcBorders/>
            <w:vAlign w:val="bottom"/>
          </w:tcPr>
          <w:p>
            <w:pPr>
              <w:pStyle w:val="TableContents"/>
              <w:bidi w:val="0"/>
              <w:spacing w:before="0" w:after="283"/>
              <w:jc w:val="left"/>
              <w:rPr/>
            </w:pPr>
            <w:r>
              <w:rPr/>
              <w:t> </w:t>
            </w:r>
          </w:p>
        </w:tc>
        <w:tc>
          <w:tcPr>
            <w:tcW w:w="151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Conversion </w:t>
              <w:br/>
              <w:t>Price</w:t>
            </w:r>
          </w:p>
        </w:tc>
        <w:tc>
          <w:tcPr>
            <w:tcW w:w="146" w:type="dxa"/>
            <w:tcBorders/>
            <w:vAlign w:val="bottom"/>
          </w:tcPr>
          <w:p>
            <w:pPr>
              <w:pStyle w:val="TableContents"/>
              <w:bidi w:val="0"/>
              <w:spacing w:before="0" w:after="283"/>
              <w:jc w:val="left"/>
              <w:rPr/>
            </w:pPr>
            <w:r>
              <w:rPr/>
              <w:t> </w:t>
            </w:r>
          </w:p>
        </w:tc>
        <w:tc>
          <w:tcPr>
            <w:tcW w:w="165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Underlying </w:t>
              <w:br/>
              <w:t xml:space="preserve">Shares of </w:t>
              <w:br/>
              <w:t xml:space="preserve">Common </w:t>
              <w:br/>
              <w:t>Stock – RSLGH</w:t>
            </w:r>
          </w:p>
        </w:tc>
        <w:tc>
          <w:tcPr>
            <w:tcW w:w="146" w:type="dxa"/>
            <w:tcBorders/>
            <w:vAlign w:val="bottom"/>
          </w:tcPr>
          <w:p>
            <w:pPr>
              <w:pStyle w:val="TableContents"/>
              <w:bidi w:val="0"/>
              <w:spacing w:before="0" w:after="283"/>
              <w:jc w:val="left"/>
              <w:rPr/>
            </w:pPr>
            <w:r>
              <w:rPr/>
              <w:t> </w:t>
            </w:r>
          </w:p>
        </w:tc>
        <w:tc>
          <w:tcPr>
            <w:tcW w:w="14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Underlying </w:t>
              <w:br/>
              <w:t xml:space="preserve">Shares of </w:t>
              <w:br/>
              <w:t xml:space="preserve">Common </w:t>
              <w:br/>
              <w:t xml:space="preserve">Stock – All </w:t>
              <w:br/>
              <w:t>Other Holders</w:t>
            </w:r>
          </w:p>
        </w:tc>
      </w:tr>
      <w:tr>
        <w:trPr/>
        <w:tc>
          <w:tcPr>
            <w:tcW w:w="51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Pre-Funded Warrants issued upon conversion of November 2024 Note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3.157</w:t>
            </w:r>
          </w:p>
        </w:tc>
        <w:tc>
          <w:tcPr>
            <w:tcW w:w="39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3,252,984</w:t>
            </w:r>
          </w:p>
        </w:tc>
        <w:tc>
          <w:tcPr>
            <w:tcW w:w="417"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1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2025 Notes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23.53</w:t>
            </w:r>
          </w:p>
        </w:tc>
        <w:tc>
          <w:tcPr>
            <w:tcW w:w="3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1,147,520</w:t>
            </w:r>
          </w:p>
        </w:tc>
        <w:tc>
          <w:tcPr>
            <w:tcW w:w="4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1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127,502</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1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Pre-Funded Warrants issued or issuable as interest payments under May 2025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23.529</w:t>
            </w:r>
          </w:p>
        </w:tc>
        <w:tc>
          <w:tcPr>
            <w:tcW w:w="39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172,665</w:t>
            </w:r>
          </w:p>
        </w:tc>
        <w:tc>
          <w:tcPr>
            <w:tcW w:w="417"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19,191</w:t>
            </w:r>
          </w:p>
        </w:tc>
        <w:tc>
          <w:tcPr>
            <w:tcW w:w="48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r>
      <w:tr>
        <w:trPr/>
        <w:tc>
          <w:tcPr>
            <w:tcW w:w="51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2025 Notes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29.475</w:t>
            </w:r>
          </w:p>
        </w:tc>
        <w:tc>
          <w:tcPr>
            <w:tcW w:w="3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1,526,769</w:t>
            </w:r>
          </w:p>
        </w:tc>
        <w:tc>
          <w:tcPr>
            <w:tcW w:w="4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1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169,641</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1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Pre-Funded Warrants issued or issuable as interest payments under August 2025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29.474</w:t>
            </w:r>
          </w:p>
        </w:tc>
        <w:tc>
          <w:tcPr>
            <w:tcW w:w="39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229,016</w:t>
            </w:r>
          </w:p>
        </w:tc>
        <w:tc>
          <w:tcPr>
            <w:tcW w:w="417"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16,731</w:t>
            </w:r>
          </w:p>
        </w:tc>
        <w:tc>
          <w:tcPr>
            <w:tcW w:w="48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(6)</w:t>
            </w:r>
          </w:p>
        </w:tc>
      </w:tr>
      <w:tr>
        <w:trPr/>
        <w:tc>
          <w:tcPr>
            <w:tcW w:w="51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Pre-Funded Warrants issued under Shared Services Agreements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26.68</w:t>
            </w:r>
          </w:p>
        </w:tc>
        <w:tc>
          <w:tcPr>
            <w:tcW w:w="399"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141,343</w:t>
            </w:r>
          </w:p>
        </w:tc>
        <w:tc>
          <w:tcPr>
            <w:tcW w:w="4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1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Pre-Funded Warrants issuable in the future under Shared Services Agreements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26.68</w:t>
            </w:r>
          </w:p>
        </w:tc>
        <w:tc>
          <w:tcPr>
            <w:tcW w:w="39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2,156,531</w:t>
            </w:r>
          </w:p>
        </w:tc>
        <w:tc>
          <w:tcPr>
            <w:tcW w:w="417"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(8)</w:t>
            </w:r>
          </w:p>
        </w:tc>
        <w:tc>
          <w:tcPr>
            <w:tcW w:w="146"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conversion price at which the principal and/or interest under outstanding convertible notes was previously converted into pre-funded warrants. The pre-funded warrants have an exercise price of $0.001.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29,987 shares underlying pre-funded warrants issued in connection with payments of interest under the November 2024 Note.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89,150 shares underlying pre-funded warrants previously issued as interest payments under the May 2025 Note held by RSLGH and 83,515 shares that are expected to underly pre-funded warrants to be issued as future interest payments prior to maturity of the May 2025 Note held by RSLGH.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9,908 shares underlying pre-funded warrants previously issued as interest payments under the May 2025 Notes and 9,283 shares that are expected to underly pre-funded warrants to be issued as future interest payments prior to maturity of the May 2025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78,459 shares underlying pre-funded warrants previously issued as interest payments under the August 2025 Note held by RSLGH and 150,557 shares that are expected to underly pre-funded warrants to be issued as future interest payments prior to maturity of the August 2025 Note held by RSLGH.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16,731 shares that are expected to underly pre-funded warrants to be issued as future interest payments prior to maturity of the August 2025 Notes.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Represents the effective conversion price at which fees incurred by us under the Shared Services Agreements were, or will be, paid in the form of pre-funded warrants. The pre-funded warrants have an exercise price of $0.001.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The Shared Services Agreements automatically renew for one-year terms unless earlier terminated, and as such, the maximum number of shares of Common Stock issuable under the Shared Services Agreements and upon the exercise of pre-funded warrants issued thereunder will depend on the duration and total fees incurred under the Shared Services Agreements. The number set forth above represents a maximum 2,156,531 shares of Common Stock issuable under the Shared Services Agreements for which we are seeking stockholder approval pursuant to this Item 1, which we believe is a reasonable estimate of the number of shares and/or pre-funded warrants that will be issued in the next five years under the Shared Services Agreements.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Pre-Funded Warrants from November 2024 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5, 2024, we issued a secured convertible note (the “November 2024 Note”) to RSLGH. The November 2024 Note had an original principal amount of $10 million, which was a secured obligation and ranked senior to all of our indebtedness. The November 2024 Note matured on November 5, 2025 and had a 10.0% annualized interest rate, with interest to be paid on the first calendar day of each September and March while the November 2024 Note was outstanding, in cash. On May 22, 2025, we and RSLGH amended the terms of the November 2024 Note to, among other things, (i) permit RSLGH to elect, subject to any required approvals under Nasdaq listing rules, to receive pre-funded warrants in lieu of shares of Common Stock upon conversion of the November 2024 Note at a conversion price equal to the existing conversion price under the November 2024 Note of $3.158 less the $0.001 exercise price of each pre-funded warrant, and (ii) provide that the November 2024 Note ranks on parity with the May 2025 Note (defined below) and notes issued to other investors at that time. On August 25, 2025, we and RSLGH further amended the November 2024 Note to provide that the November 2024 Note ranks on parity with the August 2025 Note (defined below) and notes issued to other investors at that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3, 2025, RSLGH elected to convert the November 2024 Note and $175,000 of accrued interest thereon into pre-funded warrants at a conversion price of $3.157 per warrant, convertible into 3,222,997 shares of our Common Stock at an exercise price of $0.001 per share. The pre-funded warrants are subject to a 49.99% beneficial ownership limitation, with exercise also subject to approval of the Company’s stockholders under the applicable Nasdaq listing rules, to the extent required. Additionally, on May 8, 2025 and September 1, 2025, we issued 18,614 and 11,373 pre-funded warrants, respectively, to RSLGH as payment of interest pursuant to the November 2024 Note, subject in each case to a 49.99% beneficial ownership limitation with exercise subject to Company stockholder approval under applicable Nasdaq listing rules, to the extent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seeking stockholder approval pursuant to this Item 1 to permit the full exercise of the pre-funded warrants issued upon conversion of and as interest payments under the November 2024 Note, irrespective of any conversion limitations contained in those warrants, including the 49.99% beneficial ownership limitation to the extent that limitation is removed from the warrants pursuant to a future amendment.</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foregoing descriptions of the November 2024 Note and the form of pre-funded warrant issued thereunder are not complete and are qualified in their entirety by reference to the full text of: (i) the November 2024 Note, a copy of which is attached as </w:t>
      </w:r>
      <w:hyperlink r:id="rId5">
        <w:r>
          <w:rPr>
            <w:rStyle w:val="InternetLink"/>
            <w:rFonts w:ascii="Times New Roman PS Std;serif" w:hAnsi="Times New Roman PS Std;serif"/>
            <w:b w:val="false"/>
            <w:i w:val="false"/>
            <w:caps w:val="false"/>
            <w:smallCaps w:val="false"/>
            <w:sz w:val="20"/>
          </w:rPr>
          <w:t>Exhibit 4.1</w:t>
        </w:r>
      </w:hyperlink>
      <w:r>
        <w:rPr>
          <w:rFonts w:ascii="Times New Roman PS Std;serif" w:hAnsi="Times New Roman PS Std;serif"/>
          <w:b w:val="false"/>
          <w:i w:val="false"/>
          <w:caps w:val="false"/>
          <w:smallCaps w:val="false"/>
          <w:sz w:val="20"/>
        </w:rPr>
        <w:t xml:space="preserve"> to the Current Report on Form 8-K that we filed with the Securities and Exchange Commission (the “SEC”) on November 5, 2024, (ii) the May 8, 2025 amendment to the November 2024 Note, a copy of which is attached as </w:t>
      </w:r>
      <w:hyperlink r:id="rId6">
        <w:r>
          <w:rPr>
            <w:rStyle w:val="InternetLink"/>
            <w:rFonts w:ascii="Times New Roman PS Std;serif" w:hAnsi="Times New Roman PS Std;serif"/>
            <w:b w:val="false"/>
            <w:i w:val="false"/>
            <w:caps w:val="false"/>
            <w:smallCaps w:val="false"/>
            <w:sz w:val="20"/>
          </w:rPr>
          <w:t>Exhibit 4.1</w:t>
        </w:r>
      </w:hyperlink>
      <w:r>
        <w:rPr>
          <w:rFonts w:ascii="Times New Roman PS Std;serif" w:hAnsi="Times New Roman PS Std;serif"/>
          <w:b w:val="false"/>
          <w:i w:val="false"/>
          <w:caps w:val="false"/>
          <w:smallCaps w:val="false"/>
          <w:sz w:val="20"/>
        </w:rPr>
        <w:t xml:space="preserve"> to the Quarterly Report on Form 10-Q that we filed with the SEC on May 9, 2025, (iii) the form of pre-funded warrant and the May 22, 2025 amendment to the November 2024 Note, copies of which are attached as </w:t>
      </w:r>
      <w:hyperlink r:id="rId7">
        <w:r>
          <w:rPr>
            <w:rStyle w:val="InternetLink"/>
            <w:rFonts w:ascii="Times New Roman PS Std;serif" w:hAnsi="Times New Roman PS Std;serif"/>
            <w:b w:val="false"/>
            <w:i w:val="false"/>
            <w:caps w:val="false"/>
            <w:smallCaps w:val="false"/>
            <w:sz w:val="20"/>
          </w:rPr>
          <w:t>Exhibit 4.1</w:t>
        </w:r>
      </w:hyperlink>
      <w:r>
        <w:rPr>
          <w:rFonts w:ascii="Times New Roman PS Std;serif" w:hAnsi="Times New Roman PS Std;serif"/>
          <w:b w:val="false"/>
          <w:i w:val="false"/>
          <w:caps w:val="false"/>
          <w:smallCaps w:val="false"/>
          <w:sz w:val="20"/>
        </w:rPr>
        <w:t xml:space="preserve"> and </w:t>
      </w:r>
      <w:hyperlink r:id="rId8">
        <w:r>
          <w:rPr>
            <w:rStyle w:val="InternetLink"/>
            <w:rFonts w:ascii="Times New Roman PS Std;serif" w:hAnsi="Times New Roman PS Std;serif"/>
            <w:b w:val="false"/>
            <w:i w:val="false"/>
            <w:caps w:val="false"/>
            <w:smallCaps w:val="false"/>
            <w:sz w:val="20"/>
          </w:rPr>
          <w:t>Exhibit 4.3</w:t>
        </w:r>
      </w:hyperlink>
      <w:r>
        <w:rPr>
          <w:rFonts w:ascii="Times New Roman PS Std;serif" w:hAnsi="Times New Roman PS Std;serif"/>
          <w:b w:val="false"/>
          <w:i w:val="false"/>
          <w:caps w:val="false"/>
          <w:smallCaps w:val="false"/>
          <w:sz w:val="20"/>
        </w:rPr>
        <w:t xml:space="preserve">, respectively, to the Current Report on Form 8-K that we filed with the SEC on May 22, 2025, and (iv) the August 25, 2025 amendment to the November 2024 Note, a copy of which is attached as </w:t>
      </w:r>
      <w:hyperlink r:id="rId9">
        <w:r>
          <w:rPr>
            <w:rStyle w:val="InternetLink"/>
            <w:rFonts w:ascii="Times New Roman PS Std;serif" w:hAnsi="Times New Roman PS Std;serif"/>
            <w:b w:val="false"/>
            <w:i w:val="false"/>
            <w:caps w:val="false"/>
            <w:smallCaps w:val="false"/>
            <w:sz w:val="20"/>
          </w:rPr>
          <w:t>Exhibit 4.3</w:t>
        </w:r>
      </w:hyperlink>
      <w:r>
        <w:rPr>
          <w:rFonts w:ascii="Times New Roman PS Std;serif" w:hAnsi="Times New Roman PS Std;serif"/>
          <w:b w:val="false"/>
          <w:i w:val="false"/>
          <w:caps w:val="false"/>
          <w:smallCaps w:val="false"/>
          <w:sz w:val="20"/>
        </w:rPr>
        <w:t xml:space="preserve"> to the Current Report on Form 8-K that we filed with the SEC on August 27, 2025, each of which is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May 2025 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22, 2025, we issued secured convertible notes to RSLGH and two other accredited investors with an original aggregate principal amount of $30 million (the “May 2025 Notes”), bearing interest at 10% per annum. The original principal amount of the May 2025 Note issued to RSLGH was $27 million. The May 2025 Notes may be converted into Common Stock at a conversion price of $23.53 per share or, at the election of the holder, into pre-funded warrants at a conversion price of $23.529 per share, subject to certain conditions. The May 2025 Notes are subject to a 49.99% beneficial ownership limitation with respect to RSLGH and 4.99% with respect to the other holders of the May 2025 Notes, with exercise also subject to approval of the Company’s stockholders under the applicable Nasdaq listing rules, to the extent required. The May 2025 Notes will mature on November 22, 2026, with interest to be paid on the first calendar day of each September and March while each May 2025 Note is outstanding, in Pre-Funded Warrants, beginning September 1, 2025. On August 25, 2025, we and RSLGH amended the terms of the May 2025 Notes to provide that the May 2025 Note ranks on parity with the August 2025 Notes and the November 2025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 2025 and on March 1, 2026, we issued an aggregate of 99,058 pre-funded warrants (including 89,150 pre-funded warrants to RSLGH) as payments of interest pursuant to the May 2025 Notes, subject to the same beneficial ownership limitations contained in the holders’ respective May 2025 Notes, and with exercise subject to stockholder approval under applicable Nasdaq listing rules, to the extent required. The maximum number of pre-funded warrants that may be issued as future payments of interest under the May 2025 Notes is 92,798, and the maximum number of shares of Common Stock that may be issued upon conversion of the outstanding principal amount under the May 2025 Notes is 1,275,022.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seeking stockholder approval pursuant to this Item 1 to permit the full conversion of the May 2025 Notes into shares of Common Stock and the exercise of the maximum number of pre-funded warrants that have been and may be issued upon conversion of and as interest payments under the May 2025 Notes, irrespective of any conversion limitations contained in the May 2025 Notes and the warrants, including the beneficial ownership limitations to the extent that the limitations are removed pursuant to future amendments to the May 2025 Notes and/or the warrants.</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foregoing descriptions of the May 2025 Note and the form of pre-funded warrant issued thereunder are not complete and are qualified in their entirety by reference to the full text of: (i) the form of pre-funded warrant and the May 2025 Note, copies of which are attached as </w:t>
      </w:r>
      <w:hyperlink r:id="rId10">
        <w:r>
          <w:rPr>
            <w:rStyle w:val="InternetLink"/>
            <w:rFonts w:ascii="Times New Roman PS Std;serif" w:hAnsi="Times New Roman PS Std;serif"/>
            <w:b w:val="false"/>
            <w:i w:val="false"/>
            <w:caps w:val="false"/>
            <w:smallCaps w:val="false"/>
            <w:sz w:val="20"/>
          </w:rPr>
          <w:t>Exhibit 4.1</w:t>
        </w:r>
      </w:hyperlink>
      <w:r>
        <w:rPr>
          <w:rFonts w:ascii="Times New Roman PS Std;serif" w:hAnsi="Times New Roman PS Std;serif"/>
          <w:b w:val="false"/>
          <w:i w:val="false"/>
          <w:caps w:val="false"/>
          <w:smallCaps w:val="false"/>
          <w:sz w:val="20"/>
        </w:rPr>
        <w:t xml:space="preserve"> and </w:t>
      </w:r>
      <w:hyperlink r:id="rId11">
        <w:r>
          <w:rPr>
            <w:rStyle w:val="InternetLink"/>
            <w:rFonts w:ascii="Times New Roman PS Std;serif" w:hAnsi="Times New Roman PS Std;serif"/>
            <w:b w:val="false"/>
            <w:i w:val="false"/>
            <w:caps w:val="false"/>
            <w:smallCaps w:val="false"/>
            <w:sz w:val="20"/>
          </w:rPr>
          <w:t>Exhibit 4.2</w:t>
        </w:r>
      </w:hyperlink>
      <w:r>
        <w:rPr>
          <w:rFonts w:ascii="Times New Roman PS Std;serif" w:hAnsi="Times New Roman PS Std;serif"/>
          <w:b w:val="false"/>
          <w:i w:val="false"/>
          <w:caps w:val="false"/>
          <w:smallCaps w:val="false"/>
          <w:sz w:val="20"/>
        </w:rPr>
        <w:t xml:space="preserve">, respectively, to the Current Report on Form 8-K that we filed with the SEC on May 22, 2025, and (ii) the August 25, 2025 amendment to the May 2025 Note, a copy of which is attached as </w:t>
      </w:r>
      <w:hyperlink r:id="rId12">
        <w:r>
          <w:rPr>
            <w:rStyle w:val="InternetLink"/>
            <w:rFonts w:ascii="Times New Roman PS Std;serif" w:hAnsi="Times New Roman PS Std;serif"/>
            <w:b w:val="false"/>
            <w:i w:val="false"/>
            <w:caps w:val="false"/>
            <w:smallCaps w:val="false"/>
            <w:sz w:val="20"/>
          </w:rPr>
          <w:t>Exhibit 4.4</w:t>
        </w:r>
      </w:hyperlink>
      <w:r>
        <w:rPr>
          <w:rFonts w:ascii="Times New Roman PS Std;serif" w:hAnsi="Times New Roman PS Std;serif"/>
          <w:b w:val="false"/>
          <w:i w:val="false"/>
          <w:caps w:val="false"/>
          <w:smallCaps w:val="false"/>
          <w:sz w:val="20"/>
        </w:rPr>
        <w:t xml:space="preserve"> to the Current Report on Form 8-K that we filed with the SEC on August 27, 2025, each of which is incorporated by reference herein.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August 2025 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2025, we issued secured convertible notes to RSLGH and two other accredited investors with an original aggregate principal amount of $50 million (the “August 2025 Notes”). The August 2025 Notes are secured obligations and rank senior to all of our indebtedness except for the November 2024 Note and the May 2025 Notes, which rank on parity with the August 2025 Notes. The August 2025 Notes may be converted into Common Stock at a conversion price of $29.475 per share or, at the election of the holder, into pre-funded warrants at a conversion price of $29.474 per share, subject to certain conditions. The August 2025 Notes will mature on February 25, 2027 and will accrue interest based on a 10.0% annualized interest rate, with interest to be paid on the first calendar day of each September and March while the August 2025 Notes are outstanding beginning on March 1, 2026, in cash, Common Stock, or pre-funded warrants to purchase Common Stock, at the election of the holders. The August 2025 Notes are subject to a 49.99% beneficial ownership limitation with respect to RSLGH and 4.99% with respect to the other holders of the August 2025 Notes, with exercise also subject to approval of the Company’s stockholders under the applicable Nasdaq listing rules, to the extent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9, 2026, we issued an aggregate of 78,459 pre-funded warrants to RSLGH as a payment of interest pursuant to the August 2025 Note held by RSLGH, subject to the same beneficial ownership limitations contained in the August 2025 Note held by RSLGH, and with exercise subject to stockholder approval under applicable Nasdaq listing rules, to the extent required. The maximum number of pre-funded warrants that may be issued as future payments of interest under the August 2025 Notes is 167,288, and the maximum number of shares of Common Stock that may be issued upon conversion of the outstanding principal amount under the August 2025 Notes is 1,696,410.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seeking stockholder approval pursuant to this Item 1 to permit the full conversion of the August 2025 Notes into shares of Common Stock and the exercise of the maximum number of pre-funded warrants that have been and may be issued upon conversion of and as interest payments under the August 2025 Notes, irrespective of any conversion limitations contained in the August 2025 Notes and the warrants, including the beneficial ownership limitations to the extent that the limitations are removed pursuant to future amendments to the August 2025 Notes and/or the warrants.</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foregoing descriptions of the August 2025 Note and the form of pre-funded warrant issued thereunder are not complete and are qualified in their entirety by reference to the full text of the August 2025 Note and the form of pre-funded warrant, copies of which are attached as </w:t>
      </w:r>
      <w:hyperlink r:id="rId13">
        <w:r>
          <w:rPr>
            <w:rStyle w:val="InternetLink"/>
            <w:rFonts w:ascii="Times New Roman PS Std;serif" w:hAnsi="Times New Roman PS Std;serif"/>
            <w:b w:val="false"/>
            <w:i w:val="false"/>
            <w:caps w:val="false"/>
            <w:smallCaps w:val="false"/>
            <w:sz w:val="20"/>
          </w:rPr>
          <w:t>Exhibit 4.1</w:t>
        </w:r>
      </w:hyperlink>
      <w:r>
        <w:rPr>
          <w:rFonts w:ascii="Times New Roman PS Std;serif" w:hAnsi="Times New Roman PS Std;serif"/>
          <w:b w:val="false"/>
          <w:i w:val="false"/>
          <w:caps w:val="false"/>
          <w:smallCaps w:val="false"/>
          <w:sz w:val="20"/>
        </w:rPr>
        <w:t xml:space="preserve"> and </w:t>
      </w:r>
      <w:hyperlink r:id="rId14">
        <w:r>
          <w:rPr>
            <w:rStyle w:val="InternetLink"/>
            <w:rFonts w:ascii="Times New Roman PS Std;serif" w:hAnsi="Times New Roman PS Std;serif"/>
            <w:b w:val="false"/>
            <w:i w:val="false"/>
            <w:caps w:val="false"/>
            <w:smallCaps w:val="false"/>
            <w:sz w:val="20"/>
          </w:rPr>
          <w:t>Exhibit 4.2</w:t>
        </w:r>
      </w:hyperlink>
      <w:r>
        <w:rPr>
          <w:rFonts w:ascii="Times New Roman PS Std;serif" w:hAnsi="Times New Roman PS Std;serif"/>
          <w:b w:val="false"/>
          <w:i w:val="false"/>
          <w:caps w:val="false"/>
          <w:smallCaps w:val="false"/>
          <w:sz w:val="20"/>
        </w:rPr>
        <w:t>, respectively, to the Current Report on Form 8-K that we filed with the SEC on August 27, 2025, each of which is incorporated by reference herein.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Shared Services Agreements and Pre-Funded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2025, we entered into an Amended and Restated Shared Services Agreement (the “Services Agreement”) with Vision Management Services, LLC (“VMS”), an indirect wholly-owned subsidiary of Green Thumb. Under the Services Agreement, VMS provides certain administrative, supply chain, operations management, sales and marketing, and technical services to us and our subsidiaries. As consideration for those services, we pay VMS service fees equal to (i) 125% of the costs incurred by VMS in connection with any services provided by non-dedicated personnel, including the applicable portion of salary, bonus, equity compensation cost, health care and other benefits, and (ii) 100% of such costs incurred by VMS in connection with services provided by dedicated personnel and any third-party costs incurred in connection with the services. The service fees are payable in cash or, upon mutual agreement of us and VMS and to the extent permitted under applicable Nasdaq listing rules, in Common Stock or in pre-funded warrants, with the value per share of Common Stock or pre-funded warrant being equal to $26.68. The maximum cost for services provided by non-dedicated personnel during the one-year term of the Services Agreement may not exceed $3.0 million unless the parties otherwise agree in writing. The Services Agreement is for a term of one year, is terminable by either party on 90 days’ notice for any or no reason, and will automatically renew for successive one-year terms unless terminated by either party at least thirty days prior to the end of the applicable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21, 2025, we entered into a Shared Services Agreement (the “CFO Services Agreement” and together with the Services Agreement, the “Services Agreements”) with VMS, pursuant to which Brad Asher provides his services as Chief Financial Officer. As consideration for those services, we pay VMS a monthly fee based on its direct costs in providing such services, with a maximum of $72,552 per month. The CFO Services Agreement has a term of one year, is terminable by either party on 90 days’ notice for any or no reason, and will automatically renew for successive one-year terms unless terminated by either party at least thirty days prior to the end of the applicable term. As a result of the services provided under the Services Agreements, we do not have any direct employees other than our Interim 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VMS assigned its rights to receive any payments made to it under the Services Agreements that are paid in the form of our equity to RSLGH. On October 20, 2025, we issued 141,343 pre-funded warrants to RSLGH as payment of amounts due pursuant to the Services Agreements, subject to a 49.99% beneficial ownership limitation and with exercise being subject to Company stockholder approval under applicable Nasdaq listing rules, to the extent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seeking stockholder approval pursuant to this Item 1 to permit the issuance of up to 2,297,874 shares of Common Stock under the Services Agreements in accordance with their respective terms as described above, including the exercise of pre-funded warrants that have been and may be issued as payments under the Services Agreements, irrespective of any issuance limitations contained in the Services Agreements and the warrants, including beneficial ownership limitations to the extent that the limitations are removed pursuant to future amendments to the warrants. The Shared Services Agreements automatically renew for one-year terms unless earlier terminated, and as such, the number of shares of Common Stock actually issuable upon the exercise of pre-funded warrants issued thereunder will depend on the duration and total fees incurred under the Shared Services Agreements. Consequently, we are seeking stockholder approval for the issuance of up to 2,297,874 shares of Common under the Shared Services Agreements, including upon exercise of pre-funded warrants issued thereunder, which we believe is a reasonable estimate of the number of shares and/or pre-funded warrants that have been issued and will be issued in the next five years under the Shared Services Agreements.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foregoing descriptions of the CFO Services Agreement, the Services Agreement, and the form of pre-funded warrant issued thereunder are not complete and are qualified in their entirety by reference to the full text of: (i) the CFO Services Agreement, a copy of which is attached as </w:t>
      </w:r>
      <w:hyperlink r:id="rId15">
        <w:r>
          <w:rPr>
            <w:rStyle w:val="InternetLink"/>
            <w:rFonts w:ascii="Times New Roman PS Std;serif" w:hAnsi="Times New Roman PS Std;serif"/>
            <w:b w:val="false"/>
            <w:i w:val="false"/>
            <w:caps w:val="false"/>
            <w:smallCaps w:val="false"/>
            <w:sz w:val="20"/>
          </w:rPr>
          <w:t>Exhibit 10.1</w:t>
        </w:r>
      </w:hyperlink>
      <w:r>
        <w:rPr>
          <w:rFonts w:ascii="Times New Roman PS Std;serif" w:hAnsi="Times New Roman PS Std;serif"/>
          <w:b w:val="false"/>
          <w:i w:val="false"/>
          <w:caps w:val="false"/>
          <w:smallCaps w:val="false"/>
          <w:sz w:val="20"/>
        </w:rPr>
        <w:t xml:space="preserve"> to the Current Report on Form 8-K that we filed with the SEC on March 21, 2025, and (ii) the Services Agreement and form of pre-funded warrant, copies of which are attached as </w:t>
      </w:r>
      <w:hyperlink r:id="rId16">
        <w:r>
          <w:rPr>
            <w:rStyle w:val="InternetLink"/>
            <w:rFonts w:ascii="Times New Roman PS Std;serif" w:hAnsi="Times New Roman PS Std;serif"/>
            <w:b w:val="false"/>
            <w:i w:val="false"/>
            <w:caps w:val="false"/>
            <w:smallCaps w:val="false"/>
            <w:sz w:val="20"/>
          </w:rPr>
          <w:t>Exhibit 10.5</w:t>
        </w:r>
      </w:hyperlink>
      <w:r>
        <w:rPr>
          <w:rFonts w:ascii="Times New Roman PS Std;serif" w:hAnsi="Times New Roman PS Std;serif"/>
          <w:b w:val="false"/>
          <w:i w:val="false"/>
          <w:caps w:val="false"/>
          <w:smallCaps w:val="false"/>
          <w:sz w:val="20"/>
        </w:rPr>
        <w:t xml:space="preserve"> and </w:t>
      </w:r>
      <w:hyperlink r:id="rId17">
        <w:r>
          <w:rPr>
            <w:rStyle w:val="InternetLink"/>
            <w:rFonts w:ascii="Times New Roman PS Std;serif" w:hAnsi="Times New Roman PS Std;serif"/>
            <w:b w:val="false"/>
            <w:i w:val="false"/>
            <w:caps w:val="false"/>
            <w:smallCaps w:val="false"/>
            <w:sz w:val="20"/>
          </w:rPr>
          <w:t>Exhibit 4.1</w:t>
        </w:r>
      </w:hyperlink>
      <w:r>
        <w:rPr>
          <w:rFonts w:ascii="Times New Roman PS Std;serif" w:hAnsi="Times New Roman PS Std;serif"/>
          <w:b w:val="false"/>
          <w:i w:val="false"/>
          <w:caps w:val="false"/>
          <w:smallCaps w:val="false"/>
          <w:sz w:val="20"/>
        </w:rPr>
        <w:t>, respectively, to the Current Report on Form 8-K that we filed with the SEC on March 22, 2025, each of which is incorporated by reference herein.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Nasdaq Stockholder Approval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listed on The Nasdaq Capital Stock Market and trades under the ticker symbol “RYM”. Nasdaq Listing Rule 5635(d) requires stockholder approval of transactions other than public offerings of greater than the Minimum Price. Nasdaq Listing Rule 5635(b) requires stockholder approval for any issuance of securities that will result in a change of control, which Nasdaq generally defines as when one investor or group of investors owns, or has the right to acquire, 20% of more of a company’s outstanding Common Stock or voting power.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RSLGH currently holds 32.1% of our outstanding Common Stock. If this Item 1 is approved and RSLGH is issued the maximum number of shares of Common Stock issuable pursuant to the securities and agreements described above, assuming each security and agreement is amended in the future to remove any applicable beneficial ownership limitations, we expect that RSLGH would own approximately 90.1% of our outstanding Common Stock. Although we do not believe that this would constitute a change of control pursuant to Nasdaq Listing Rule 5635(b) because RSLGH already owns more than 20% of our outstanding Common Stock, we are seeking stockholder approval for the potential future issuances under Nasdaq Listing Rule 5635(b) out of an abundance of caution, given that Nasdaq retains discretion to determine whether one or more transactions constitutes a change of control based on facts and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and issuance prices applicable to the November 2024 Note, the May 2025 Notes, the August 2025 Notes, the Services Agreements and the pre-funded warrants issued thereunder were each set to equal or exceed the Minimum Price as of the respective dates when the definitive agreements relating to each security or agreement were executed. As such, we do not believe that any of those issuances, individually, would require stockholder approval under Nasdaq Listing Rule 5635(d). However, Nasdaq may under certain circumstances aggregate multiple issuances together and consider them as a single transaction for purposes of determining whether such issuances were made at or above the applicable Minimum Price. If Nasdaq were to aggregate some or all of the transactions described in this Item 1, the resulting conversion or issuance prices could fall below the Minimum Price that would be applicable to the aggregated transaction. Consequently, out of an abundance of caution, we are seeking stockholder approval for the potential future issuances under Nasdaq Listing Rule 5635(d).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Note and Warrant Issuances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disinterested members of our Board of Directors carefully considered the potential conversions or exercise of the securities described in this Item 1, including the issuance of the November 2024 Note, the May 2025 Notes and the August 2025 Notes, our entry into the Services Agreements, and the related issuance of pre-funded warrants, both individually and collectively. In approving those transactions, the Board of Directors considered a variety of factors, including potential alternative sources of capital and the likelihood of consummation of any alternative capital raise transactions. The Board of Directors concluded that there were no alternative financing opportunities that would provide the Company with the significant amount of required capital on a timely basis and on acceptable terms, if at all, in light of general market and liquidity conditions, and the market price and trading volume of the Company’s Common Stock, and as such the issuances were in the best interests of our Company and our stockholders. Moreover, the issuance of the November 2024 Note, the May 2025 Notes, and the August 2025 Notes has provided our Company with a significant amount of capital resources that have facilitated the expansion of our business, including the acquisitions of several high-profile brands from an affiliate of Green Thumb that have resulted in significant ongoing revenue streams. In approving the Services Agreements, the Board considered a variety of relevant factors, including the availability, quality and cost of alternative staffing arrangements, and based on that analysis, concluded that the Services Agreements were in the best interests of our Company and our stockholders. The Board believes that further strengthening our Company’s relationship with Green Thumb will be beneficial to our stockholders given Green Thumb’s industry leadership and support of our growth.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Consequences if Item 1 is Not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failure of our stockholders to approve this Item 1 will mean that RSLGH and the other noteholders may not be able to fully convert their notes and/or exercise their pre-funded warrants into shares of Common Stock. Our Board of Directors believes that if this Item 1 is not approved, we could be limited in our ability to raise capital in the future on similar terms and could be required to seek alternative staffing structures upon expiration of the Services Agreements, each of which could limit our ability to effectively manage and grow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Adverse Effects of Item 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Item 1 is approved and we issue shares of Common Stock as described above, no change would occur to the number of shares of Common Stock you own. However, as a result of those issuances, you will experience significant voting dilution with respect to your shares of Common Stock. Specifically, assuming the maximum number of shares of Common Stock issuable under the securities and agreements described above are issued, RSLGH would own approximately 81.6% of the total outstanding shares of our Common Stock on a fully-diluted basis, or 90.1% on a non-diluted basis. As a result, Green Thumb and its affiliates, through RSLGH, would have the ability to control matters requiring stockholder approval, including the election of directors, amendment of our articles of incorporation and approval of significant corporate transactions. In addition, our bylaws permit stockholders to act by written consent. Accordingly, this concentration of ownership may have the effect of delaying or preventing or influencing a change of control of our company or changes in management, and would allow Green Thumb and its affiliates, through RSLGH, to influence the outcome of transactions that other shareholders may not support, which transactions could include mergers, consolidations, and the sale of all or substantially all of the assets of our company. If Green Thumb and its affiliates gain more than 50% of our voting power, we would be deemed a “controlled company” by Nasdaq and would no longer be required to comply with certain independence requirements currently applicable to our Board of Directors and its committees.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sales of a substantial number of shares of our Common Stock in the public market by RSLGH or the other holders of the May 2025 Notes and the August 2025 Notes, or the perception that these sales might occur, could depress the market price of our Common Stock and could have a material adverse effect on the trading price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concentration of ownership in RSLGH would also not be expected to increase our public float. The trading volume of our Common Stock could be more limited than if our shares were more widely held. In addition, because we are a relatively small company, the range of investors willing to invest in our shares may be relatively limited. As a result of these factors, it may be more difficult for investors to sell your shares of Common Stock at a time and price that they deem appropriate, and could increase the volatility of our stock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above, Benjamin Kovler, our Chairman and Interim Chief Executive Officer, is the Chairman and Chief Executive Officer of Green Thumb, and Armon Vakili, a member of our Board of Directors, is an employee of Green Thumb. Therefore, Mr. Kovler and Mr. Vakili will each benefit from the approval of this Item 1, as it could result in Green Thumb and its affiliates, through RSLGH, having a majority of voting power and control over 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quorum is present, the affirmative vote of a majority of the votes cast on the matter will be required to approve the Issuance Proposal pursuant to this Item 1. Abstentions will have no effect on the outcome of the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Board of Directors unanimously recommends that you vote “FOR” the approval of the Issuance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03"/>
      <w:bookmarkEnd w:id="3"/>
      <w:r>
        <w:rPr>
          <w:rFonts w:ascii="Times New Roman PS Std;serif" w:hAnsi="Times New Roman PS Std;serif"/>
          <w:b/>
          <w:i w:val="false"/>
          <w:caps w:val="false"/>
          <w:smallCaps w:val="false"/>
          <w:sz w:val="20"/>
        </w:rPr>
        <w:t xml:space="preserve">STOCK OWNERSHIP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Beneficial Ownership of Certain Stockholders, 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as of June 26, 2026, about the beneficial ownership of our Company’s Common Stock by: (1) the persons known to us to be beneficial owners of more than 5% of our Company’s outstanding Common Stock; (2) our directors; (3) each Named Executive Officer (as defined under “Compensation of Named Executive Officers”); and (4) our directors and executive officers as a group. To the best of our knowledge, each such person has sole voting and investment power over the shares shown in this table, except as otherwise indicated. As of June 26, 2026, there were 52 record holders and 2,179,128 outstanding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June 26, 2026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June 26, 2026, are deemed outstanding for the purpose of computing the percentage ownership of the person holding those options or warrants but are not deemed outstanding for computing the percentage ownership of any other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below, to our knowledge, all persons named in the table have sole voting and investment power with respect to their shares of Common Stock, except to the extent spouses share authority under community property laws.</w:t>
      </w:r>
    </w:p>
    <w:tbl>
      <w:tblPr>
        <w:tblW w:w="8635" w:type="dxa"/>
        <w:jc w:val="left"/>
        <w:tblInd w:w="0" w:type="dxa"/>
        <w:tblLayout w:type="fixed"/>
        <w:tblCellMar>
          <w:top w:w="0" w:type="dxa"/>
          <w:left w:w="0" w:type="dxa"/>
          <w:bottom w:w="0" w:type="dxa"/>
          <w:right w:w="0" w:type="dxa"/>
        </w:tblCellMar>
      </w:tblPr>
      <w:tblGrid>
        <w:gridCol w:w="5836"/>
        <w:gridCol w:w="146"/>
        <w:gridCol w:w="1246"/>
        <w:gridCol w:w="146"/>
        <w:gridCol w:w="811"/>
        <w:gridCol w:w="450"/>
      </w:tblGrid>
      <w:tr>
        <w:trPr/>
        <w:tc>
          <w:tcPr>
            <w:tcW w:w="583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65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Beneficial Ownership</w:t>
            </w:r>
          </w:p>
        </w:tc>
      </w:tr>
      <w:tr>
        <w:trPr/>
        <w:tc>
          <w:tcPr>
            <w:tcW w:w="58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Total(1)</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Greater than 5% Holders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 Thumb Industries Inc.(2)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13,290,387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w:t>
            </w:r>
          </w:p>
        </w:tc>
        <w:tc>
          <w:tcPr>
            <w:tcW w:w="45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4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Kovler(4)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52,314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Asher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Holtzman</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Mahoney(5)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Shapiro(6)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Sanjay Tolia(7)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Armon Vakili(8)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Krishnan Varier(9)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(8 persons)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75,746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w:t>
            </w:r>
          </w:p>
        </w:tc>
        <w:tc>
          <w:tcPr>
            <w:tcW w:w="45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percentages shown with respect to any identified individual or group are calculated by dividing: (i) the sum of (a) the number of shares of Common Stock actually owned as of June 26, 2026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2,179,128 shares of Common Stock outstanding as of June 26, 2026, plus the amount referenced in clause (i)(b) for such individual or group.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This information is based in part upon an amended Schedule 13D filed jointly by RSLGH, LLC (“RSLGH”), Wellness Mgmt, LLC (“Wellness”), For Success Holdings Company (“For Success”), VCP23, LLC (“VCP”), GTI23, Inc. (“GTI23”), and Green Thumb. Consists of (i) 698,961 shares of Common Stock, (ii) 6,169,702 shares of Common Stock underlying warrants that are subject to a 49.99% beneficial ownership limitation and that are exercisable within 60 days of June 26, 2026, (iii) 185,500 shares of Common Stock underlying warrants that are subject to a 4.99% beneficial ownership limitation and that are exercisable within 60 days of June 26, 2026, and (iv) 6,236,224 shares of Common Stock underlying warrants that are subject to a 49.99% beneficial ownership limitation and that are exercisable within 60 days of June 26, 2026. Wellness is the sole member of RSLGH, For Success is the sole member of Wellness, VCP is the sole shareholder of For Success, GTI23 is the sole member of VCP23, and Green Thumb is the sole shareholder of GTI23. The address of Green Thumb is 325 West Huron Street, Suite 700, Chicago, IL 60654.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address of each of the directors and executive officers listed above is c/o RYTHM, Inc., 2220 Hicks Road, Suite 210, Rolling Meadows, Illinois 60008.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(i) 51,474 shares held by Mr. Kovler and (ii) 840 shares held by Mr. Kovler’s daughters.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31 stock options that may be exercised within 60 days of June 26,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6,300 shares held by Mr. Shapiro.</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6,250 shares held by Mr. Tolia.</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5,850 shares held by Mr. Vakili.</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(i) 32 stock options that may be exercised within 60 days of June 26, 2026 and (ii) 5,000 shares held by Mr. Varier.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aware of any changes in control of our Company that have occurred since January 1, 2025. However, if Item 1 in this proxy statement is approved, it could result in Green Thumb, indirectly through RSLGH, gaining a majority of our outstanding voting power. The aggregate gross proceeds received from RSLGH in connection with the November 2024 Note, May 2025 Note and August 2025 Note issued to RSLGH were $82.0 million, the source of which was the working capital of Green Thumb. As of May 31, 2026, VMS had provided a total of $16.2 million in services and related expenses under the Services Agreements. See “Background” under Item 1 above for additional detail regarding the terms of the November 2024 Note, the May 2025 Note, the August 2025 Note, and the Services Agreements.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04"/>
      <w:bookmarkEnd w:id="4"/>
      <w:r>
        <w:rPr>
          <w:rFonts w:ascii="Times New Roman PS Std;serif" w:hAnsi="Times New Roman PS Std;serif"/>
          <w:b/>
          <w:i w:val="false"/>
          <w:caps w:val="false"/>
          <w:smallCaps w:val="false"/>
          <w:sz w:val="20"/>
        </w:rPr>
        <w:t xml:space="preserve">EXPENSES OF SOLICITATION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the entire expense of soliciting proxies for the Special Meeting. In addition to this solicitation by mail, certain of our directors, officers and employees (who will receive no compensation for their services other than their regular compensation) may solicit proxies by telephone, telegram, personal interview, facsimile, e-mail or other means of electronic communication. In addition, banks, brokerage houses, custodians, nominees and other fiduciaries have been requested to forward proxy materials to the beneficial owners of shares of Common Stock held of record by them as of the record date, and such custodians will be reimbursed for their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05"/>
      <w:bookmarkEnd w:id="5"/>
      <w:r>
        <w:rPr>
          <w:rFonts w:ascii="Times New Roman PS Std;serif" w:hAnsi="Times New Roman PS Std;serif"/>
          <w:b/>
          <w:i w:val="false"/>
          <w:caps w:val="false"/>
          <w:smallCaps w:val="false"/>
          <w:sz w:val="20"/>
        </w:rPr>
        <w:t xml:space="preserve">OTHER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our bylaws, only those matters described in this Proxy Statement will be presented for action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06"/>
      <w:bookmarkEnd w:id="6"/>
      <w:r>
        <w:rPr>
          <w:rFonts w:ascii="Times New Roman PS Std;serif" w:hAnsi="Times New Roman PS Std;serif"/>
          <w:b/>
          <w:i w:val="false"/>
          <w:caps w:val="false"/>
          <w:smallCaps w:val="false"/>
          <w:sz w:val="20"/>
        </w:rPr>
        <w:t xml:space="preserve">ADVANCE NOTICE PROCEDURES AND STOCKHOLDER PROPOSALS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Advance Notice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business other than director nominations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120 days prior to the first anniversary of the date that the Company’s proxy statement released to shareholders in connection with the previous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 (x) a brief description of the business desired to be brought before the meeting, the reasons for conducting such business at the meeting and any material interest in such business of such stockholder on whose behalf the proposal is made; (y) as to the stockholder giving the notice (A) the name and address of such stockholder and (B)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for stockholders to give timely notice of nominations for directors for inclusion on a universal proxy card in connection with the 2027 Annual Meeting, notice must be submitted by no later than 60 calendar days prior to the anniversary of the previous year’s annual meeting date, except that, if the date of the meeting has changed by more than 30 calendar days from the previous year, then notice must be provided by the later of 60 calendar days prior to the date of the annual meeting or the 10th calendar day following the day on which public announcement of the date of the annual meeting is first made by the Company, and the notice must include the information in the notice required by our Third Amended and Restated Bylaws and by Rule 14a-19(b)(2) under the Securities Exchange Act of 1934, as amended.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Proposals For 2027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considered for presentation at our 2027 Annual Meeting of Stockholders, inclusion in the proxy statement and on the proxy card, a stockholder proposal must be received at our offices no later than a reasonable time before we begin to print and send proxy materials for such meeting. For stockholder proposals or other business matters that may be raised at the 2027 Annual Meeting of Stockholders, but not included in the proxy statement or on the proxy card that are submitted outside the proposal process identified in the preceding sentence, if we do not receive notice of any such matter that a stockholder wishes to raise at the 2027 Annual Meeting of Stockholders during the period described under “Advance Notice Procedures” above, then no business matters, other than those included in the notice of Annual Meeting for the 2027 Annual Meeting of Stockholders, may properly come before the 2027 Annual Meeting of Stockholders. All proposals and notifications for the 2027 Annual Meeting of Stockholders should be addressed in writing to the attention of the Corporate Secretary, RYTHM, Inc., 2220 Hicks Road, Suite 210, Rolling Meadows, Illinois 60008 and should satisfy the particular requirements of our Third Amended and Restated Bylaws.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07"/>
      <w:bookmarkEnd w:id="7"/>
      <w:r>
        <w:rPr>
          <w:rFonts w:ascii="Times New Roman PS Std;serif" w:hAnsi="Times New Roman PS Std;serif"/>
          <w:b/>
          <w:i w:val="false"/>
          <w:caps w:val="false"/>
          <w:smallCaps w:val="false"/>
          <w:sz w:val="20"/>
        </w:rPr>
        <w:t xml:space="preserve">ADDITIONAL INFORMATION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Report on Form 10-K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2025 Annual Report on Form 10-K, as amended, accompanies this proxy statement (the “Form 10-K”). The Form 10-K for the year ended December 31, 2025 was filed with the SEC on March 3, 2026. </w:t>
      </w:r>
      <w:r>
        <w:rPr>
          <w:rFonts w:ascii="Times New Roman PS Std;serif" w:hAnsi="Times New Roman PS Std;serif"/>
          <w:b/>
          <w:i w:val="false"/>
          <w:caps w:val="false"/>
          <w:smallCaps w:val="false"/>
          <w:sz w:val="20"/>
        </w:rPr>
        <w:t>We will furnish, upon written request of any stockholder and the payment of an appropriate processing fee, copies of the exhibits to our Annual Report on Form 10-K. Please address all such requests to RYTHM, Inc., 2220 Hicks Road, Suite 210, Rolling Meadows, Illinois 60008, Attention: Corporate Secretary.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Householding of Special Meeting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banks, brokers and other nominee record holders may be participating in the practice of “householding” proxy statements and annual reports. This means that only one copy of such materials may have been sent to multiple stockholders in your household. We will promptly deliver a separate copy of any such document to you if you write or call us at the following address or telephone number: RYTHM, Inc., 2220 Hicks Road, Suite 210, Rolling Meadows, IL 60008, (855) 420-0020, or you can request a copy of any such document by visiting the Special Meeting page of our Internet website at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If you want to receive separate copies of the annual report or proxy statement in the future, or if you are receiving multiple copies and would like to receive only one copy for your household, you should contact your bank, broker or other nominee record holder, or you may contact us at the above address and telephone number.</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IMPORTANT</w:t>
        <w:br/>
        <w:t>PLEASE SIGN, DATE AND RETURN YOUR PROXY CARD</w:t>
        <w:br/>
        <w:t>OR VOTE BY TELEPHONE OR VOTE THROUGH</w:t>
        <w:br/>
        <w:t>THE INTERNET AS SOON AS POSSIBLE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8572500" cy="82842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8"/>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 xml:space="preserve">RYTHM, INC. C/O BROADRIDGE CORPORATE ISSUER SOLUTIONS P.O. BOX 1342 BRENTWOOD, NY 11717 SCAN TO VIEW MATERIALS &amp; VOTE VOTE BY INTERNET Before The Meeting - Go to www.proxyvote.com or scan the QR Barcode above Use the Internet to transmit your voting instructions and for electronic delivery of information up until 10:59 PM CT on August 9, 2026. Have your proxy card in hand when you access the web site and follow the instructions to obtain your records and to create an electronic voting instruction form. During The Meeting - Go to www.virtualshareholdermeeting.com/RYM2026SM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10:59 PM CT on August 9,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KEEP THIS PORTION FOR YOUR RECORDS THIS PROXY CARD IS VALID ONLY WHEN SIGNED AND DATED. DETACH AND RETURN THIS PORTION ONLY T01935-TBD RYTHM, INC For Against Abstain The Board of Directors recommends you vote FOR proposal 1. 1. To approve the issuance of shares of Common Stock to the holders of certain convertible promissory notes and warrants and pursuant to shared services agreements in accordance with Nasdaq Listing Rule 5635.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8572500" cy="82842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9"/>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 xml:space="preserve">Important Notice Regarding the Availability of Proxy Materials for the Special Meeting: The Notice and Proxy Statement is available at www.proxyvote.com. T01936-TBD RYTHM, Inc. Virtual Special Meeting of Stockholders August 10, 2026 10:00 AM CT This proxy is solicited by the Board of Directors The stockholder(s) hereby appoint(s) Benjamin Kovler and Brad Asher, or either of them, as proxies, each with the power to appoint his substitute, and hereby authorize(s) them to represent and to vote, as designated on the reverse side of this ballot, all of the shares of Common Stock of RYTHM, Inc. that the stockholder(s) is/are entitled to vote at the Special Meeting of Stockholders to be held at 10:00 AM CT on August 10, 2026, at www.virtualshareholdermeeting.com/RYM2026SM,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hyperlink" Target="http://www.sec.gov/Archives/edgar/data/1800637/000121390024094613/ea022010001ex4-1_agrify.htm" TargetMode="External"/><Relationship Id="rId6" Type="http://schemas.openxmlformats.org/officeDocument/2006/relationships/hyperlink" Target="http://www.sec.gov/Archives/edgar/data/1800637/000121390025041201/ea023943501ex4-1_agrify.htm" TargetMode="External"/><Relationship Id="rId7" Type="http://schemas.openxmlformats.org/officeDocument/2006/relationships/hyperlink" Target="http://www.sec.gov/Archives/edgar/data/1800637/000121390025046875/ea024318601ex4-1_agrify.htm" TargetMode="External"/><Relationship Id="rId8" Type="http://schemas.openxmlformats.org/officeDocument/2006/relationships/hyperlink" Target="http://www.sec.gov/Archives/edgar/data/1800637/000121390025046875/ea024318601ex4-3_agrify.htm" TargetMode="External"/><Relationship Id="rId9" Type="http://schemas.openxmlformats.org/officeDocument/2006/relationships/hyperlink" Target="http://www.sec.gov/Archives/edgar/data/1800637/000121390025081148/ea025469501ex4-3_agrify.htm" TargetMode="External"/><Relationship Id="rId10" Type="http://schemas.openxmlformats.org/officeDocument/2006/relationships/hyperlink" Target="http://www.sec.gov/Archives/edgar/data/1800637/000121390025046875/ea024318601ex4-1_agrify.htm" TargetMode="External"/><Relationship Id="rId11" Type="http://schemas.openxmlformats.org/officeDocument/2006/relationships/hyperlink" Target="http://www.sec.gov/Archives/edgar/data/1800637/000121390025046875/ea024318601ex4-2_agrify.htm" TargetMode="External"/><Relationship Id="rId12" Type="http://schemas.openxmlformats.org/officeDocument/2006/relationships/hyperlink" Target="http://www.sec.gov/Archives/edgar/data/1800637/000121390025081148/ea025469501ex4-4_agrify.htm" TargetMode="External"/><Relationship Id="rId13" Type="http://schemas.openxmlformats.org/officeDocument/2006/relationships/hyperlink" Target="http://www.sec.gov/Archives/edgar/data/1800637/000121390025081148/ea025469501ex4-1_agrify.htm" TargetMode="External"/><Relationship Id="rId14" Type="http://schemas.openxmlformats.org/officeDocument/2006/relationships/hyperlink" Target="http://www.sec.gov/Archives/edgar/data/1800637/000121390025081148/ea025469501ex4-2_agrify.htm" TargetMode="External"/><Relationship Id="rId15" Type="http://schemas.openxmlformats.org/officeDocument/2006/relationships/hyperlink" Target="http://www.sec.gov/Archives/edgar/data/1800637/000121390025025727/ea023505501ex10-1_agrify.htm" TargetMode="External"/><Relationship Id="rId16" Type="http://schemas.openxmlformats.org/officeDocument/2006/relationships/hyperlink" Target="http://www.sec.gov/Archives/edgar/data/1800637/000121390025046875/ea024318601ex10-5_agrify.htm" TargetMode="External"/><Relationship Id="rId17" Type="http://schemas.openxmlformats.org/officeDocument/2006/relationships/hyperlink" Target="http://www.sec.gov/Archives/edgar/data/1800637/000121390025046875/ea024318601ex4-1_agrify.htm" TargetMode="External"/><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9788</Words>
  <Characters>50293</Characters>
  <CharactersWithSpaces>60158</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