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1" w:lineRule="exact"/>
        <w:rPr>
          <w:sz w:val="24"/>
          <w:szCs w:val="24"/>
          <w:color w:val="auto"/>
        </w:rPr>
      </w:pPr>
    </w:p>
    <w:p>
      <w:pPr>
        <w:jc w:val="center"/>
        <w:ind w:left="3880" w:right="920" w:hanging="2955"/>
        <w:spacing w:after="0" w:line="391" w:lineRule="auto"/>
        <w:tabs>
          <w:tab w:leader="none" w:pos="11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jc w:val="center"/>
        <w:ind w:left="3500" w:right="920" w:hanging="2579"/>
        <w:spacing w:after="0" w:line="391" w:lineRule="auto"/>
        <w:tabs>
          <w:tab w:leader="none" w:pos="11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001-39946</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Nevada</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30-0943453</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 Treble Cove 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Billerica, MA 01862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896-5243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phone number, including area code)</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45"/>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07"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4"/>
          <w:szCs w:val="24"/>
          <w:color w:val="auto"/>
        </w:rPr>
      </w:pPr>
    </w:p>
    <w:p>
      <w:pPr>
        <w:ind w:left="1014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5" w:lineRule="exact"/>
        <w:rPr>
          <w:sz w:val="24"/>
          <w:szCs w:val="24"/>
          <w:color w:val="auto"/>
        </w:rPr>
      </w:pPr>
    </w:p>
    <w:p>
      <w:pPr>
        <w:ind w:right="120"/>
        <w:spacing w:after="0" w:line="33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14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5"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9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Class</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as of August 10, 2021</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250"/>
              <w:spacing w:after="0"/>
              <w:rPr>
                <w:sz w:val="20"/>
                <w:szCs w:val="20"/>
                <w:color w:val="auto"/>
              </w:rPr>
            </w:pPr>
            <w:r>
              <w:rPr>
                <w:rFonts w:ascii="Arial" w:cs="Arial" w:eastAsia="Arial" w:hAnsi="Arial"/>
                <w:sz w:val="18"/>
                <w:szCs w:val="18"/>
                <w:color w:val="auto"/>
              </w:rPr>
              <w:t>20,558,433</w:t>
            </w:r>
          </w:p>
        </w:tc>
      </w:tr>
      <w:tr>
        <w:trPr>
          <w:trHeight w:val="203"/>
        </w:trPr>
        <w:tc>
          <w:tcPr>
            <w:tcW w:w="5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tcPr>
          <w:p>
            <w:pPr>
              <w:spacing w:after="0"/>
              <w:rPr>
                <w:sz w:val="17"/>
                <w:szCs w:val="17"/>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641"/>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99"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140" w:type="dxa"/>
            <w:vAlign w:val="bottom"/>
            <w:gridSpan w:val="9"/>
          </w:tcPr>
          <w:p>
            <w:pPr>
              <w:ind w:left="56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5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196"/>
        </w:trPr>
        <w:tc>
          <w:tcPr>
            <w:tcW w:w="840" w:type="dxa"/>
            <w:vAlign w:val="bottom"/>
            <w:gridSpan w:val="6"/>
            <w:shd w:val="clear" w:color="auto" w:fill="CCEEFF"/>
          </w:tcPr>
          <w:p>
            <w:pPr>
              <w:spacing w:after="0" w:line="142" w:lineRule="exact"/>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w:t>
              </w:r>
            </w:hyperlink>
          </w:p>
        </w:tc>
        <w:tc>
          <w:tcPr>
            <w:tcW w:w="9400" w:type="dxa"/>
            <w:vAlign w:val="bottom"/>
            <w:gridSpan w:val="24"/>
            <w:shd w:val="clear" w:color="auto" w:fill="CCEEFF"/>
          </w:tcPr>
          <w:p>
            <w:pPr>
              <w:ind w:left="80"/>
              <w:spacing w:after="0" w:line="142" w:lineRule="exact"/>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2021 (unaudited) and December 31, 2020</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for the three and six months ended June 30, 2021(unaudited) and 2020</w:t>
              </w:r>
            </w:hyperlink>
          </w:p>
        </w:tc>
        <w:tc>
          <w:tcPr>
            <w:tcW w:w="1000" w:type="dxa"/>
            <w:vAlign w:val="bottom"/>
            <w:shd w:val="clear" w:color="auto" w:fill="CCEEFF"/>
          </w:tcPr>
          <w:p>
            <w:pPr>
              <w:spacing w:after="0"/>
              <w:rPr>
                <w:sz w:val="15"/>
                <w:szCs w:val="15"/>
                <w:color w:val="auto"/>
              </w:rPr>
            </w:pPr>
          </w:p>
        </w:tc>
      </w:tr>
      <w:tr>
        <w:trPr>
          <w:trHeight w:val="217"/>
        </w:trPr>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780" w:type="dxa"/>
            <w:vAlign w:val="bottom"/>
            <w:tcBorders>
              <w:top w:val="single" w:sz="8" w:color="0000EE"/>
            </w:tcBorders>
            <w:gridSpan w:val="20"/>
            <w:shd w:val="clear" w:color="auto" w:fill="CCEEFF"/>
          </w:tcPr>
          <w:p>
            <w:pPr>
              <w:ind w:left="16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540" w:type="dxa"/>
            <w:vAlign w:val="bottom"/>
            <w:tcBorders>
              <w:top w:val="single" w:sz="8" w:color="CCEEFF"/>
            </w:tcBorders>
            <w:gridSpan w:val="3"/>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2</w:t>
            </w:r>
          </w:p>
        </w:tc>
      </w:tr>
      <w:tr>
        <w:trPr>
          <w:trHeight w:val="216"/>
        </w:trPr>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Stockholders’ Equity (Deficit) for the three and six months ended June 30, 2021</w:t>
              </w:r>
            </w:hyperlink>
          </w:p>
        </w:tc>
        <w:tc>
          <w:tcPr>
            <w:tcW w:w="1000" w:type="dxa"/>
            <w:vAlign w:val="bottom"/>
            <w:shd w:val="clear" w:color="auto" w:fill="CCEEFF"/>
          </w:tcPr>
          <w:p>
            <w:pPr>
              <w:spacing w:after="0"/>
              <w:rPr>
                <w:sz w:val="15"/>
                <w:szCs w:val="15"/>
                <w:color w:val="auto"/>
              </w:rPr>
            </w:pPr>
          </w:p>
        </w:tc>
      </w:tr>
      <w:tr>
        <w:trPr>
          <w:trHeight w:val="217"/>
        </w:trPr>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40" w:type="dxa"/>
            <w:vAlign w:val="bottom"/>
            <w:tcBorders>
              <w:top w:val="single" w:sz="8" w:color="0000EE"/>
            </w:tcBorders>
            <w:gridSpan w:val="19"/>
            <w:shd w:val="clear" w:color="auto" w:fill="CCEEFF"/>
          </w:tcPr>
          <w:p>
            <w:pPr>
              <w:ind w:left="16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and 2020 (unaudited)</w:t>
              </w:r>
            </w:hyperlink>
          </w:p>
        </w:tc>
        <w:tc>
          <w:tcPr>
            <w:tcW w:w="680" w:type="dxa"/>
            <w:vAlign w:val="bottom"/>
            <w:tcBorders>
              <w:top w:val="single" w:sz="8" w:color="CCEEFF"/>
            </w:tcBorders>
            <w:gridSpan w:val="4"/>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16"/>
        </w:trPr>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Cash Flows for the six months ended June 30, 2021(unaudited) and 2020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9400" w:type="dxa"/>
            <w:vAlign w:val="bottom"/>
            <w:gridSpan w:val="24"/>
            <w:shd w:val="clear" w:color="auto" w:fill="CCEEFF"/>
          </w:tcPr>
          <w:p>
            <w:pPr>
              <w:ind w:left="80"/>
              <w:spacing w:after="0" w:line="17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1.</w:t>
              </w:r>
            </w:hyperlink>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5.</w:t>
              </w:r>
            </w:hyperlink>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940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30"/>
            <w:shd w:val="clear" w:color="auto" w:fill="CCEEFF"/>
          </w:tcPr>
          <w:p>
            <w:pPr>
              <w:spacing w:after="0" w:line="17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SIGNATURES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AGRIFY CORPORATION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35,930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$55 and $54, as of June 30, 2021 and December 31,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15,135</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9,358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IPO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3,074</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marketable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14,360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Loan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886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acquired through business combination,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Capitalized website costs, net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163,460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21,839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18,824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w w:val="97"/>
              </w:rPr>
              <w:t>Notes payable, net of debt discount of $0 and $4,777 as of June 30, 2021 and December 31, 2020, respectively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liabilities—long term</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21,632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28,293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50,000,000 shares, $0.001 par value authorized as of June 30, 2021 and December 31, 2020,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respectively; 20,373,699 and 4,211,677 shares issued at June 30, 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7"/>
              </w:rPr>
              <w:t>Preferred stock 2,895,000 shares, $0.001 par value authorized as of June 30, 2021 and December 31, 2020,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respectively; 0 shares issued as of June 30, 2021 and December 31, 2020</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Preferred A stock 105,000 shares, $0.001 par value authorized as of June 30, 2021 and December 31, 2020,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 0 and 100,000 shares issued at June 30, 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177,373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(35,956)</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(26,510)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141,436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(6,679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163,460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21,839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number of shares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21"/>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11,298</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2,890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18,846</w:t>
            </w: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(loss) profit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1,018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774</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1,656</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5,181</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2,713</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10,255</w:t>
            </w:r>
          </w:p>
        </w:tc>
        <w:tc>
          <w:tcPr>
            <w:tcW w:w="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5,955</w:t>
            </w:r>
          </w:p>
        </w:tc>
        <w:tc>
          <w:tcPr>
            <w:tcW w:w="2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3,456</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11,911</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6,946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(5,428)</w:t>
            </w:r>
          </w:p>
        </w:tc>
        <w:tc>
          <w:tcPr>
            <w:tcW w:w="28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(2,438)</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(11,924)</w:t>
            </w:r>
          </w:p>
        </w:tc>
        <w:tc>
          <w:tcPr>
            <w:tcW w:w="3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Gain on extinguishment of notes payable</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2,685</w:t>
            </w:r>
          </w:p>
        </w:tc>
        <w:tc>
          <w:tcPr>
            <w:tcW w:w="30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line="203" w:lineRule="exact"/>
              <w:rPr>
                <w:sz w:val="20"/>
                <w:szCs w:val="20"/>
                <w:color w:val="auto"/>
              </w:rPr>
            </w:pPr>
            <w:r>
              <w:rPr>
                <w:rFonts w:ascii="Arial" w:cs="Arial" w:eastAsia="Arial" w:hAnsi="Arial"/>
                <w:sz w:val="18"/>
                <w:szCs w:val="18"/>
                <w:color w:val="auto"/>
              </w:rPr>
              <w:t>Net loss before non-controlling interest</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(5,436)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(2,479)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(9,279)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(5,923)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attributable to non-controlling interest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8"/>
        </w:trPr>
        <w:tc>
          <w:tcPr>
            <w:tcW w:w="598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Net loss attributable to Agrify Corporation.</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Net loss per share attributable to common stockholders – basic and diluted</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gridSpan w:val="2"/>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20,344,278</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4,211,677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16,661,948</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4,139,691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13"/>
          </w:tcPr>
          <w:p>
            <w:pPr>
              <w:ind w:left="220"/>
              <w:spacing w:after="0"/>
              <w:rPr>
                <w:sz w:val="20"/>
                <w:szCs w:val="20"/>
                <w:color w:val="auto"/>
              </w:rPr>
            </w:pPr>
            <w:r>
              <w:rPr>
                <w:rFonts w:ascii="Arial" w:cs="Arial" w:eastAsia="Arial" w:hAnsi="Arial"/>
                <w:sz w:val="14"/>
                <w:szCs w:val="14"/>
                <w:b w:val="1"/>
                <w:bCs w:val="1"/>
                <w:color w:val="auto"/>
                <w:w w:val="95"/>
              </w:rPr>
              <w:t>Three and Six months ended June 30, 2020</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rPr>
              <w:t>Preferred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Subscription</w:t>
            </w:r>
          </w:p>
        </w:tc>
        <w:tc>
          <w:tcPr>
            <w:tcW w:w="60" w:type="dxa"/>
            <w:vAlign w:val="bottom"/>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96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7"/>
              </w:rPr>
              <w:t>attributable</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A Stock</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to</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controlling</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Shares</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Receivable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Agrify</w:t>
            </w: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8"/>
        </w:trPr>
        <w:tc>
          <w:tcPr>
            <w:tcW w:w="304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January 1, 2020</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3,616,125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5"/>
                <w:szCs w:val="5"/>
                <w:color w:val="auto"/>
                <w:w w:val="70"/>
              </w:rPr>
              <w:t>$</w:t>
            </w:r>
          </w:p>
        </w:tc>
        <w:tc>
          <w:tcPr>
            <w:tcW w:w="1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4,124</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(4,893)</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Stock based compensation</w:t>
            </w:r>
          </w:p>
        </w:tc>
        <w:tc>
          <w:tcPr>
            <w:tcW w:w="7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3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subscription</w:t>
            </w:r>
          </w:p>
        </w:tc>
        <w:tc>
          <w:tcPr>
            <w:tcW w:w="78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Issuance of Preferred A Stock</w:t>
            </w:r>
          </w:p>
        </w:tc>
        <w:tc>
          <w:tcPr>
            <w:tcW w:w="7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60,000</w:t>
            </w:r>
          </w:p>
        </w:tc>
        <w:tc>
          <w:tcPr>
            <w:tcW w:w="340" w:type="dxa"/>
            <w:vAlign w:val="bottom"/>
          </w:tcPr>
          <w:p>
            <w:pPr>
              <w:spacing w:after="0"/>
              <w:rPr>
                <w:sz w:val="12"/>
                <w:szCs w:val="12"/>
                <w:color w:val="auto"/>
              </w:rPr>
            </w:pPr>
          </w:p>
        </w:tc>
        <w:tc>
          <w:tcPr>
            <w:tcW w:w="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6,000</w:t>
            </w:r>
          </w:p>
        </w:tc>
        <w:tc>
          <w:tcPr>
            <w:tcW w:w="3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6,000</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 in Agrify Valiant</w:t>
            </w:r>
          </w:p>
        </w:tc>
        <w:tc>
          <w:tcPr>
            <w:tcW w:w="78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Acquisition of TriGrow Systems</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595,552</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1,356</w:t>
            </w:r>
          </w:p>
        </w:tc>
        <w:tc>
          <w:tcPr>
            <w:tcW w:w="3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1,356</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207</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162"/>
        </w:trPr>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gridSpan w:val="2"/>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gridSpan w:val="2"/>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(3,413)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(3,413)</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(3,444)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Balance March 31, 2020</w:t>
            </w: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vMerge w:val="restart"/>
          </w:tcPr>
          <w:p>
            <w:pPr>
              <w:jc w:val="right"/>
              <w:ind w:right="39"/>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gridSpan w:val="2"/>
            <w:vMerge w:val="continue"/>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4,211,677</w:t>
            </w:r>
          </w:p>
        </w:tc>
        <w:tc>
          <w:tcPr>
            <w:tcW w:w="120" w:type="dxa"/>
            <w:vAlign w:val="bottom"/>
          </w:tcPr>
          <w:p>
            <w:pPr>
              <w:spacing w:after="0"/>
              <w:rPr>
                <w:sz w:val="18"/>
                <w:szCs w:val="18"/>
                <w:color w:val="auto"/>
              </w:rPr>
            </w:pPr>
          </w:p>
        </w:tc>
        <w:tc>
          <w:tcPr>
            <w:tcW w:w="400" w:type="dxa"/>
            <w:vAlign w:val="bottom"/>
          </w:tcPr>
          <w:p>
            <w:pPr>
              <w:jc w:val="right"/>
              <w:ind w:right="313"/>
              <w:spacing w:after="0"/>
              <w:rPr>
                <w:sz w:val="20"/>
                <w:szCs w:val="20"/>
                <w:color w:val="auto"/>
              </w:rPr>
            </w:pPr>
            <w:r>
              <w:rPr>
                <w:rFonts w:ascii="Arial" w:cs="Arial" w:eastAsia="Arial" w:hAnsi="Arial"/>
                <w:sz w:val="5"/>
                <w:szCs w:val="5"/>
                <w:color w:val="auto"/>
                <w:w w:val="70"/>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60,000</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11,541</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(8,306</w:t>
            </w:r>
          </w:p>
        </w:tc>
        <w:tc>
          <w:tcPr>
            <w:tcW w:w="120" w:type="dxa"/>
            <w:vAlign w:val="bottom"/>
            <w:gridSpan w:val="2"/>
            <w:vMerge w:val="continue"/>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3,239</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216</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3,455</w:t>
            </w:r>
          </w:p>
        </w:tc>
        <w:tc>
          <w:tcPr>
            <w:tcW w:w="0" w:type="dxa"/>
            <w:vAlign w:val="bottom"/>
          </w:tcPr>
          <w:p>
            <w:pPr>
              <w:spacing w:after="0"/>
              <w:rPr>
                <w:sz w:val="1"/>
                <w:szCs w:val="1"/>
                <w:color w:val="auto"/>
              </w:rPr>
            </w:pPr>
          </w:p>
        </w:tc>
      </w:tr>
      <w:tr>
        <w:trPr>
          <w:trHeight w:val="148"/>
        </w:trPr>
        <w:tc>
          <w:tcPr>
            <w:tcW w:w="304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542</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542</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Issuance of Preferred A Stock</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40,000</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4,000</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62"/>
        </w:trPr>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(2,444)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(2,444)</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Balance, June 30, 2020</w:t>
            </w: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vMerge w:val="restart"/>
          </w:tcPr>
          <w:p>
            <w:pPr>
              <w:jc w:val="right"/>
              <w:ind w:right="39"/>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040" w:type="dxa"/>
            <w:vAlign w:val="bottom"/>
            <w:gridSpan w:val="2"/>
            <w:vMerge w:val="continue"/>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4,211,677</w:t>
            </w:r>
          </w:p>
        </w:tc>
        <w:tc>
          <w:tcPr>
            <w:tcW w:w="120" w:type="dxa"/>
            <w:vAlign w:val="bottom"/>
          </w:tcPr>
          <w:p>
            <w:pPr>
              <w:spacing w:after="0"/>
              <w:rPr>
                <w:sz w:val="14"/>
                <w:szCs w:val="14"/>
                <w:color w:val="auto"/>
              </w:rPr>
            </w:pPr>
          </w:p>
        </w:tc>
        <w:tc>
          <w:tcPr>
            <w:tcW w:w="400" w:type="dxa"/>
            <w:vAlign w:val="bottom"/>
          </w:tcPr>
          <w:p>
            <w:pPr>
              <w:jc w:val="right"/>
              <w:ind w:right="313"/>
              <w:spacing w:after="0"/>
              <w:rPr>
                <w:sz w:val="20"/>
                <w:szCs w:val="20"/>
                <w:color w:val="auto"/>
              </w:rPr>
            </w:pPr>
            <w:r>
              <w:rPr>
                <w:rFonts w:ascii="Arial" w:cs="Arial" w:eastAsia="Arial" w:hAnsi="Arial"/>
                <w:sz w:val="5"/>
                <w:szCs w:val="5"/>
                <w:color w:val="auto"/>
                <w:w w:val="70"/>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100,000</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16,083</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(10,750</w:t>
            </w:r>
          </w:p>
        </w:tc>
        <w:tc>
          <w:tcPr>
            <w:tcW w:w="120" w:type="dxa"/>
            <w:vAlign w:val="bottom"/>
            <w:gridSpan w:val="2"/>
            <w:vMerge w:val="continue"/>
          </w:tcPr>
          <w:p>
            <w:pPr>
              <w:spacing w:after="0"/>
              <w:rPr>
                <w:sz w:val="14"/>
                <w:szCs w:val="14"/>
                <w:color w:val="auto"/>
              </w:rPr>
            </w:pP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5,337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181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5,518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0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3"/>
          </w:tcPr>
          <w:p>
            <w:pPr>
              <w:ind w:left="200"/>
              <w:spacing w:after="0"/>
              <w:rPr>
                <w:sz w:val="20"/>
                <w:szCs w:val="20"/>
                <w:color w:val="auto"/>
              </w:rPr>
            </w:pPr>
            <w:r>
              <w:rPr>
                <w:rFonts w:ascii="Arial" w:cs="Arial" w:eastAsia="Arial" w:hAnsi="Arial"/>
                <w:sz w:val="14"/>
                <w:szCs w:val="14"/>
                <w:b w:val="1"/>
                <w:bCs w:val="1"/>
                <w:color w:val="auto"/>
                <w:w w:val="96"/>
              </w:rPr>
              <w:t>Three and Six months ended June 30, 2021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28"/>
              <w:spacing w:after="0" w:line="158" w:lineRule="exact"/>
              <w:rPr>
                <w:sz w:val="20"/>
                <w:szCs w:val="20"/>
                <w:color w:val="auto"/>
              </w:rPr>
            </w:pPr>
            <w:r>
              <w:rPr>
                <w:rFonts w:ascii="Arial" w:cs="Arial" w:eastAsia="Arial" w:hAnsi="Arial"/>
                <w:sz w:val="14"/>
                <w:szCs w:val="14"/>
                <w:b w:val="1"/>
                <w:bCs w:val="1"/>
                <w:color w:val="auto"/>
              </w:rPr>
              <w:t>Preferred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Additional</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1"/>
              </w:rPr>
              <w:t>Subscription</w:t>
            </w:r>
          </w:p>
        </w:tc>
        <w:tc>
          <w:tcPr>
            <w:tcW w:w="60" w:type="dxa"/>
            <w:vAlign w:val="bottom"/>
          </w:tcPr>
          <w:p>
            <w:pPr>
              <w:spacing w:after="0"/>
              <w:rPr>
                <w:sz w:val="13"/>
                <w:szCs w:val="13"/>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3"/>
                <w:szCs w:val="13"/>
                <w:color w:val="auto"/>
              </w:rPr>
            </w:pPr>
          </w:p>
        </w:tc>
        <w:tc>
          <w:tcPr>
            <w:tcW w:w="9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7"/>
              </w:rPr>
              <w:t>attributable</w:t>
            </w:r>
          </w:p>
        </w:tc>
        <w:tc>
          <w:tcPr>
            <w:tcW w:w="80" w:type="dxa"/>
            <w:vAlign w:val="bottom"/>
          </w:tcPr>
          <w:p>
            <w:pPr>
              <w:spacing w:after="0"/>
              <w:rPr>
                <w:sz w:val="13"/>
                <w:szCs w:val="13"/>
                <w:color w:val="auto"/>
              </w:rPr>
            </w:pPr>
          </w:p>
        </w:tc>
        <w:tc>
          <w:tcPr>
            <w:tcW w:w="7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A Stock</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Paid-In</w:t>
            </w:r>
          </w:p>
        </w:tc>
        <w:tc>
          <w:tcPr>
            <w:tcW w:w="8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to</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controlling</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Shares</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Capital</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Receivable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Agrify</w:t>
            </w: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8"/>
        </w:trPr>
        <w:tc>
          <w:tcPr>
            <w:tcW w:w="30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January 1, 2021</w:t>
            </w:r>
          </w:p>
        </w:tc>
        <w:tc>
          <w:tcPr>
            <w:tcW w:w="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4,211,677</w:t>
            </w: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100,000</w:t>
            </w:r>
          </w:p>
        </w:tc>
        <w:tc>
          <w:tcPr>
            <w:tcW w:w="3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righ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left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19,827</w:t>
            </w:r>
          </w:p>
        </w:tc>
        <w:tc>
          <w:tcPr>
            <w:tcW w:w="3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right w:val="single" w:sz="8" w:color="CCEEFF"/>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(26,510)</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(6,679)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(6,454)</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Stock based compensation</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2,135</w:t>
            </w:r>
          </w:p>
        </w:tc>
        <w:tc>
          <w:tcPr>
            <w:tcW w:w="32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2,135</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2,135</w:t>
            </w:r>
          </w:p>
        </w:tc>
        <w:tc>
          <w:tcPr>
            <w:tcW w:w="0" w:type="dxa"/>
            <w:vAlign w:val="bottom"/>
          </w:tcPr>
          <w:p>
            <w:pPr>
              <w:spacing w:after="0"/>
              <w:rPr>
                <w:sz w:val="1"/>
                <w:szCs w:val="1"/>
                <w:color w:val="auto"/>
              </w:rPr>
            </w:pPr>
          </w:p>
        </w:tc>
      </w:tr>
      <w:tr>
        <w:trPr>
          <w:trHeight w:val="130"/>
        </w:trPr>
        <w:tc>
          <w:tcPr>
            <w:tcW w:w="3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Beneficial conversion feature associated with</w:t>
            </w: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amended Convertible Promissory Notes</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3,869</w:t>
            </w:r>
          </w:p>
        </w:tc>
        <w:tc>
          <w:tcPr>
            <w:tcW w:w="320" w:type="dxa"/>
            <w:vAlign w:val="bottom"/>
            <w:shd w:val="clear" w:color="auto" w:fill="CCEEFF"/>
          </w:tcPr>
          <w:p>
            <w:pPr>
              <w:spacing w:after="0"/>
              <w:rPr>
                <w:sz w:val="14"/>
                <w:szCs w:val="14"/>
                <w:color w:val="auto"/>
              </w:rPr>
            </w:pPr>
          </w:p>
        </w:tc>
        <w:tc>
          <w:tcPr>
            <w:tcW w:w="5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3,869</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3,869</w:t>
            </w: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Conversion of Convertible Notes</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1,697,075</w:t>
            </w:r>
          </w:p>
        </w:tc>
        <w:tc>
          <w:tcPr>
            <w:tcW w:w="400" w:type="dxa"/>
            <w:vAlign w:val="bottom"/>
          </w:tcPr>
          <w:p>
            <w:pPr>
              <w:spacing w:after="0"/>
              <w:rPr>
                <w:sz w:val="12"/>
                <w:szCs w:val="12"/>
                <w:color w:val="auto"/>
              </w:rPr>
            </w:pPr>
          </w:p>
        </w:tc>
        <w:tc>
          <w:tcPr>
            <w:tcW w:w="3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13,098</w:t>
            </w:r>
          </w:p>
        </w:tc>
        <w:tc>
          <w:tcPr>
            <w:tcW w:w="32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13,100</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13,100</w:t>
            </w:r>
          </w:p>
        </w:tc>
        <w:tc>
          <w:tcPr>
            <w:tcW w:w="0" w:type="dxa"/>
            <w:vAlign w:val="bottom"/>
          </w:tcPr>
          <w:p>
            <w:pPr>
              <w:spacing w:after="0"/>
              <w:rPr>
                <w:sz w:val="1"/>
                <w:szCs w:val="1"/>
                <w:color w:val="auto"/>
              </w:rPr>
            </w:pPr>
          </w:p>
        </w:tc>
      </w:tr>
      <w:tr>
        <w:trPr>
          <w:trHeight w:val="130"/>
        </w:trPr>
        <w:tc>
          <w:tcPr>
            <w:tcW w:w="3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 Initial Public</w:t>
            </w: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Offering (“IPO”), net of fees</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6,210,000</w:t>
            </w:r>
          </w:p>
        </w:tc>
        <w:tc>
          <w:tcPr>
            <w:tcW w:w="40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6</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56,955</w:t>
            </w:r>
          </w:p>
        </w:tc>
        <w:tc>
          <w:tcPr>
            <w:tcW w:w="320" w:type="dxa"/>
            <w:vAlign w:val="bottom"/>
            <w:shd w:val="clear" w:color="auto" w:fill="CCEEFF"/>
          </w:tcPr>
          <w:p>
            <w:pPr>
              <w:spacing w:after="0"/>
              <w:rPr>
                <w:sz w:val="14"/>
                <w:szCs w:val="14"/>
                <w:color w:val="auto"/>
              </w:rPr>
            </w:pPr>
          </w:p>
        </w:tc>
        <w:tc>
          <w:tcPr>
            <w:tcW w:w="5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56,961</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56,961</w:t>
            </w:r>
          </w:p>
        </w:tc>
        <w:tc>
          <w:tcPr>
            <w:tcW w:w="0" w:type="dxa"/>
            <w:vAlign w:val="bottom"/>
          </w:tcPr>
          <w:p>
            <w:pPr>
              <w:spacing w:after="0"/>
              <w:rPr>
                <w:sz w:val="1"/>
                <w:szCs w:val="1"/>
                <w:color w:val="auto"/>
              </w:rPr>
            </w:pPr>
          </w:p>
        </w:tc>
      </w:tr>
      <w:tr>
        <w:trPr>
          <w:trHeight w:val="130"/>
        </w:trPr>
        <w:tc>
          <w:tcPr>
            <w:tcW w:w="3040" w:type="dxa"/>
            <w:vAlign w:val="bottom"/>
            <w:gridSpan w:val="2"/>
          </w:tcPr>
          <w:p>
            <w:pPr>
              <w:spacing w:after="0" w:line="130" w:lineRule="exact"/>
              <w:rPr>
                <w:sz w:val="20"/>
                <w:szCs w:val="20"/>
                <w:color w:val="auto"/>
              </w:rPr>
            </w:pPr>
            <w:r>
              <w:rPr>
                <w:rFonts w:ascii="Arial" w:cs="Arial" w:eastAsia="Arial" w:hAnsi="Arial"/>
                <w:sz w:val="14"/>
                <w:szCs w:val="14"/>
                <w:color w:val="auto"/>
              </w:rPr>
              <w:t>Issuance of common stock – Secondary public</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gridSpan w:val="2"/>
          </w:tcPr>
          <w:p>
            <w:pPr>
              <w:ind w:left="180"/>
              <w:spacing w:after="0"/>
              <w:rPr>
                <w:sz w:val="20"/>
                <w:szCs w:val="20"/>
                <w:color w:val="auto"/>
              </w:rPr>
            </w:pPr>
            <w:r>
              <w:rPr>
                <w:rFonts w:ascii="Arial" w:cs="Arial" w:eastAsia="Arial" w:hAnsi="Arial"/>
                <w:sz w:val="14"/>
                <w:szCs w:val="14"/>
                <w:color w:val="auto"/>
              </w:rPr>
              <w:t>offering, net of fees</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6,388,888</w:t>
            </w:r>
          </w:p>
        </w:tc>
        <w:tc>
          <w:tcPr>
            <w:tcW w:w="400" w:type="dxa"/>
            <w:vAlign w:val="bottom"/>
          </w:tcPr>
          <w:p>
            <w:pPr>
              <w:spacing w:after="0"/>
              <w:rPr>
                <w:sz w:val="14"/>
                <w:szCs w:val="14"/>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4"/>
                <w:szCs w:val="14"/>
                <w:color w:val="auto"/>
              </w:rPr>
              <w:t>6</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79,833</w:t>
            </w:r>
          </w:p>
        </w:tc>
        <w:tc>
          <w:tcPr>
            <w:tcW w:w="32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3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79,839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79,839</w:t>
            </w: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Conversion of Preferred A Stock</w:t>
            </w:r>
          </w:p>
        </w:tc>
        <w:tc>
          <w:tcPr>
            <w:tcW w:w="78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1,373,038</w:t>
            </w:r>
          </w:p>
        </w:tc>
        <w:tc>
          <w:tcPr>
            <w:tcW w:w="4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66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(100,000)</w:t>
            </w:r>
          </w:p>
        </w:tc>
        <w:tc>
          <w:tcPr>
            <w:tcW w:w="34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2"/>
                <w:szCs w:val="12"/>
                <w:color w:val="auto"/>
              </w:rPr>
            </w:pPr>
          </w:p>
        </w:tc>
        <w:tc>
          <w:tcPr>
            <w:tcW w:w="520" w:type="dxa"/>
            <w:vAlign w:val="bottom"/>
            <w:tcBorders>
              <w:right w:val="single" w:sz="8" w:color="CCEEFF"/>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Exercise of options</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174,223</w:t>
            </w:r>
          </w:p>
        </w:tc>
        <w:tc>
          <w:tcPr>
            <w:tcW w:w="400" w:type="dxa"/>
            <w:vAlign w:val="bottom"/>
          </w:tcPr>
          <w:p>
            <w:pPr>
              <w:spacing w:after="0"/>
              <w:rPr>
                <w:sz w:val="12"/>
                <w:szCs w:val="12"/>
                <w:color w:val="auto"/>
              </w:rPr>
            </w:pPr>
          </w:p>
        </w:tc>
        <w:tc>
          <w:tcPr>
            <w:tcW w:w="3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32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78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240,233</w:t>
            </w:r>
          </w:p>
        </w:tc>
        <w:tc>
          <w:tcPr>
            <w:tcW w:w="4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320" w:type="dxa"/>
            <w:vAlign w:val="bottom"/>
            <w:shd w:val="clear" w:color="auto" w:fill="CCEEFF"/>
          </w:tcPr>
          <w:p>
            <w:pPr>
              <w:spacing w:after="0"/>
              <w:rPr>
                <w:sz w:val="12"/>
                <w:szCs w:val="12"/>
                <w:color w:val="auto"/>
              </w:rPr>
            </w:pPr>
          </w:p>
        </w:tc>
        <w:tc>
          <w:tcPr>
            <w:tcW w:w="520" w:type="dxa"/>
            <w:vAlign w:val="bottom"/>
            <w:tcBorders>
              <w:right w:val="single" w:sz="8" w:color="CCEEFF"/>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(3,810)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(3,810)</w:t>
            </w: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(3,843)</w:t>
            </w:r>
          </w:p>
        </w:tc>
        <w:tc>
          <w:tcPr>
            <w:tcW w:w="0" w:type="dxa"/>
            <w:vAlign w:val="bottom"/>
          </w:tcPr>
          <w:p>
            <w:pPr>
              <w:spacing w:after="0"/>
              <w:rPr>
                <w:sz w:val="1"/>
                <w:szCs w:val="1"/>
                <w:color w:val="auto"/>
              </w:rPr>
            </w:pPr>
          </w:p>
        </w:tc>
      </w:tr>
      <w:tr>
        <w:trPr>
          <w:trHeight w:val="27"/>
        </w:trPr>
        <w:tc>
          <w:tcPr>
            <w:tcW w:w="30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Balance March 31, 2021</w:t>
            </w:r>
          </w:p>
        </w:tc>
        <w:tc>
          <w:tcPr>
            <w:tcW w:w="40" w:type="dxa"/>
            <w:vAlign w:val="bottom"/>
            <w:shd w:val="clear" w:color="auto" w:fill="000000"/>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gridSpan w:val="2"/>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60" w:type="dxa"/>
            <w:vAlign w:val="bottom"/>
            <w:tcBorders>
              <w:right w:val="single" w:sz="8" w:color="CCEEFF"/>
            </w:tcBorders>
            <w:gridSpan w:val="2"/>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Borders>
              <w:right w:val="single" w:sz="8" w:color="CCEEFF"/>
            </w:tcBorders>
            <w:gridSpan w:val="2"/>
            <w:shd w:val="clear" w:color="auto" w:fill="000000"/>
          </w:tcPr>
          <w:p>
            <w:pPr>
              <w:spacing w:after="0"/>
              <w:rPr>
                <w:sz w:val="2"/>
                <w:szCs w:val="2"/>
                <w:color w:val="auto"/>
              </w:rPr>
            </w:pPr>
          </w:p>
        </w:tc>
        <w:tc>
          <w:tcPr>
            <w:tcW w:w="140" w:type="dxa"/>
            <w:vAlign w:val="bottom"/>
            <w:tcBorders>
              <w:left w:val="single" w:sz="8" w:color="CCEEFF"/>
            </w:tcBorders>
            <w:shd w:val="clear" w:color="auto" w:fill="000000"/>
          </w:tcPr>
          <w:p>
            <w:pPr>
              <w:spacing w:after="0"/>
              <w:rPr>
                <w:sz w:val="2"/>
                <w:szCs w:val="2"/>
                <w:color w:val="auto"/>
              </w:rPr>
            </w:pPr>
          </w:p>
        </w:tc>
        <w:tc>
          <w:tcPr>
            <w:tcW w:w="680" w:type="dxa"/>
            <w:vAlign w:val="bottom"/>
            <w:tcBorders>
              <w:right w:val="single" w:sz="8" w:color="CCEEFF"/>
            </w:tcBorders>
            <w:gridSpan w:val="2"/>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Borders>
              <w:right w:val="single" w:sz="8" w:color="CCEEFF"/>
            </w:tcBorders>
            <w:gridSpan w:val="2"/>
            <w:shd w:val="clear" w:color="auto" w:fill="000000"/>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gridSpan w:val="2"/>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0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1"/>
              </w:rPr>
              <w:t>20,295,134</w:t>
            </w:r>
          </w:p>
        </w:tc>
        <w:tc>
          <w:tcPr>
            <w:tcW w:w="400" w:type="dxa"/>
            <w:vAlign w:val="bottom"/>
            <w:shd w:val="clear" w:color="auto" w:fill="CCEEFF"/>
          </w:tcPr>
          <w:p>
            <w:pPr>
              <w:jc w:val="right"/>
              <w:ind w:right="293"/>
              <w:spacing w:after="0"/>
              <w:rPr>
                <w:sz w:val="20"/>
                <w:szCs w:val="20"/>
                <w:color w:val="auto"/>
              </w:rPr>
            </w:pPr>
            <w:r>
              <w:rPr>
                <w:rFonts w:ascii="Arial" w:cs="Arial" w:eastAsia="Arial" w:hAnsi="Arial"/>
                <w:sz w:val="10"/>
                <w:szCs w:val="10"/>
                <w:color w:val="auto"/>
                <w:w w:val="71"/>
              </w:rPr>
              <w:t>$</w:t>
            </w:r>
          </w:p>
        </w:tc>
        <w:tc>
          <w:tcPr>
            <w:tcW w:w="3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19</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176,160</w:t>
            </w: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(30,320</w:t>
            </w:r>
          </w:p>
        </w:tc>
        <w:tc>
          <w:tcPr>
            <w:tcW w:w="1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145,859</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192</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146,051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931</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78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78,565</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(5,636)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(5,636)</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200</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(5,436)</w:t>
            </w:r>
          </w:p>
        </w:tc>
        <w:tc>
          <w:tcPr>
            <w:tcW w:w="0" w:type="dxa"/>
            <w:vAlign w:val="bottom"/>
          </w:tcPr>
          <w:p>
            <w:pPr>
              <w:spacing w:after="0"/>
              <w:rPr>
                <w:sz w:val="1"/>
                <w:szCs w:val="1"/>
                <w:color w:val="auto"/>
              </w:rPr>
            </w:pPr>
          </w:p>
        </w:tc>
      </w:tr>
      <w:tr>
        <w:trPr>
          <w:trHeight w:val="27"/>
        </w:trPr>
        <w:tc>
          <w:tcPr>
            <w:tcW w:w="30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Balance, June 30, 2021</w:t>
            </w:r>
          </w:p>
        </w:tc>
        <w:tc>
          <w:tcPr>
            <w:tcW w:w="40" w:type="dxa"/>
            <w:vAlign w:val="bottom"/>
            <w:shd w:val="clear" w:color="auto" w:fill="000000"/>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gridSpan w:val="2"/>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60" w:type="dxa"/>
            <w:vAlign w:val="bottom"/>
            <w:tcBorders>
              <w:right w:val="single" w:sz="8" w:color="CCEEFF"/>
            </w:tcBorders>
            <w:gridSpan w:val="2"/>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Borders>
              <w:right w:val="single" w:sz="8" w:color="CCEEFF"/>
            </w:tcBorders>
            <w:gridSpan w:val="2"/>
            <w:shd w:val="clear" w:color="auto" w:fill="000000"/>
          </w:tcPr>
          <w:p>
            <w:pPr>
              <w:spacing w:after="0"/>
              <w:rPr>
                <w:sz w:val="2"/>
                <w:szCs w:val="2"/>
                <w:color w:val="auto"/>
              </w:rPr>
            </w:pPr>
          </w:p>
        </w:tc>
        <w:tc>
          <w:tcPr>
            <w:tcW w:w="140" w:type="dxa"/>
            <w:vAlign w:val="bottom"/>
            <w:tcBorders>
              <w:left w:val="single" w:sz="8" w:color="CCEEFF"/>
            </w:tcBorders>
            <w:shd w:val="clear" w:color="auto" w:fill="000000"/>
          </w:tcPr>
          <w:p>
            <w:pPr>
              <w:spacing w:after="0"/>
              <w:rPr>
                <w:sz w:val="2"/>
                <w:szCs w:val="2"/>
                <w:color w:val="auto"/>
              </w:rPr>
            </w:pPr>
          </w:p>
        </w:tc>
        <w:tc>
          <w:tcPr>
            <w:tcW w:w="680" w:type="dxa"/>
            <w:vAlign w:val="bottom"/>
            <w:tcBorders>
              <w:right w:val="single" w:sz="8" w:color="CCEEFF"/>
            </w:tcBorders>
            <w:gridSpan w:val="2"/>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Borders>
              <w:right w:val="single" w:sz="8" w:color="CCEEFF"/>
            </w:tcBorders>
            <w:gridSpan w:val="2"/>
            <w:shd w:val="clear" w:color="auto" w:fill="000000"/>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gridSpan w:val="2"/>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0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1"/>
              </w:rPr>
              <w:t>20,373,699</w:t>
            </w:r>
          </w:p>
        </w:tc>
        <w:tc>
          <w:tcPr>
            <w:tcW w:w="400" w:type="dxa"/>
            <w:vAlign w:val="bottom"/>
            <w:shd w:val="clear" w:color="auto" w:fill="CCEEFF"/>
          </w:tcPr>
          <w:p>
            <w:pPr>
              <w:jc w:val="right"/>
              <w:ind w:right="293"/>
              <w:spacing w:after="0"/>
              <w:rPr>
                <w:sz w:val="20"/>
                <w:szCs w:val="20"/>
                <w:color w:val="auto"/>
              </w:rPr>
            </w:pPr>
            <w:r>
              <w:rPr>
                <w:rFonts w:ascii="Arial" w:cs="Arial" w:eastAsia="Arial" w:hAnsi="Arial"/>
                <w:sz w:val="10"/>
                <w:szCs w:val="10"/>
                <w:color w:val="auto"/>
                <w:w w:val="71"/>
              </w:rPr>
              <w:t>$</w:t>
            </w:r>
          </w:p>
        </w:tc>
        <w:tc>
          <w:tcPr>
            <w:tcW w:w="3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19</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177,373</w:t>
            </w: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(35,956</w:t>
            </w:r>
          </w:p>
        </w:tc>
        <w:tc>
          <w:tcPr>
            <w:tcW w:w="1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141,436</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392</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141,828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0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(9,446)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Adjustments to reconcile net loss attributable to Agrify Corporation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Amortization of premium on investments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held to maturity bonds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3,066</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Gain on extinguishment of notes payable,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(2,685)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from disposal of fixed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Loss attributable to non-controlling interests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(11,122)</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(4,477)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(2,723)</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 of use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12,841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1"/>
                <w:szCs w:val="21"/>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(13,837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(7,898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(1,102)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Purchase of held to maturity securities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(50,280)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loan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color w:val="auto"/>
              </w:rPr>
              <w:t>Cash paid for business combination, net of cash acquired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Proceeds from issuance of Preferred A Stock</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IPO, net of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56,961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Proceeds from Secondary public offering, net of fees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79,839</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Proceeds from exercise of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of financing leases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Minority interest in Valiant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PPP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71,730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8,111</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 End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79,841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activities: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8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8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sold for loan receivable to customer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has five wholly-owned subsidiaries, AGM Service Corp LLC (formerly AGM Service Corp Inc.), TriGrow Systems, LLC (“TriGrow”, which acted as our exclusive distributor and which was acquired in January 2020 as TriGrow Systems, Inc. and converted to TriGrow Systems, LLC in May 2020), Harbor Mountain Holdings, LLC (“HMH”, which assembled and produced many of our products and which was acquired in July 2020), Ariafy Finance, LLC and Agxion, LLC. The Company also owns 50% of Teejan Podponics International LLC (“TPI”) since December 2018; 60% of Agrify-Valiant, LLC, formed in December 2019; and 75% of Agrify Brands, LLC (formerly TriGrow Brands, LLC, which was part of the January 2020 acquisition of TriGrow). For further details about the January 2020 and July 2020 acquisitions, please refer to the Company’s Annual Report on Form 10-K for the year ended December 31, 2020 filed with the U.S. Securities and Exchange Commission (“SEC”) on April 2,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January 12, 2021, the Company effected a 1-for-1.581804 reverse stock split. All share and per share information has been retroactively adjusted to give effect to the reverse stock split for all periods presented, unless otherwise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Offerings</w:t>
      </w:r>
    </w:p>
    <w:p>
      <w:pPr>
        <w:spacing w:after="0" w:line="229"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On February 1, 2021, the Company consummated its initial public offering (“IPO”) of 5,400,000 shares of common stock at a price of $10.00 per share, less certain underwriting discounts and commissions. On February 4, 2021, the Company closed on the sale of an additional 810,000 shares of common stock on the same terms and conditions pursuant to the exercise of the underwriters’ over-allotment option.</w:t>
      </w:r>
    </w:p>
    <w:p>
      <w:pPr>
        <w:spacing w:after="0" w:line="16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February 19, 2021, the Company consummated a secondary public offering (the “February Offering”) of 5,555,555 shares of common stock for a price of $13.50 per share, less certain underwriting discounts and commissions. On March 22, 2021, the Company closed on the sale of an additional 833,333 shares of common stock on the same terms and conditions pursuant to the exercise of the underwriters’ over-allotment option. See Note 13 — Capital Structure for additional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(“COVID-19”) pandemic</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coronavirus (“COVID-19”) was first identified in people in late 2019. COVID-19 spread rapidly throughout the world and, in March 2020, the World Health Organization characterized COVID-19 as a pandemic. COVID-19 is a pandemic of respiratory disease spreading from person-to-person that poses a serious public health risk. It has significantly disrupted supply chains and businesses around the world. The extent and duration of the COVID-19 impact, on the operations and financial position of the Company and on the global economy, is uncertain. Uncertainty remains regarding the length of time it will take for the COVID-19 pandemic to subside, including the time it will take for vaccines to be broadly distributed and accepted in the United States and the rest of the world, and the effectiveness of such vaccines in slowing or stopping the spread of COVID-19 and mitigating the economic effects of the pandemic. The Company continues to service its customers amid uncertainty and disruption linked to COVID-19 and is actively managing its business to respond to the impact.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Preparation of Condensed Consolidated Financial Statements</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our Annual Report on Form 10-K for the year ended December 31, 2020 filed with the SEC, except for the recently adopted accounting pronouncements described below. The condensed consolidated statements of operations, stockholders’ equity, and cash flows for the three and six months ended June 30, 2021 and 2020, and the condensed consolidated balance sheet as of June 30, 2021, are not audited but reflect all adjustments that are of a normal recurring nature and that are considered necessary for a fair presentation of the results for the periods shown. The condensed consolidated balance sheet as of December 31, 2020 is derived from the audited consolidated financial statements presented in our Annual Report on Form 10-K for the year ended December 31, 2020. Certain information and disclosures normally included in annual consolidated financial statements have been omitted 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our Annual Report on Form 10-K for the year ended December 31, 2020 filed with the SEC on April 2, 2021. The results for interim periods are not necessarily indicative of a full year’s results.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29"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Accounting for wholly-owned subsidiaries</w:t>
      </w:r>
    </w:p>
    <w:p>
      <w:pPr>
        <w:spacing w:after="0" w:line="229"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accompanying consolidated financial statements include the accounts of Agrify Corporation and its wholly-owned subsidiaries, AGM Service Corp LLC, TriGrow Systems, Inc., Harbor Mountain Holdings, LLC, Ariafy Finance, LLC, and Agxion, LLC, in accordance with the provisions required by the Consolidation Topic 810 of the Financial Accounting Standards Board (“FASB”) Accounting Standards Codification (“ASC”). We include the results of operations of acquired companies from the date of acquisition. All significant intercompany transactions and balances are eliminated.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joint-venture subsidiary</w:t>
      </w:r>
    </w:p>
    <w:p>
      <w:pPr>
        <w:spacing w:after="0" w:line="229" w:lineRule="exact"/>
        <w:rPr>
          <w:sz w:val="20"/>
          <w:szCs w:val="20"/>
          <w:color w:val="auto"/>
        </w:rPr>
      </w:pPr>
    </w:p>
    <w:p>
      <w:pPr>
        <w:ind w:right="220" w:firstLine="324"/>
        <w:spacing w:after="0" w:line="270" w:lineRule="auto"/>
        <w:rPr>
          <w:sz w:val="20"/>
          <w:szCs w:val="20"/>
          <w:color w:val="auto"/>
        </w:rPr>
      </w:pPr>
      <w:r>
        <w:rPr>
          <w:rFonts w:ascii="Arial" w:cs="Arial" w:eastAsia="Arial" w:hAnsi="Arial"/>
          <w:sz w:val="17"/>
          <w:szCs w:val="17"/>
          <w:color w:val="auto"/>
        </w:rPr>
        <w:t>For the Company’s less than wholly owned subsidiaries, Agrify-Valiant, LLC, Agrify Brands, LLC and Teejan Podponics International LLC, the Company first analyzes whether these entities are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18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Based on the Company’s analysis for these entities, the Company has determined that Agrify-Valiant, LLC and Agrify Brands, LLC are each a VIE and that the Company is the primary beneficiary. While the Company owns 60% of Agrify-Valiant, LLC’s equity interests and 75% of Agrify Brands, LLC’s equity interests, the remaining equity interests in Agrify-Valiant, LLC and Agrify Brands, LLC are owned by unrelated third parties, and the agreement with these third parties provides the Company with greater voting rights. Accordingly, the Company consolidates the financial statements of Agrify-Valiant,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and its Subsidiaries, fiscal year ends on December 31 of each year.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and cash equivalents consist principally of cash and deposits with maturities of three months or less as of June 30, 2021 and December 31,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primarily consist of cash and accounts receivable. The Company places its cash with financial institutions in the United States. The cash balances are insured by the FDIC up to $250 per depositor with unlimited insurance for funds in noninterest-bearing transaction accounts through June 30, 2021. At times, the amounts in these accounts may exceed the federally insured limits.</w:t>
      </w:r>
    </w:p>
    <w:p>
      <w:pPr>
        <w:spacing w:after="0" w:line="18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Company has certain customers whose revenue individually represented 10% or more of the Company’s total revenue, or whose accounts receivable balances individually represent 10% or more of the Company’s total accounts receivable.</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For the three months and six months ended June 30, 2021, one customer accounted for 92.1% and 86.8% of revenue, respectively. For the three months and six months ended June 30, 2020, one customer accounted for 80.5% and 81.3% of revenue, respectively. At June 30, 2021 and 2020, two customers accounted for 88.2% and three different customers accounted for 54.2% of accounts receivable,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expenses research and development costs as incurred. During the three and six months ended June 30, 2020, the Company expensed $43 and $705, respectively, related to development of hardware solution for deployment of rapid grow solution During the three and six months ended June 30, 2020, the Company expensed additional costs of $107 related to research and development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Charges</w:t>
      </w:r>
    </w:p>
    <w:p>
      <w:pPr>
        <w:spacing w:after="0" w:line="22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Company evaluates events that have occurred after the balance sheet date but before the financial statements are issued. Based upon the evaluation, the Company did not identify any recognized or non-recognized subsequent events that would have required adjustment or disclosure in the condensed consolidated financial statements, except as disclosed.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June 2016, the FASB issued Accounting Standard Update (“ASU”) No. 2016-13, Financial Instruments — Credit Losses (Topic 326) — Measurement of Credit Losses on Financial Instruments. This new standard requires entities to measure expected credit 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loans, held-to-maturity debt securities, and net investments in leases. In November 2019, the FASB issued ASU No. 2019-10, changing effective dates for the new standards to give implementation relief to certain types of entities. The Company is required to adopt the new standards no later than January 1, 2023 according to ASU 2019-10, with early adoption allowed. The adoption of this new accounting guidance had no impact on the Company’s consolidated financial position.</w:t>
      </w:r>
    </w:p>
    <w:p>
      <w:pPr>
        <w:spacing w:after="0" w:line="192"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standard effective January 1, 2020, using a prospective approach. The adoption of this new standard did not have a material impact on the Company’s consolidated financial statements. Subsequent impact will depend on the magnitude of implementation costs to be incurred. Implementation costs capitalized subsequent to adoption will be recognized in operating expenses in the statements of operations over the noncancelable period of the hosting arrangement plus any renewal periods reasonably certain to be taken.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Recognition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 from the following sources: (1) equipment sales, (2) services sales and (3) construction contracts.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sell our equipment and services to customers under a combination of a contract and purchase order. Equipment revenue includes sales from proprietary products designed and engineered by the Company such as Agrify Vertical Farming Units (“AVFUs”), container farms, integrated grow racks, and LED grow lights, and non-proprietary products designed, engineered, and manufactured by third parties such as air cleaning systems and pesticide-free surface protection.</w:t>
      </w:r>
    </w:p>
    <w:p>
      <w:pPr>
        <w:spacing w:after="0" w:line="18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two main sub-contractors to execute the construction contracts.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 recognition: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Transferred over time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10,701</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17,480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11,825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18,833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4,921</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The Company generally provides a one-year warranty on its products for materials and workmanship but may provide multiple year warranties as negotiated, and will pass on the warranties from its vendors, if any, which generally covers this one-year period. In accordance with ASC 450-20-25, the Company accrues for product warranties when the loss is probable and can be reasonably estimated. At June 30, 2021, the Company has no product warranty accrual given the Company’s de minimis historical financial warranty experience.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Assets and Liabilities</w:t>
      </w:r>
    </w:p>
    <w:p>
      <w:pPr>
        <w:spacing w:after="0" w:line="225"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We measure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3" w:lineRule="exact"/>
        <w:rPr>
          <w:sz w:val="20"/>
          <w:szCs w:val="20"/>
          <w:color w:val="auto"/>
        </w:rPr>
      </w:pPr>
    </w:p>
    <w:p>
      <w:pPr>
        <w:ind w:right="260" w:firstLine="324"/>
        <w:spacing w:after="0" w:line="250" w:lineRule="auto"/>
        <w:rPr>
          <w:sz w:val="20"/>
          <w:szCs w:val="20"/>
          <w:color w:val="auto"/>
        </w:rPr>
      </w:pPr>
      <w:r>
        <w:rPr>
          <w:rFonts w:ascii="Arial" w:cs="Arial" w:eastAsia="Arial" w:hAnsi="Arial"/>
          <w:sz w:val="18"/>
          <w:szCs w:val="18"/>
          <w:color w:val="auto"/>
        </w:rPr>
        <w:t>Level 2: Other inputs that are observable directly or indirectly, such as quoted prices for similar instruments in active markets or for similar markets that are not active.</w:t>
      </w:r>
    </w:p>
    <w:p>
      <w:pPr>
        <w:spacing w:after="0" w:line="1" w:lineRule="exact"/>
        <w:rPr>
          <w:sz w:val="20"/>
          <w:szCs w:val="20"/>
          <w:color w:val="auto"/>
        </w:rPr>
      </w:pPr>
    </w:p>
    <w:p>
      <w:pPr>
        <w:ind w:right="820" w:firstLine="324"/>
        <w:spacing w:after="0" w:line="260" w:lineRule="auto"/>
        <w:rPr>
          <w:sz w:val="20"/>
          <w:szCs w:val="20"/>
          <w:color w:val="auto"/>
        </w:rPr>
      </w:pPr>
      <w:r>
        <w:rPr>
          <w:rFonts w:ascii="Arial" w:cs="Arial" w:eastAsia="Arial" w:hAnsi="Arial"/>
          <w:sz w:val="18"/>
          <w:szCs w:val="18"/>
          <w:color w:val="auto"/>
        </w:rPr>
        <w:t>Level 3: Unobservable inputs for which there is little or no market data which require us to develop our own assumptions about how market participants would price the asset or liability.</w:t>
      </w:r>
    </w:p>
    <w:p>
      <w:pPr>
        <w:spacing w:after="0" w:line="18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2021 and December 30, 2020, our assets and liabilities measured at fair value on a recurring basis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June 30, 2021</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center"/>
              <w:ind w:right="840"/>
              <w:spacing w:after="0"/>
              <w:rPr>
                <w:sz w:val="20"/>
                <w:szCs w:val="20"/>
                <w:color w:val="auto"/>
              </w:rPr>
            </w:pPr>
            <w:r>
              <w:rPr>
                <w:rFonts w:ascii="Arial" w:cs="Arial" w:eastAsia="Arial" w:hAnsi="Arial"/>
                <w:sz w:val="18"/>
                <w:szCs w:val="18"/>
                <w:color w:val="auto"/>
                <w:w w:val="88"/>
              </w:rPr>
              <w:t>December 30, 2020</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10"/>
          </w:tcPr>
          <w:p>
            <w:pPr>
              <w:jc w:val="right"/>
              <w:ind w:right="10"/>
              <w:spacing w:after="0"/>
              <w:rPr>
                <w:sz w:val="20"/>
                <w:szCs w:val="20"/>
                <w:color w:val="auto"/>
              </w:rPr>
            </w:pPr>
            <w:r>
              <w:rPr>
                <w:rFonts w:ascii="Arial" w:cs="Arial" w:eastAsia="Arial" w:hAnsi="Arial"/>
                <w:sz w:val="18"/>
                <w:szCs w:val="18"/>
                <w:color w:val="auto"/>
              </w:rPr>
              <w:t>Fair Value Measurements Using Input Types</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8"/>
          </w:tcPr>
          <w:p>
            <w:pPr>
              <w:jc w:val="center"/>
              <w:ind w:left="350"/>
              <w:spacing w:after="0"/>
              <w:rPr>
                <w:sz w:val="20"/>
                <w:szCs w:val="20"/>
                <w:color w:val="auto"/>
              </w:rPr>
            </w:pPr>
            <w:r>
              <w:rPr>
                <w:rFonts w:ascii="Arial" w:cs="Arial" w:eastAsia="Arial" w:hAnsi="Arial"/>
                <w:sz w:val="18"/>
                <w:szCs w:val="18"/>
                <w:color w:val="auto"/>
                <w:w w:val="89"/>
              </w:rPr>
              <w:t>Fair Value Measurements Using Input Types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ind w:left="120"/>
              <w:spacing w:after="0" w:line="201" w:lineRule="exact"/>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Level 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30"/>
              <w:spacing w:after="0" w:line="201" w:lineRule="exact"/>
              <w:rPr>
                <w:sz w:val="20"/>
                <w:szCs w:val="20"/>
                <w:color w:val="auto"/>
              </w:rPr>
            </w:pPr>
            <w:r>
              <w:rPr>
                <w:rFonts w:ascii="Arial" w:cs="Arial" w:eastAsia="Arial" w:hAnsi="Arial"/>
                <w:sz w:val="18"/>
                <w:szCs w:val="18"/>
                <w:color w:val="auto"/>
                <w:w w:val="89"/>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Mutual funds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(included in</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cash and cash</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equivalents)</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72,612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0" w:type="dxa"/>
            <w:vAlign w:val="bottom"/>
          </w:tcPr>
          <w:p>
            <w:pPr>
              <w:ind w:left="140"/>
              <w:spacing w:after="0" w:line="201" w:lineRule="exact"/>
              <w:rPr>
                <w:sz w:val="20"/>
                <w:szCs w:val="20"/>
                <w:color w:val="auto"/>
              </w:rPr>
            </w:pPr>
            <w:r>
              <w:rPr>
                <w:rFonts w:ascii="Arial" w:cs="Arial" w:eastAsia="Arial" w:hAnsi="Arial"/>
                <w:sz w:val="18"/>
                <w:szCs w:val="18"/>
                <w:color w:val="auto"/>
              </w:rPr>
              <w:t>Held to</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tcPr>
          <w:p>
            <w:pPr>
              <w:ind w:left="140"/>
              <w:spacing w:after="0"/>
              <w:rPr>
                <w:sz w:val="20"/>
                <w:szCs w:val="20"/>
                <w:color w:val="auto"/>
              </w:rPr>
            </w:pPr>
            <w:r>
              <w:rPr>
                <w:rFonts w:ascii="Arial" w:cs="Arial" w:eastAsia="Arial" w:hAnsi="Arial"/>
                <w:sz w:val="18"/>
                <w:szCs w:val="18"/>
                <w:color w:val="auto"/>
              </w:rPr>
              <w:t>current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Municipal</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14,960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Corporate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200" w:type="dxa"/>
            <w:vAlign w:val="bottom"/>
          </w:tcPr>
          <w:p>
            <w:pPr>
              <w:spacing w:after="0"/>
              <w:rPr>
                <w:sz w:val="20"/>
                <w:szCs w:val="20"/>
                <w:color w:val="auto"/>
              </w:rPr>
            </w:pPr>
            <w:r>
              <w:rPr>
                <w:rFonts w:ascii="Arial" w:cs="Arial" w:eastAsia="Arial" w:hAnsi="Arial"/>
                <w:sz w:val="18"/>
                <w:szCs w:val="18"/>
                <w:color w:val="auto"/>
              </w:rPr>
              <w:t>bonds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20,970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20,970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left="59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200" w:type="dxa"/>
            <w:vAlign w:val="bottom"/>
            <w:tcBorders>
              <w:top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Total held to</w:t>
            </w: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35,930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35,930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center"/>
              <w:ind w:left="590"/>
              <w:spacing w:after="0" w:line="189"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maturity</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877" w:right="339" w:bottom="0" w:gutter="0" w:footer="0" w:header="0"/>
        </w:sectPr>
      </w:pPr>
    </w:p>
    <w:bookmarkStart w:id="10" w:name="page11"/>
    <w:bookmarkEnd w:id="1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tcPr>
          <w:p>
            <w:pPr>
              <w:ind w:left="120"/>
              <w:spacing w:after="0" w:line="201" w:lineRule="exact"/>
              <w:rPr>
                <w:sz w:val="20"/>
                <w:szCs w:val="20"/>
                <w:color w:val="auto"/>
              </w:rPr>
            </w:pPr>
            <w:r>
              <w:rPr>
                <w:rFonts w:ascii="Arial" w:cs="Arial" w:eastAsia="Arial" w:hAnsi="Arial"/>
                <w:sz w:val="18"/>
                <w:szCs w:val="18"/>
                <w:color w:val="auto"/>
              </w:rPr>
              <w:t>Held to</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120"/>
              <w:spacing w:after="0"/>
              <w:rPr>
                <w:sz w:val="20"/>
                <w:szCs w:val="20"/>
                <w:color w:val="auto"/>
              </w:rPr>
            </w:pPr>
            <w:r>
              <w:rPr>
                <w:rFonts w:ascii="Arial" w:cs="Arial" w:eastAsia="Arial" w:hAnsi="Arial"/>
                <w:sz w:val="18"/>
                <w:szCs w:val="18"/>
                <w:color w:val="auto"/>
              </w:rPr>
              <w:t>maturity</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120"/>
              <w:spacing w:after="0"/>
              <w:rPr>
                <w:sz w:val="20"/>
                <w:szCs w:val="20"/>
                <w:color w:val="auto"/>
              </w:rPr>
            </w:pPr>
            <w:r>
              <w:rPr>
                <w:rFonts w:ascii="Arial" w:cs="Arial" w:eastAsia="Arial" w:hAnsi="Arial"/>
                <w:sz w:val="18"/>
                <w:szCs w:val="18"/>
                <w:color w:val="auto"/>
              </w:rPr>
              <w:t>securities-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120"/>
              <w:spacing w:after="0"/>
              <w:rPr>
                <w:sz w:val="20"/>
                <w:szCs w:val="20"/>
                <w:color w:val="auto"/>
              </w:rPr>
            </w:pPr>
            <w:r>
              <w:rPr>
                <w:rFonts w:ascii="Arial" w:cs="Arial" w:eastAsia="Arial" w:hAnsi="Arial"/>
                <w:sz w:val="18"/>
                <w:szCs w:val="18"/>
                <w:color w:val="auto"/>
              </w:rPr>
              <w:t>non-current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Municipal</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bonds</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6,478</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tcPr>
          <w:p>
            <w:pPr>
              <w:ind w:left="120"/>
              <w:spacing w:after="0" w:line="201" w:lineRule="exact"/>
              <w:rPr>
                <w:sz w:val="20"/>
                <w:szCs w:val="20"/>
                <w:color w:val="auto"/>
              </w:rPr>
            </w:pPr>
            <w:r>
              <w:rPr>
                <w:rFonts w:ascii="Arial" w:cs="Arial" w:eastAsia="Arial" w:hAnsi="Arial"/>
                <w:sz w:val="18"/>
                <w:szCs w:val="18"/>
                <w:color w:val="auto"/>
              </w:rPr>
              <w:t>Corporate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80" w:type="dxa"/>
            <w:vAlign w:val="bottom"/>
          </w:tcPr>
          <w:p>
            <w:pPr>
              <w:ind w:left="120"/>
              <w:spacing w:after="0"/>
              <w:rPr>
                <w:sz w:val="20"/>
                <w:szCs w:val="20"/>
                <w:color w:val="auto"/>
              </w:rPr>
            </w:pPr>
            <w:r>
              <w:rPr>
                <w:rFonts w:ascii="Arial" w:cs="Arial" w:eastAsia="Arial" w:hAnsi="Arial"/>
                <w:sz w:val="18"/>
                <w:szCs w:val="18"/>
                <w:color w:val="auto"/>
              </w:rPr>
              <w:t>bonds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7,882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jc w:val="center"/>
              <w:ind w:left="3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180" w:type="dxa"/>
            <w:vAlign w:val="bottom"/>
            <w:tcBorders>
              <w:top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Total held to</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maturity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 -current</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14,360</w:t>
            </w: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14,360</w:t>
            </w: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tcPr>
          <w:p>
            <w:pPr>
              <w:ind w:left="120"/>
              <w:spacing w:after="0" w:line="201" w:lineRule="exact"/>
              <w:rPr>
                <w:sz w:val="20"/>
                <w:szCs w:val="20"/>
                <w:color w:val="auto"/>
              </w:rPr>
            </w:pPr>
            <w:r>
              <w:rPr>
                <w:rFonts w:ascii="Arial" w:cs="Arial" w:eastAsia="Arial" w:hAnsi="Arial"/>
                <w:sz w:val="18"/>
                <w:szCs w:val="18"/>
                <w:color w:val="auto"/>
              </w:rPr>
              <w:t>Loan</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180" w:type="dxa"/>
            <w:vAlign w:val="bottom"/>
          </w:tcPr>
          <w:p>
            <w:pPr>
              <w:ind w:left="120"/>
              <w:spacing w:after="0"/>
              <w:rPr>
                <w:sz w:val="20"/>
                <w:szCs w:val="20"/>
                <w:color w:val="auto"/>
              </w:rPr>
            </w:pPr>
            <w:r>
              <w:rPr>
                <w:rFonts w:ascii="Arial" w:cs="Arial" w:eastAsia="Arial" w:hAnsi="Arial"/>
                <w:sz w:val="18"/>
                <w:szCs w:val="18"/>
                <w:color w:val="auto"/>
              </w:rPr>
              <w:t>receivable</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center"/>
              <w:ind w:left="290"/>
              <w:spacing w:after="0"/>
              <w:rPr>
                <w:sz w:val="20"/>
                <w:szCs w:val="20"/>
                <w:color w:val="auto"/>
              </w:rPr>
            </w:pPr>
            <w:r>
              <w:rPr>
                <w:rFonts w:ascii="Arial" w:cs="Arial" w:eastAsia="Arial" w:hAnsi="Arial"/>
                <w:sz w:val="18"/>
                <w:szCs w:val="18"/>
                <w:color w:val="auto"/>
                <w:w w:val="93"/>
              </w:rPr>
              <w:t>886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886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Notes</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of</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discount</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12,493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tcPr>
          <w:p>
            <w:pPr>
              <w:ind w:left="220"/>
              <w:spacing w:after="0" w:line="201" w:lineRule="exact"/>
              <w:rPr>
                <w:sz w:val="20"/>
                <w:szCs w:val="20"/>
                <w:color w:val="auto"/>
              </w:rPr>
            </w:pPr>
            <w:r>
              <w:rPr>
                <w:rFonts w:ascii="Arial" w:cs="Arial" w:eastAsia="Arial" w:hAnsi="Arial"/>
                <w:sz w:val="18"/>
                <w:szCs w:val="18"/>
                <w:color w:val="auto"/>
              </w:rPr>
              <w:t>Derivative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20"/>
              <w:spacing w:after="0"/>
              <w:rPr>
                <w:sz w:val="20"/>
                <w:szCs w:val="20"/>
                <w:color w:val="auto"/>
              </w:rPr>
            </w:pPr>
            <w:r>
              <w:rPr>
                <w:rFonts w:ascii="Arial" w:cs="Arial" w:eastAsia="Arial" w:hAnsi="Arial"/>
                <w:sz w:val="18"/>
                <w:szCs w:val="18"/>
                <w:color w:val="auto"/>
              </w:rPr>
              <w:t>liabilities</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tcPr>
          <w:p>
            <w:pPr>
              <w:jc w:val="center"/>
              <w:ind w:left="3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7,141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Long term</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833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center"/>
              <w:ind w:left="290"/>
              <w:spacing w:after="0"/>
              <w:rPr>
                <w:sz w:val="20"/>
                <w:szCs w:val="20"/>
                <w:color w:val="auto"/>
              </w:rPr>
            </w:pPr>
            <w:r>
              <w:rPr>
                <w:rFonts w:ascii="Arial" w:cs="Arial" w:eastAsia="Arial" w:hAnsi="Arial"/>
                <w:sz w:val="18"/>
                <w:szCs w:val="18"/>
                <w:color w:val="auto"/>
                <w:w w:val="93"/>
              </w:rPr>
              <w:t>833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20,463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20,463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93" w:lineRule="exact"/>
        <w:rPr>
          <w:sz w:val="20"/>
          <w:szCs w:val="20"/>
          <w:color w:val="auto"/>
        </w:rPr>
      </w:pPr>
    </w:p>
    <w:p>
      <w:pPr>
        <w:ind w:right="200" w:firstLine="177"/>
        <w:spacing w:after="0" w:line="342" w:lineRule="auto"/>
        <w:rPr>
          <w:sz w:val="20"/>
          <w:szCs w:val="20"/>
          <w:color w:val="auto"/>
        </w:rPr>
      </w:pPr>
      <w:r>
        <w:rPr>
          <w:rFonts w:ascii="Arial" w:cs="Arial" w:eastAsia="Arial" w:hAnsi="Arial"/>
          <w:sz w:val="16"/>
          <w:szCs w:val="16"/>
          <w:color w:val="auto"/>
        </w:rPr>
        <w:t>We have certain financial instruments which consist of cash and cash equivalents, marketable securities, accounts receivable, loan receivable, accounts payable, notes payable, derivative liabilities, deferred revenue and long-term debt. Fair value information for each of these instruments is as follows:</w:t>
      </w:r>
    </w:p>
    <w:p>
      <w:pPr>
        <w:spacing w:after="0" w:line="272" w:lineRule="exact"/>
        <w:rPr>
          <w:sz w:val="20"/>
          <w:szCs w:val="20"/>
          <w:color w:val="auto"/>
        </w:rPr>
      </w:pPr>
    </w:p>
    <w:p>
      <w:pPr>
        <w:ind w:left="1140" w:right="20" w:hanging="565"/>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accounts receivable, accounts payable and deferred revenue liabilities fair values approximate their carrying values, due to the expected duration of these instruments.</w:t>
      </w:r>
    </w:p>
    <w:p>
      <w:pPr>
        <w:spacing w:after="0" w:line="21" w:lineRule="exact"/>
        <w:rPr>
          <w:rFonts w:ascii="Arial" w:cs="Arial" w:eastAsia="Arial" w:hAnsi="Arial"/>
          <w:sz w:val="18"/>
          <w:szCs w:val="18"/>
          <w:color w:val="auto"/>
        </w:rPr>
      </w:pPr>
    </w:p>
    <w:p>
      <w:pPr>
        <w:ind w:left="1140" w:right="160" w:hanging="565"/>
        <w:spacing w:after="0" w:line="277" w:lineRule="auto"/>
        <w:tabs>
          <w:tab w:leader="none" w:pos="1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Marketable securities classified as held to maturity, both current and non-current, are recorded at amortized cost, which at June 30, 2021, approximated fair value.</w:t>
      </w:r>
    </w:p>
    <w:p>
      <w:pPr>
        <w:spacing w:after="0" w:line="21"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Loan receivable is recorded at amounts borrowed, which at June 30, 2021, approximated fair value.</w:t>
      </w:r>
    </w:p>
    <w:p>
      <w:pPr>
        <w:spacing w:after="0" w:line="76" w:lineRule="exact"/>
        <w:rPr>
          <w:rFonts w:ascii="Arial" w:cs="Arial" w:eastAsia="Arial" w:hAnsi="Arial"/>
          <w:sz w:val="18"/>
          <w:szCs w:val="18"/>
          <w:color w:val="auto"/>
        </w:rPr>
      </w:pPr>
    </w:p>
    <w:p>
      <w:pPr>
        <w:ind w:left="1140" w:right="20" w:hanging="565"/>
        <w:spacing w:after="0" w:line="263"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had certain derivative instruments accounted for at fair value. We held a convertible promissory note with a preferential conversion feature which qualifies as a derivative instrument. The fair value assumptions consider the nature of the conversion feature and the expected timeline to a qualifying conversion event.</w:t>
      </w:r>
    </w:p>
    <w:p>
      <w:pPr>
        <w:spacing w:after="0" w:line="35" w:lineRule="exact"/>
        <w:rPr>
          <w:rFonts w:ascii="Arial" w:cs="Arial" w:eastAsia="Arial" w:hAnsi="Arial"/>
          <w:sz w:val="18"/>
          <w:szCs w:val="18"/>
          <w:color w:val="auto"/>
        </w:rPr>
      </w:pPr>
    </w:p>
    <w:p>
      <w:pPr>
        <w:ind w:left="1140" w:hanging="565"/>
        <w:spacing w:after="0" w:line="308" w:lineRule="auto"/>
        <w:tabs>
          <w:tab w:leader="none" w:pos="1182"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borrowings of $833 and $829 as of June 30, 2021 and December 30, 2020, respectively. The fair value of these borrowings, which are classified as Level 3, approximates their carrying value at June 30, 2021 as the instrument carries a fixed rate of interest.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360" w:firstLine="324"/>
        <w:spacing w:after="0" w:line="255" w:lineRule="auto"/>
        <w:rPr>
          <w:sz w:val="20"/>
          <w:szCs w:val="20"/>
          <w:color w:val="auto"/>
        </w:rPr>
      </w:pPr>
      <w:r>
        <w:rPr>
          <w:rFonts w:ascii="Arial" w:cs="Arial" w:eastAsia="Arial" w:hAnsi="Arial"/>
          <w:sz w:val="18"/>
          <w:szCs w:val="18"/>
          <w:color w:val="auto"/>
        </w:rPr>
        <w:t>As of June 30, 2021, the Company held investments in mutual funds, municipal bonds and corporate bonds. The mutual funds are recorded at fair value in the accompanying consolidated balance sheet as part of cash and cash equivalents. The municipal and corporate bonds are considered held-to-maturity and are recorded at amortized cost in the accompanying consolidated balance sheet. The fair values of these investments were estimated using recently executed transactions and market price quotations. We consider as current assets those investments which will mature in the next 12 months including interest receivable on the long-term bonds. The remaining investments are considered non-current assets we intend to hold longer than 12 months.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The composition of the Company’s cash and cash equivalents and marketable securities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72,612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Current marketable securities: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20,970</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current marketable securities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Non-current marketable securities: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7,882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marketable securities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34" w:right="33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amortized cost and estimated fair value of held-to-maturity securities as of June 30,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w w:val="92"/>
              </w:rPr>
              <w:t>Unrealized</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20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Current marketable securities (due within 1 year)</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14,955</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20,970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20,942</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Non-current marketable securities (due in 1 year through 5 years)</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7,882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7,863</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 Receivable</w:t>
      </w:r>
    </w:p>
    <w:p>
      <w:pPr>
        <w:spacing w:after="0" w:line="229"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On May 6, 2021, the Company entered into definitive agreements with a customer to provide a secured bridge loan to that customer for working capital purposes in an amount of up to $820 at an interest rate of 18% per annum with maturity date of August 13, 2021. The bridge loan is secured by all of the customer’s assets. On June 30, 2021, the outstanding balance of the bridge loan was rolled into a Construction Loan (as discussed below).</w:t>
      </w:r>
    </w:p>
    <w:p>
      <w:pPr>
        <w:spacing w:after="0" w:line="14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May 10, 2021, the Company entered into several definitive agreements with the customer for (1) facility build-out services in the amount of up to $2,500, (2) leasing of 60 AVFUs and other cultivation equipment, (3) subscription to Agrify Insights software, and (4) other business consultation services. The facility build-out is financed through construction loan advances which bear interest at a rate of 18% per annum, has a maturity date of 24 months from the date the customer commences commercial sales of its products from the AVFUs and is secured by a lien on all of the customer’s assets (“Construction Loan”). The equipment lease was for a term of 10 years. The customer will pay monthly rent based on production from the Company’s AVFUs. The subscription for Agrify Insights software and consultation services will be provided for a term of 10 years, for monthly fixed fees. As of June 30, 2021, the Company has not commenced any lease, subscription or consultation services with the customer.</w:t>
      </w:r>
    </w:p>
    <w:p>
      <w:pPr>
        <w:spacing w:after="0" w:line="17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of June 30, 2021, the customer’s draw-down of principal amount plus accrued interest under the bridge loan of $748 was rolled into the Construction Loan. In addition, on June 30, 2021, the Company agreed to make subsequent construction loans to the customer on similar terms to the existing Construction Loan for future construction needs subject to completion of planning and finalization of definitive documentation, which loans will bear interest at a rate of 12% per annum and have a maturity date of 36 months from the commencement of commercial sale of products harvested from the AVFUs to be installed in connection with the new construction phase.</w:t>
      </w:r>
    </w:p>
    <w:p>
      <w:pPr>
        <w:spacing w:after="0" w:line="188"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As of June 30, 2021, the amount drawn under the Construction Loan is $955 (including the rolled over bridge loan) and is offset by deferred revenue related to the same customer. Amount receivable from the customer presented in the consolidated balance sheet as non-current loan receivable, net of an allowance for $69, amounted to $886.</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Two of the Company’s employees own 36.6% of the customer’s equity. The Company analyzed whether the customer is a variable interest entity (a “VIE”) in accordance with ASC 810 and if so, whether the Company is the primary beneficiary requiring consolidation. Based on the Company’s analysis, the Company has determined that the customer is a VIE but since the Company is not the primary beneficiary of the customer, the Company is not required to consolidate the customer.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Prepaid Expenses and Other Receivables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Receivables consisted of the following as of June 30,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3580" w:type="dxa"/>
            <w:vAlign w:val="bottom"/>
            <w:tcBorders>
              <w:bottom w:val="single" w:sz="8" w:color="CCEEFF"/>
            </w:tcBorders>
          </w:tcPr>
          <w:p>
            <w:pPr>
              <w:spacing w:after="0"/>
              <w:rPr>
                <w:sz w:val="20"/>
                <w:szCs w:val="20"/>
                <w:color w:val="auto"/>
              </w:rPr>
            </w:pPr>
          </w:p>
        </w:tc>
        <w:tc>
          <w:tcPr>
            <w:tcW w:w="5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Prepaid software</w:t>
            </w:r>
          </w:p>
        </w:tc>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5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Construction deposits</w:t>
            </w:r>
          </w:p>
        </w:tc>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3580" w:type="dxa"/>
            <w:vAlign w:val="bottom"/>
            <w:shd w:val="clear" w:color="auto" w:fill="CCEEFF"/>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Pr>
          <w:p>
            <w:pPr>
              <w:spacing w:after="0"/>
              <w:rPr>
                <w:sz w:val="21"/>
                <w:szCs w:val="21"/>
                <w:color w:val="auto"/>
              </w:rPr>
            </w:pPr>
          </w:p>
        </w:tc>
        <w:tc>
          <w:tcPr>
            <w:tcW w:w="5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5100" w:type="dxa"/>
            <w:vAlign w:val="bottom"/>
            <w:vMerge w:val="restart"/>
          </w:tcPr>
          <w:p>
            <w:pPr>
              <w:jc w:val="right"/>
              <w:ind w:right="293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8 — Property and Equipment,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rPr>
              <w:t>Property and equipment, net consisted of the following as of June 30, 2021 and December 31, 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June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Furniture and fixture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Machinery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Vehicle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Leased equipment at customer</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Depreciation expense for the three months ended June 30, 2021 and 2020 was $109 and $19, respectively, and $199 and $38 during the six months ended June 30,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Capitalized website costs, net</w:t>
      </w:r>
    </w:p>
    <w:p>
      <w:pPr>
        <w:spacing w:after="0" w:line="229"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Investments in the Company’s website are amortized over their estimated useful lives of 3 years. As of June 30, 2021 and December 31, 2020, amortizable website cost was $139, and accumulated amortization was $69 and $48, respectively. Amortization expense was $10 for the three months ended June 30, 2021 and 2020, and $21 and $20 for the six months ended June 30, 2021 and 2020,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Intangible Assets and Goodwill</w:t>
      </w:r>
    </w:p>
    <w:p>
      <w:pPr>
        <w:spacing w:after="0" w:line="22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Acquired 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an impairment test of goodwill during the fourth quarter of each year or sooner, if indicators of potential impairment arise. There were no such indicators in the three and six months ended June 30,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breakdown of acquisition-related intangible assets as of December 31, 2020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Brand</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Customer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Rights</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Relationships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w w:val="96"/>
              </w:rPr>
              <w:t>The breakdown of acquisition-related intangible assets as of June 30, 2021 was as follows: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Brand</w:t>
            </w:r>
          </w:p>
        </w:tc>
        <w:tc>
          <w:tcPr>
            <w:tcW w:w="12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Customer</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Rights</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Relationships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Amortization expenses recorded in selling general and administrative in the income statement were $47 and $48 for the three months ended June 30, 2021 and 2020, respectively, and $94 and $83 during the six months ended June 30, 2021 and 2020,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w w:val="93"/>
              </w:rPr>
              <w:t>Estimated amortization expense for the remainder of 2021 and subsequent years for acquired intangible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 and thereafter</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1,510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Goodwill balance as of June 30, 2021 and December 31, 2020 was $632.</w:t>
            </w: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11 — Accrued Expenses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rPr>
              <w:t>Accrued expenses consisted of the following as of June 30, 2021 and December 31, 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Compensation related fees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construction costs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 purchases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Convertible Promissory Notes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January 11, 2021, the Company’s Board of Directors and shareholders approved the amendment to the conversion formula of the Convertible Promissory Notes (the “Notes”) issued by the Company on dates between August 2020 and November 2020. Pursuant to the amendment, immediately prior to the consummation of a public transaction, the outstanding principal amount of the Notes, together with all accrued and unpaid interest, shall convert into a number of fully paid and non-assessable shares of common stock, at a conversion price of $7.72.</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While the original conversion feature was bifurcated from the host instrument, the Company determined that the amended conversion feature would not require bifurcation. Since the accounting for the conversion feature changed because of the amendment, the Company applied extinguishment accounting pursuant to its accounting policy. Accordingly, the Company recognized a gain on extinguishment of $2,685 in connection with the derecognition of the net carrying amount of the extinguished debt of $19,654 (inclusive of $13,100 of principal, $7,141 of derivative liabilities, less $587 of debt discount) and the recognition of the $16,969 fair value of the new convertible notes (including the same principal amount of $13,100 plus the $3,869 fair value of the beneficial conversion feature).</w:t>
      </w:r>
    </w:p>
    <w:p>
      <w:pPr>
        <w:spacing w:after="0" w:line="19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On February 1, 2021, in conjunction with the closing of the Company’s IPO, the Notes in the aggregate principal amount of $13,100 were converted into 1,697,075 shares of common stock at the election of the Company at a conversion price of $7.72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Capital Structure</w:t>
      </w:r>
    </w:p>
    <w:p>
      <w:pPr>
        <w:spacing w:after="0" w:line="229"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 Preferred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Beginning in the first quarter of 2020, we issued an aggregate of 60,000 shares of our Series A Preferred Stock, for an aggregate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$6,000. In May 2020, we completed our offering of Series A Preferred Stock with the issuance of an additional 40,000 shares of Series A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an aggregate purchase price of $4,000.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Amendment of conversion formulas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11, 2021, the Company’s Board of Directors approved the amendment to the conversion formula of the Series A Preferred Stock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After the amendment:</w:t>
      </w:r>
    </w:p>
    <w:p>
      <w:pPr>
        <w:spacing w:after="0" w:line="211" w:lineRule="exact"/>
        <w:rPr>
          <w:sz w:val="20"/>
          <w:szCs w:val="20"/>
          <w:color w:val="auto"/>
        </w:rPr>
      </w:pPr>
    </w:p>
    <w:p>
      <w:pPr>
        <w:ind w:left="660" w:right="2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Series A Preferred Stock is convertible, at any time after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 and</w:t>
      </w:r>
    </w:p>
    <w:p>
      <w:pPr>
        <w:spacing w:after="0" w:line="186"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immediately prior to the consummation of a public transaction, the outstanding principal amount of the Notes together with all accrued and unpaid interest shall convert into a number of fully paid and non-assessable shares of common stock equal to the quotient of (i) the outstanding principal amount of the Notes together with all accrued and unpaid interest thereunder immediately prior to such public transaction divided by (ii) a conversion price of $7.72 (after the reverse split taking effect).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11, 2021, the Company’s shareholders approved the amendment to the Series A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February 1, 2021, the Company completed an initial public offering (“IPO”) for the sale of 5,400,000 shares of common stock at a price of $10.00 per share. The Company also granted the underwriters: (a) a 45-day option to purchase up to 810,000 additional shares of common stock on the same terms and conditions for the purpose of covering any over-allotments in connection with the IPO, and (b) warrants to purchase 162,000 shares of common stock (equal to 3% of the aggregate number of shares of common stock issued in the IPO) at an exercise price of $12.50 per share (which is equal to 125% of the IPO price). Subsequently, the underwriters exercised the over-allotment option, and on February 4, 2021, the Company closed on the sale of an additional 810,000 shares of common stock for a price of $10.00 per share and granted to the underwriters warrants to purchase 24,300 additional shares of common stock (equal to 3% of the amount of shares issued as part of the exercised of the over-allotment option) at an exercise price of $12.50 per share. The exercise of the over-allotment option brought the total number of shares of common stock sold by the Company in connection with the IPO to 6,210,000 shares and the total net proceeds received in connection with the IPO to approximately $57 million, after deducting underwriting discounts and estimated offering expenses.</w:t>
      </w:r>
    </w:p>
    <w:p>
      <w:pPr>
        <w:spacing w:after="0" w:line="18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Immediately prior to the closing of our IPO, all outstanding shares of Series A Preferred Stock and Notes were converted into 1,373,038 shares of common stock and 1,697,075 shares of common stock, respectively, at a conversion price of $7.72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Public Offering</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February 19, 2021, the Company consummated a secondary public offering (the “February Offering”) for the sale of 5,555,555 shares of common stock for a price of $13.50 per share. The Company also granted the underwriters: (a) a 45-day option to purchase up to 833,333 additional shares of common stock on the same terms and conditions for the purpose of covering any over-allotments in connection with the February Offering, and (b) warrants to purchase 166,667 shares of common stock (equal to 3% of the aggregate number of shares of common stock issued in the February Offering) at an exercise price of $16.875 per share (which is equal to 125% of the February Offering). Subsequently, the underwriters exercised the over-allotment option, and on March 22, 2021, the Company closed on the sale of an additional 833,333 shares of common stock for a price of $13.50 per share and granted to the underwriters warrants to purchase 25,000 additional shares of common stock (equal to 3% of the amount of shares issued as part of the exercised of the over-allotment option) at an exercise price of $16.875 per share. The exercise of the over-allotment option brought the total number of shares of common stock sold by the Company in connection with the February Offering to 6,388,888 shares and the total net proceeds received in connection with the February Offering to approximately $80 million, after deducting underwriting discounts and estimated offering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June 4, 2019, the Company adopted and approved the 2019 Stock Option Plan (the “2019 Plan”) which provided for the issuance of 1,743,744 shares of our common stock. On August 10, 2020 and October 8, 2020, the Company’s board of directors and stockholders, respectively, approved an increase to the maximum number of shares of common stock authorized for issuance over the term of the 2019 Plan from 1,743,744 shares to 3,355,083 shares. As of June 30, 2021, there are no shares available to be granted under the 2019 Plan. Prior to the consummation of the Company’s IPO, the Company cancelled the 2019 Plan and converted these stock options to the 2020 Plan, as more fully described below. Under the 2019 Plan, the standard vesting schedule provided that 25% of the options vest 12 months following issuance and the balance vests in 36 equal monthly installments thereafter. However, the Company’s board of directors was permitted to provide for alternative or accelerated vesting schedules in approving each stock option grant. In many cases, the Company’s board of directors included an accelerated vesting schedule under which 50% of the stock options granted vest immediately prior to a change of control transaction or the Company’s first underwritten public offering.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2020 Omnibus Equity Incentive Plan</w:t>
      </w:r>
    </w:p>
    <w:p>
      <w:pPr>
        <w:spacing w:after="0" w:line="229" w:lineRule="exact"/>
        <w:rPr>
          <w:sz w:val="20"/>
          <w:szCs w:val="20"/>
          <w:color w:val="auto"/>
        </w:rPr>
      </w:pPr>
    </w:p>
    <w:p>
      <w:pPr>
        <w:ind w:right="160" w:firstLine="324"/>
        <w:spacing w:after="0" w:line="284" w:lineRule="auto"/>
        <w:rPr>
          <w:sz w:val="20"/>
          <w:szCs w:val="20"/>
          <w:color w:val="auto"/>
        </w:rPr>
      </w:pPr>
      <w:r>
        <w:rPr>
          <w:rFonts w:ascii="Arial" w:cs="Arial" w:eastAsia="Arial" w:hAnsi="Arial"/>
          <w:sz w:val="16"/>
          <w:szCs w:val="16"/>
          <w:color w:val="auto"/>
        </w:rPr>
        <w:t>On December 18, 2020, the Company’s board of directors, and on January 11, 2021, the Company’s stockholders, adopted and approved the 2020 Omnibus Equity Incentive Plan (the “2020 Plan”), which replaced the 2019 Plan. The 2020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the Company or its affiliates. The aggregate number of shares of common stock that may be reserved and available for grant and issuance under the 2020 Plan is 4,533,732 shares. Shares will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w:t>
      </w:r>
    </w:p>
    <w:p>
      <w:pPr>
        <w:spacing w:after="0" w:line="2" w:lineRule="exact"/>
        <w:rPr>
          <w:sz w:val="20"/>
          <w:szCs w:val="20"/>
          <w:color w:val="auto"/>
        </w:rPr>
      </w:pPr>
    </w:p>
    <w:p>
      <w:pPr>
        <w:ind w:right="220"/>
        <w:spacing w:after="0" w:line="209" w:lineRule="auto"/>
        <w:rPr>
          <w:sz w:val="20"/>
          <w:szCs w:val="20"/>
          <w:color w:val="auto"/>
        </w:rPr>
      </w:pPr>
      <w:r>
        <w:rPr>
          <w:rFonts w:ascii="Arial" w:cs="Arial" w:eastAsia="Arial" w:hAnsi="Arial"/>
          <w:sz w:val="18"/>
          <w:szCs w:val="18"/>
          <w:color w:val="auto"/>
        </w:rPr>
        <w:t>under the 2020 Plan. The 2020 Plan shall continue in effect, unless sooner terminated, until the tenth (10</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date on which it is adopted by the board of directors.</w:t>
      </w:r>
    </w:p>
    <w:p>
      <w:pPr>
        <w:spacing w:after="0" w:line="20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January 24, 2021, the Company’s Board of Directors approved grants of options to purchase an aggregate of 144,360 shares of common stock to its directors. The options will expire 10 years from the date of grant and have an exercise price per share of $4.86. 25% of the options vest 12 months following issuance and the balance vests in 36 equal monthly installments thereafter.</w:t>
      </w:r>
    </w:p>
    <w:p>
      <w:pPr>
        <w:spacing w:after="0" w:line="18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February 17, 2021, the Company’s Board of Directors approved grants of options to purchase an aggregate of 1,050,000 shares of common stock to its directors and employees. The options will expire 10 years from the date of grant and have an exercise price per share of $13.84. The options vest in 36 equal monthly installments from the date of grant.</w:t>
      </w:r>
    </w:p>
    <w:p>
      <w:pPr>
        <w:spacing w:after="0" w:line="18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On February 18, 2021, the Company’s Board of Directors approved grants of options to purchase an aggregate of 10,000 shares of common stock to members of the Company’s Board of Advisors. The options will expire 10 years from the date of grant and have an exercise price per share of $14.49. The options were fully vested on the date of grant.</w:t>
      </w:r>
    </w:p>
    <w:p>
      <w:pPr>
        <w:spacing w:after="0" w:line="184"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On May 16, 2021, the Company’s Board of Directors approved grants of options to purchase an aggregate of 219,083 shares of common stock to its employees. The options will expire 10 years from the date of grant and have an exercise price per share of $7.68. 33.3% of the options vest 12 months following issuance and the balance vests in 24 equal monthly installments thereafter.</w:t>
      </w:r>
    </w:p>
    <w:p>
      <w:pPr>
        <w:spacing w:after="0" w:line="184"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The Company’s stock option compensation expense was $931 and $542 for the three months ended June 30, 2021 and 2020, respectively, and $3,066 and $603 for the six months ended June 30, 2021 and 2020, respectively. There was $10,125 of total unrecognized compensation cost related to unvested options granted under the Company’s options plans as of June 30, 2021. This stock option expense will be recognized through 2025.</w:t>
      </w:r>
    </w:p>
    <w:p>
      <w:pPr>
        <w:spacing w:after="0" w:line="149" w:lineRule="exact"/>
        <w:rPr>
          <w:sz w:val="20"/>
          <w:szCs w:val="20"/>
          <w:color w:val="auto"/>
        </w:rPr>
      </w:pPr>
    </w:p>
    <w:p>
      <w:pPr>
        <w:ind w:right="640" w:firstLine="324"/>
        <w:spacing w:after="0" w:line="263"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Company’s assumptions used in the valuation of options granted during the six months ended June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280" w:type="dxa"/>
            <w:vAlign w:val="bottom"/>
          </w:tcPr>
          <w:p>
            <w:pPr>
              <w:jc w:val="right"/>
              <w:spacing w:after="0"/>
              <w:rPr>
                <w:sz w:val="20"/>
                <w:szCs w:val="20"/>
                <w:color w:val="auto"/>
              </w:rPr>
            </w:pPr>
            <w:r>
              <w:rPr>
                <w:rFonts w:ascii="Arial" w:cs="Arial" w:eastAsia="Arial" w:hAnsi="Arial"/>
                <w:sz w:val="18"/>
                <w:szCs w:val="18"/>
                <w:color w:val="auto"/>
              </w:rPr>
              <w:t>1.10% – 1.63%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0% Expected life (years)</w:t>
            </w:r>
          </w:p>
        </w:tc>
        <w:tc>
          <w:tcPr>
            <w:tcW w:w="528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8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there were 311,244 shares available to be granted under the Company’s 2020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05" w:gutter="0" w:footer="0" w:header="0"/>
        </w:sectPr>
      </w:pPr>
    </w:p>
    <w:bookmarkStart w:id="17" w:name="page18"/>
    <w:bookmarkEnd w:id="17"/>
    <w:p>
      <w:pPr>
        <w:ind w:left="340"/>
        <w:spacing w:after="0"/>
        <w:rPr>
          <w:sz w:val="20"/>
          <w:szCs w:val="20"/>
          <w:color w:val="auto"/>
        </w:rPr>
      </w:pPr>
      <w:r>
        <w:rPr>
          <w:rFonts w:ascii="Arial" w:cs="Arial" w:eastAsia="Arial" w:hAnsi="Arial"/>
          <w:sz w:val="16"/>
          <w:szCs w:val="16"/>
          <w:color w:val="auto"/>
        </w:rPr>
        <w:t>The following table presents option activity under the Company’s stock option plans for the six months ended June 30, 2021 and 2020:</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Options outstanding at January 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Expired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Options outstanding at June 30, 2020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3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13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price</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value</w:t>
            </w:r>
          </w:p>
        </w:tc>
      </w:tr>
      <w:tr>
        <w:trPr>
          <w:trHeight w:val="202"/>
        </w:trPr>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493,102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3.16</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6"/>
        </w:trPr>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1,622,719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(502,301)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1"/>
        </w:trPr>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(108,057)</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1,505,463</w:t>
            </w:r>
          </w:p>
        </w:tc>
        <w:tc>
          <w:tcPr>
            <w:tcW w:w="220" w:type="dxa"/>
            <w:vAlign w:val="bottom"/>
          </w:tcPr>
          <w:p>
            <w:pPr>
              <w:spacing w:after="0"/>
              <w:rPr>
                <w:sz w:val="21"/>
                <w:szCs w:val="21"/>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2.31</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Pr>
          <w:p>
            <w:pPr>
              <w:ind w:left="820"/>
              <w:spacing w:after="0" w:line="203" w:lineRule="exact"/>
              <w:rPr>
                <w:sz w:val="20"/>
                <w:szCs w:val="20"/>
                <w:color w:val="auto"/>
              </w:rPr>
            </w:pPr>
            <w:r>
              <w:rPr>
                <w:rFonts w:ascii="Arial" w:cs="Arial" w:eastAsia="Arial" w:hAnsi="Arial"/>
                <w:sz w:val="18"/>
                <w:szCs w:val="18"/>
                <w:color w:val="auto"/>
                <w:w w:val="88"/>
              </w:rPr>
              <w:t>—</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-916305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-633730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-359410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600" w:space="720"/>
            <w:col w:w="3920"/>
          </w:cols>
          <w:pgMar w:left="320" w:top="88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Options outstanding at January 1, 2021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3,133,109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1,420,017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(252,788)</w:t>
            </w:r>
          </w:p>
        </w:tc>
        <w:tc>
          <w:tcPr>
            <w:tcW w:w="4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(326,603)</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Expired</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(4,076)</w:t>
            </w:r>
          </w:p>
        </w:tc>
        <w:tc>
          <w:tcPr>
            <w:tcW w:w="4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3,969,659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w:t>
            </w:r>
          </w:p>
        </w:tc>
        <w:tc>
          <w:tcPr>
            <w:tcW w:w="620" w:type="dxa"/>
            <w:vAlign w:val="bottom"/>
            <w:tcBorders>
              <w:top w:val="single" w:sz="8" w:color="CCEEFF"/>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exercisable as of June 30, 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289,530</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6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Options vested and exercisable as of June 30, 2021</w:t>
            </w: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4.19</w:t>
            </w: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1,801,684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8220" w:type="dxa"/>
            <w:vAlign w:val="bottom"/>
            <w:gridSpan w:val="6"/>
          </w:tcPr>
          <w:p>
            <w:pPr>
              <w:ind w:left="120"/>
              <w:spacing w:after="0"/>
              <w:rPr>
                <w:sz w:val="20"/>
                <w:szCs w:val="20"/>
                <w:color w:val="auto"/>
              </w:rPr>
            </w:pPr>
            <w:r>
              <w:rPr>
                <w:rFonts w:ascii="Arial" w:cs="Arial" w:eastAsia="Arial" w:hAnsi="Arial"/>
                <w:sz w:val="18"/>
                <w:szCs w:val="18"/>
                <w:color w:val="auto"/>
              </w:rPr>
              <w:t>The following table summarizes information about options vested and exercisable at June 30, 2021: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7"/>
              </w:rPr>
              <w:t>Options vested and exercisable</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2"/>
          </w:tcPr>
          <w:p>
            <w:pPr>
              <w:ind w:left="580"/>
              <w:spacing w:after="0" w:line="198" w:lineRule="exact"/>
              <w:rPr>
                <w:sz w:val="20"/>
                <w:szCs w:val="20"/>
                <w:color w:val="auto"/>
              </w:rPr>
            </w:pPr>
            <w:r>
              <w:rPr>
                <w:rFonts w:ascii="Arial" w:cs="Arial" w:eastAsia="Arial" w:hAnsi="Arial"/>
                <w:sz w:val="18"/>
                <w:szCs w:val="18"/>
                <w:b w:val="1"/>
                <w:bCs w:val="1"/>
                <w:color w:val="auto"/>
              </w:rPr>
              <w:t>Weighted average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2740" w:type="dxa"/>
            <w:vAlign w:val="bottom"/>
            <w:gridSpan w:val="2"/>
          </w:tcPr>
          <w:p>
            <w:pPr>
              <w:jc w:val="right"/>
              <w:ind w:right="1400"/>
              <w:spacing w:after="0"/>
              <w:rPr>
                <w:sz w:val="20"/>
                <w:szCs w:val="20"/>
                <w:color w:val="auto"/>
              </w:rPr>
            </w:pPr>
            <w:r>
              <w:rPr>
                <w:rFonts w:ascii="Arial" w:cs="Arial" w:eastAsia="Arial" w:hAnsi="Arial"/>
                <w:sz w:val="18"/>
                <w:szCs w:val="18"/>
                <w:b w:val="1"/>
                <w:bCs w:val="1"/>
                <w:color w:val="auto"/>
              </w:rPr>
              <w:t>Price</w:t>
            </w:r>
          </w:p>
        </w:tc>
        <w:tc>
          <w:tcPr>
            <w:tcW w:w="280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Number of</w:t>
            </w:r>
          </w:p>
        </w:tc>
        <w:tc>
          <w:tcPr>
            <w:tcW w:w="2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remaining contractual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Weighted average</w:t>
            </w:r>
          </w:p>
        </w:tc>
      </w:tr>
      <w:tr>
        <w:trPr>
          <w:trHeight w:val="241"/>
        </w:trPr>
        <w:tc>
          <w:tcPr>
            <w:tcW w:w="220" w:type="dxa"/>
            <w:vAlign w:val="bottom"/>
          </w:tcPr>
          <w:p>
            <w:pPr>
              <w:spacing w:after="0"/>
              <w:rPr>
                <w:sz w:val="20"/>
                <w:szCs w:val="20"/>
                <w:color w:val="auto"/>
              </w:rPr>
            </w:pPr>
          </w:p>
        </w:tc>
        <w:tc>
          <w:tcPr>
            <w:tcW w:w="250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280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options</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life (years)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 price</w:t>
            </w:r>
          </w:p>
        </w:tc>
      </w:tr>
      <w:tr>
        <w:trPr>
          <w:trHeight w:val="216"/>
        </w:trPr>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906,769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740" w:type="dxa"/>
            <w:vAlign w:val="bottom"/>
            <w:gridSpan w:val="2"/>
          </w:tcPr>
          <w:p>
            <w:pPr>
              <w:jc w:val="right"/>
              <w:ind w:right="240"/>
              <w:spacing w:after="0"/>
              <w:rPr>
                <w:sz w:val="20"/>
                <w:szCs w:val="20"/>
                <w:color w:val="auto"/>
              </w:rPr>
            </w:pPr>
            <w:r>
              <w:rPr>
                <w:rFonts w:ascii="Arial" w:cs="Arial" w:eastAsia="Arial" w:hAnsi="Arial"/>
                <w:sz w:val="18"/>
                <w:szCs w:val="18"/>
                <w:color w:val="auto"/>
              </w:rPr>
              <w:t>4.86</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769,641</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r>
      <w:tr>
        <w:trPr>
          <w:trHeight w:val="216"/>
        </w:trPr>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13.84</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115,274</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r>
      <w:tr>
        <w:trPr>
          <w:trHeight w:val="230"/>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740" w:type="dxa"/>
            <w:vAlign w:val="bottom"/>
            <w:gridSpan w:val="2"/>
          </w:tcPr>
          <w:p>
            <w:pPr>
              <w:jc w:val="right"/>
              <w:ind w:right="240"/>
              <w:spacing w:after="0"/>
              <w:rPr>
                <w:sz w:val="20"/>
                <w:szCs w:val="20"/>
                <w:color w:val="auto"/>
              </w:rPr>
            </w:pPr>
            <w:r>
              <w:rPr>
                <w:rFonts w:ascii="Arial" w:cs="Arial" w:eastAsia="Arial" w:hAnsi="Arial"/>
                <w:sz w:val="18"/>
                <w:szCs w:val="18"/>
                <w:color w:val="auto"/>
              </w:rPr>
              <w:t>14.49</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14.49</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options expected to vest after June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6"/>
              </w:rPr>
              <w:t>Options expected to vest</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 w:type="dxa"/>
            <w:vAlign w:val="bottom"/>
          </w:tcPr>
          <w:p>
            <w:pPr>
              <w:spacing w:after="0"/>
              <w:rPr>
                <w:sz w:val="18"/>
                <w:szCs w:val="18"/>
                <w:color w:val="auto"/>
              </w:rPr>
            </w:pPr>
          </w:p>
        </w:tc>
        <w:tc>
          <w:tcPr>
            <w:tcW w:w="2340" w:type="dxa"/>
            <w:vAlign w:val="bottom"/>
            <w:gridSpan w:val="2"/>
          </w:tcPr>
          <w:p>
            <w:pPr>
              <w:jc w:val="right"/>
              <w:ind w:right="1420"/>
              <w:spacing w:after="0"/>
              <w:rPr>
                <w:sz w:val="20"/>
                <w:szCs w:val="20"/>
                <w:color w:val="auto"/>
              </w:rPr>
            </w:pPr>
            <w:r>
              <w:rPr>
                <w:rFonts w:ascii="Arial" w:cs="Arial" w:eastAsia="Arial" w:hAnsi="Arial"/>
                <w:sz w:val="18"/>
                <w:szCs w:val="18"/>
                <w:b w:val="1"/>
                <w:bCs w:val="1"/>
                <w:color w:val="auto"/>
              </w:rPr>
              <w:t>Price</w:t>
            </w:r>
          </w:p>
        </w:tc>
        <w:tc>
          <w:tcPr>
            <w:tcW w:w="280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Number of</w:t>
            </w:r>
          </w:p>
        </w:tc>
        <w:tc>
          <w:tcPr>
            <w:tcW w:w="2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remaining contractual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Weighted average</w:t>
            </w:r>
          </w:p>
        </w:tc>
      </w:tr>
      <w:tr>
        <w:trPr>
          <w:trHeight w:val="241"/>
        </w:trPr>
        <w:tc>
          <w:tcPr>
            <w:tcW w:w="620" w:type="dxa"/>
            <w:vAlign w:val="bottom"/>
          </w:tcPr>
          <w:p>
            <w:pPr>
              <w:spacing w:after="0"/>
              <w:rPr>
                <w:sz w:val="20"/>
                <w:szCs w:val="20"/>
                <w:color w:val="auto"/>
              </w:rPr>
            </w:pPr>
          </w:p>
        </w:tc>
        <w:tc>
          <w:tcPr>
            <w:tcW w:w="210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280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options</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life (years)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 price</w:t>
            </w:r>
          </w:p>
        </w:tc>
      </w:tr>
      <w:tr>
        <w:trPr>
          <w:trHeight w:val="216"/>
        </w:trPr>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389,677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jc w:val="right"/>
              <w:ind w:right="240"/>
              <w:spacing w:after="0"/>
              <w:rPr>
                <w:sz w:val="20"/>
                <w:szCs w:val="20"/>
                <w:color w:val="auto"/>
              </w:rPr>
            </w:pPr>
            <w:r>
              <w:rPr>
                <w:rFonts w:ascii="Arial" w:cs="Arial" w:eastAsia="Arial" w:hAnsi="Arial"/>
                <w:sz w:val="18"/>
                <w:szCs w:val="18"/>
                <w:color w:val="auto"/>
              </w:rPr>
              <w:t>4.86</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624,493</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r>
      <w:tr>
        <w:trPr>
          <w:trHeight w:val="216"/>
        </w:trPr>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7.68</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219,083</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r>
      <w:tr>
        <w:trPr>
          <w:trHeight w:val="230"/>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jc w:val="right"/>
              <w:ind w:right="240"/>
              <w:spacing w:after="0"/>
              <w:rPr>
                <w:sz w:val="20"/>
                <w:szCs w:val="20"/>
                <w:color w:val="auto"/>
              </w:rPr>
            </w:pPr>
            <w:r>
              <w:rPr>
                <w:rFonts w:ascii="Arial" w:cs="Arial" w:eastAsia="Arial" w:hAnsi="Arial"/>
                <w:sz w:val="18"/>
                <w:szCs w:val="18"/>
                <w:color w:val="auto"/>
              </w:rPr>
              <w:t>13.84</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934,726</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r>
      <w:tr>
        <w:trPr>
          <w:trHeight w:val="641"/>
        </w:trPr>
        <w:tc>
          <w:tcPr>
            <w:tcW w:w="6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w:t>
            </w: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14 — Employee Benefit Plan</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the three and six months ended June 30, 2021 and 2020, the Company did not contribute to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Loss Per Share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Net loss per share calculations for all periods have been adjusted to reflect the reverse stock split effected on January 12, 2021. Net loss per share was calculated based on the weighted average number of common stock then outstanding.</w:t>
      </w:r>
    </w:p>
    <w:p>
      <w:pPr>
        <w:spacing w:after="0" w:line="17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Basic net loss per share is calculated using the weighted-average number of common shares outstanding during the periods. Net loss per share, assuming dilution, is calculated using the weighted-average number of common shares outstanding and the dilutive effect of all potentially dilutive securities, including common stock equivalents and convertible securities. Net loss per share, assuming dilution, is equal to basic net loss per share because the effect of dilutive securities outstanding during the periods, including options and warrants computed using the treasury stock method, is anti-dilutive.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basic and diluted net loss per share were as follows (in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6"/>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c>
          <w:tcPr>
            <w:tcW w:w="23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(5,636)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(2,444)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(9,446)</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Accrued dividend attributable to Preferred A Stockholders</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available for common shareholders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 and diluted</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20,344,278</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4,211,677</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16,661,948</w:t>
            </w:r>
          </w:p>
        </w:tc>
        <w:tc>
          <w:tcPr>
            <w:tcW w:w="3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4,139,691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(0.28</w:t>
            </w:r>
          </w:p>
        </w:tc>
        <w:tc>
          <w:tcPr>
            <w:tcW w:w="260" w:type="dxa"/>
            <w:vAlign w:val="bottom"/>
            <w:vMerge w:val="continue"/>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(0.60</w:t>
            </w:r>
          </w:p>
        </w:tc>
        <w:tc>
          <w:tcPr>
            <w:tcW w:w="2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c>
          <w:tcPr>
            <w:tcW w:w="220" w:type="dxa"/>
            <w:vAlign w:val="bottom"/>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During each of the three and six months ended June 30, 2021 and 2020, we excluded the following securities from net loss per share as the effect of including them would have been anti-dilutive. The shares shown represent the number of shares of common stock which would be issued upon conversion in the respective years shown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5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Three and Six Months ended</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tcPr>
          <w:p>
            <w:pPr>
              <w:spacing w:after="0"/>
              <w:rPr>
                <w:sz w:val="20"/>
                <w:szCs w:val="20"/>
                <w:color w:val="auto"/>
              </w:rPr>
            </w:pPr>
          </w:p>
        </w:tc>
        <w:tc>
          <w:tcPr>
            <w:tcW w:w="51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3,969,659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1,505,463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Warrants outstanding</w:t>
            </w:r>
          </w:p>
        </w:tc>
        <w:tc>
          <w:tcPr>
            <w:tcW w:w="5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965,907</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shd w:val="clear" w:color="auto" w:fill="CCEEFF"/>
          </w:tcPr>
          <w:p>
            <w:pPr>
              <w:spacing w:after="0"/>
              <w:rPr>
                <w:sz w:val="21"/>
                <w:szCs w:val="21"/>
                <w:color w:val="auto"/>
              </w:rPr>
            </w:pPr>
          </w:p>
        </w:tc>
        <w:tc>
          <w:tcPr>
            <w:tcW w:w="5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4,935,566</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1,505,463</w:t>
            </w:r>
          </w:p>
        </w:tc>
        <w:tc>
          <w:tcPr>
            <w:tcW w:w="0" w:type="dxa"/>
            <w:vAlign w:val="bottom"/>
          </w:tcPr>
          <w:p>
            <w:pPr>
              <w:spacing w:after="0"/>
              <w:rPr>
                <w:sz w:val="1"/>
                <w:szCs w:val="1"/>
                <w:color w:val="auto"/>
              </w:rPr>
            </w:pPr>
          </w:p>
        </w:tc>
      </w:tr>
      <w:tr>
        <w:trPr>
          <w:trHeight w:val="21"/>
        </w:trPr>
        <w:tc>
          <w:tcPr>
            <w:tcW w:w="354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Arial" w:cs="Arial" w:eastAsia="Arial" w:hAnsi="Arial"/>
                <w:sz w:val="18"/>
                <w:szCs w:val="18"/>
                <w:color w:val="auto"/>
              </w:rPr>
              <w:t>15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our balance sheet and those lease costs are expensed on a straight-line basis over the respective term. Leases with a term greater than 12 months were reflected as non-current right-of-use (ROU) assets and current and non-current lease liabilities in our consolidated balance sheets. Current lease liabilities were classified as a component of accrued expenses and other current liabilities.</w:t>
      </w:r>
    </w:p>
    <w:p>
      <w:pPr>
        <w:spacing w:after="0" w:line="161"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As the implicit interest rate in our leases was generally not known, we used our incremental borrowing rate as the discount rate for purposes of determining the present value of our lease liabilities. At June 30, 2021, our weighted average discount rate utilized for our leases was 8.04%.</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When a contract contained lease and non-lease elements, both were accounted as a single lease component.</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Company had several non-cancellable finance leases for machinery and equipment. During the six months ended June 30, 2021, the Company entered into several leases for premises in Georgia and one office space lease in Billerica, Massachusetts. Those leases had terms of more than a year and were accounted as operating leases.</w:t>
      </w:r>
    </w:p>
    <w:p>
      <w:pPr>
        <w:spacing w:after="0" w:line="18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February 5, 2021, the Company executed a sixty-two-month lease for office spaces in Billerica, MA. The Company will spend $193 on leasehold improvements and plans to occupy the space beginning June 1, 2021, which is when the lease will commence. The minimum lease liability for the initial lease term amounts to $530 (base lease and other operating fees). The Company has an option to extend the initial lease term by an additional five-year term.</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of our lease activity, for the three and six months ended June 30, 2021 and 2020,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20" w:type="dxa"/>
            <w:vAlign w:val="bottom"/>
            <w:gridSpan w:val="4"/>
          </w:tcPr>
          <w:p>
            <w:pPr>
              <w:jc w:val="right"/>
              <w:ind w:right="121"/>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Six Months ended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June 30,</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70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Finance lease cost: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right-of-use assets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8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80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60</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lease cost</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800" w:type="dxa"/>
            <w:vAlign w:val="bottom"/>
          </w:tcPr>
          <w:p>
            <w:pPr>
              <w:jc w:val="right"/>
              <w:ind w:right="638"/>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126</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60</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196</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4860" w:type="dxa"/>
            <w:vAlign w:val="bottom"/>
          </w:tcPr>
          <w:p>
            <w:pPr>
              <w:spacing w:after="0"/>
              <w:rPr>
                <w:sz w:val="20"/>
                <w:szCs w:val="20"/>
                <w:color w:val="auto"/>
              </w:rPr>
            </w:pPr>
          </w:p>
        </w:tc>
        <w:tc>
          <w:tcPr>
            <w:tcW w:w="4900" w:type="dxa"/>
            <w:vAlign w:val="bottom"/>
            <w:gridSpan w:val="2"/>
          </w:tcPr>
          <w:p>
            <w:pPr>
              <w:ind w:left="416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120" w:type="dxa"/>
            <w:vAlign w:val="bottom"/>
          </w:tcPr>
          <w:p>
            <w:pPr>
              <w:ind w:left="38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37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5"/>
              </w:rPr>
              <w:t>3.38 years</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Weighted-average remaining lease term – finance leases</w:t>
            </w:r>
          </w:p>
        </w:tc>
        <w:tc>
          <w:tcPr>
            <w:tcW w:w="3780" w:type="dxa"/>
            <w:vAlign w:val="bottom"/>
          </w:tcPr>
          <w:p>
            <w:pPr>
              <w:spacing w:after="0"/>
              <w:rPr>
                <w:sz w:val="18"/>
                <w:szCs w:val="18"/>
                <w:color w:val="auto"/>
              </w:rPr>
            </w:pP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3.51 years</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operating leases</w:t>
            </w:r>
          </w:p>
        </w:tc>
        <w:tc>
          <w:tcPr>
            <w:tcW w:w="5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Weighted-average discount rate – finance leases</w:t>
            </w:r>
          </w:p>
        </w:tc>
        <w:tc>
          <w:tcPr>
            <w:tcW w:w="5160" w:type="dxa"/>
            <w:vAlign w:val="bottom"/>
            <w:gridSpan w:val="3"/>
          </w:tcPr>
          <w:p>
            <w:pPr>
              <w:jc w:val="right"/>
              <w:ind w:right="120"/>
              <w:spacing w:after="0"/>
              <w:rPr>
                <w:sz w:val="20"/>
                <w:szCs w:val="20"/>
                <w:color w:val="auto"/>
              </w:rPr>
            </w:pPr>
            <w:r>
              <w:rPr>
                <w:rFonts w:ascii="Arial" w:cs="Arial" w:eastAsia="Arial" w:hAnsi="Arial"/>
                <w:sz w:val="18"/>
                <w:szCs w:val="18"/>
                <w:color w:val="auto"/>
              </w:rPr>
              <w:t>8.08%</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641"/>
        </w:trPr>
        <w:tc>
          <w:tcPr>
            <w:tcW w:w="48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right"/>
              <w:ind w:right="2830"/>
              <w:spacing w:after="0"/>
              <w:rPr>
                <w:sz w:val="20"/>
                <w:szCs w:val="20"/>
                <w:color w:val="auto"/>
              </w:rPr>
            </w:pPr>
            <w:r>
              <w:rPr>
                <w:rFonts w:ascii="Arial" w:cs="Arial" w:eastAsia="Arial" w:hAnsi="Arial"/>
                <w:sz w:val="18"/>
                <w:szCs w:val="18"/>
                <w:color w:val="auto"/>
              </w:rPr>
              <w:t>16</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Operating lease liabilities, non- current</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 current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Finance lease liabilities, non- current</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4"/>
            <w:vMerge w:val="restart"/>
          </w:tcPr>
          <w:p>
            <w:pPr>
              <w:jc w:val="right"/>
              <w:ind w:right="541"/>
              <w:spacing w:after="0"/>
              <w:rPr>
                <w:sz w:val="20"/>
                <w:szCs w:val="20"/>
                <w:color w:val="auto"/>
              </w:rPr>
            </w:pPr>
            <w:r>
              <w:rPr>
                <w:rFonts w:ascii="Arial" w:cs="Arial" w:eastAsia="Arial" w:hAnsi="Arial"/>
                <w:sz w:val="18"/>
                <w:szCs w:val="18"/>
                <w:color w:val="auto"/>
                <w:w w:val="94"/>
              </w:rPr>
              <w:t>As of June 30, 2021, the maturities of lease liabilities under non-cancellable finance leases were as follows: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24"/>
                <w:szCs w:val="24"/>
                <w:color w:val="auto"/>
              </w:rPr>
            </w:pPr>
          </w:p>
        </w:tc>
        <w:tc>
          <w:tcPr>
            <w:tcW w:w="116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8"/>
              </w:rPr>
              <w:t>Finance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rPr>
              <w:t>lease</w:t>
            </w:r>
          </w:p>
        </w:tc>
        <w:tc>
          <w:tcPr>
            <w:tcW w:w="160" w:type="dxa"/>
            <w:vAlign w:val="bottom"/>
          </w:tcPr>
          <w:p>
            <w:pPr>
              <w:spacing w:after="0"/>
              <w:rPr>
                <w:sz w:val="20"/>
                <w:szCs w:val="20"/>
                <w:color w:val="auto"/>
              </w:rPr>
            </w:pPr>
          </w:p>
        </w:tc>
        <w:tc>
          <w:tcPr>
            <w:tcW w:w="116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79"/>
              </w:rPr>
              <w:t>lease</w:t>
            </w:r>
          </w:p>
        </w:tc>
        <w:tc>
          <w:tcPr>
            <w:tcW w:w="220" w:type="dxa"/>
            <w:vAlign w:val="bottom"/>
          </w:tcPr>
          <w:p>
            <w:pPr>
              <w:spacing w:after="0"/>
              <w:rPr>
                <w:sz w:val="20"/>
                <w:szCs w:val="20"/>
                <w:color w:val="auto"/>
              </w:rPr>
            </w:pPr>
          </w:p>
        </w:tc>
        <w:tc>
          <w:tcPr>
            <w:tcW w:w="10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 the year ending December 31,</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January 5, 2021, the Company received a demand letter from Nicholas Cooper and Richard Weinstein (two of the Company’s former employees) and one of Mr. Cooper’s affiliated entities, asserting that Messrs. Cooper and Weinstein were entitled to compensation arising out of their employment by the Company, and their partial ownership of TriGrow Systems, Inc. The demand letter asserts that the former employees are due certain sales commissions under their applicable bonus plan, equity earn-outs based on certain sales targets, and various equity purchases through our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7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On January 19, 2021, Messrs. Cooper and Weinstein filed a lawsuit against the Company in the United States District Court for the Western District of Washington, alleging the same claims made in their demand letter based on the facts disclosed above. The plaintiffs are seeking relief in the form of monetary damages in an amount to be determined. Messrs. Cooper and Weinstein are also seeking relief in the form of reinstatement and Mr. Weinstein is seeking rescission of his Release of Claims Agreement. On March 10, 2021, the Company moved to dismiss all Cooper and Weinstein’s claims, asserting that the claims failed to allege legal grounds for relief. On May 12, 2021, a Magistrate issued a preliminary Report and Recommendation, which recommended dismissal of certain of Cooper and Weinstein’s claims, and recommended others for additional factual discovery. On July 27, 2021, a District Judge entered an order partially adopting the Report and Recommendation, dismissing one claim with prejudice, dismissing a second claim with leave to amend, and permitting the remaining claims to proceed. The Company does not believe these claims have any merit and intend to vigorously defend against them.</w:t>
      </w:r>
    </w:p>
    <w:p>
      <w:pPr>
        <w:spacing w:after="0" w:line="196"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Additionally, on July 29, 2021, the Company filed a separate arbitration in Boston, Massachusetts against Cooper and Weinstein, in which the Company alleges that Cooper and Weinstein were liable for certain conduct during the time they were TriGrow employees, including breach of fiduciary duty, unjust enrichment, usurpation of corporate opportunity, conversion, fraudulent concealment, and false representation. Also on July 29, 2021, the Company submitted a claim for indemnification to certain legacy TriGrow Systems, Inc. shareholders (the “Indemnifying Stockholders”). The claim for indemnification relates to conduct by Cooper and Weinstein during the time they were TriGrow employees.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 with Mack Molding Co.</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December 2020, the Company entered into a five-year supply agreement with Mack Molding Co. (“Mack”) pursuant to which Mack will become a key supplier of our AVFUs. In February 2021, the Company placed a purchase order with Mack amounting to approximately $5,200 towards initial production of AVFUs during 2021. In June 2021, the Company increased the purchase order with Mack to approximately $11,500 towards production of AVFUs during 2021 and 2022. We believe the supply agreement with Mack will provide us with increased scaling capabilities and the ability to more efficiently meet the potential future demand of our customers.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20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Distribution Agreements with Related Parties</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On June 7, 2019, the Company entered into a distribution agreement with Bluezone Products, Inc. (“Bluezone”) for distribution rights to the Bluezone products with certain exclusivity rights. The agreement requires minimum purchases amounting to $480 and $600 for the first and second contract anniversary years. The agreement auto renews for successive one-year periods unless earlier terminated. In March 2021, the Company notified Bluezone of non-renewal of the agreement which means it will end on May 31, 2021. The Company exceeded the minimum purchase amount for the first year and purchased approximately $532 of the committed $660 second year purchases through June 30, 2021. Bluezone is a related party to the Company.</w:t>
      </w:r>
    </w:p>
    <w:p>
      <w:pPr>
        <w:spacing w:after="0" w:line="16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On March 9, 2020, the Company entered into a distribution agreement with Enozo Technologies Inc. (“Enozo”), for an initial term of five years with auto renewal for successive one-year periods unless earlier terminated. The agreement contains the following minimum purchases to retain exclusive distributor status for one of our products: for the period from the contract date until December 31, 2021 for $375, for the year ended December 31, 2022 for $750, and for the year ended December 31, 2023 for $1,125, which amount may increase by 3% for the later years. The Company had no purchases of that Enozo product during the six months ended June 30, 2021 and 2020. Enozo is a related party to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Committed Purchase Agreement with Related party</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On July 28, 2020, the Company entered into a purchase agreement with 4D Bios (“4D”) to secure purchases of horticultural equipment. The agreement requires minimum purchases of between $577 and $607 of 4D products until December 31, 2020. 4D is a related party to the Company.</w:t>
      </w:r>
    </w:p>
    <w:p>
      <w:pPr>
        <w:spacing w:after="0" w:line="14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the year ended December 31, 2020, the Company’s purchase commitment totaled $1,904. The Company settled $1,056 and accrued $848 of such commitment, leaving no open committed purchases as of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Parties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Some of the officers and directors of the Company are involved in other business activities and may, in the future, become involved in other business opportunities that become available.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describes the net purchasing (sales)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Six Months ended</w:t>
            </w:r>
          </w:p>
        </w:tc>
      </w:tr>
      <w:tr>
        <w:trPr>
          <w:trHeight w:val="241"/>
        </w:trPr>
        <w:tc>
          <w:tcPr>
            <w:tcW w:w="3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w w:val="97"/>
              </w:rPr>
              <w:t>June 30,</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Bluezone</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93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4D Bios</w:t>
            </w:r>
          </w:p>
        </w:tc>
        <w:tc>
          <w:tcPr>
            <w:tcW w:w="258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Enozo</w:t>
            </w:r>
          </w:p>
        </w:tc>
        <w:tc>
          <w:tcPr>
            <w:tcW w:w="258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Valiant Americas, LLC.</w:t>
            </w:r>
          </w:p>
        </w:tc>
        <w:tc>
          <w:tcPr>
            <w:tcW w:w="258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640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1,717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Living Greens farm</w:t>
            </w:r>
          </w:p>
        </w:tc>
        <w:tc>
          <w:tcPr>
            <w:tcW w:w="258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32"/>
        </w:trPr>
        <w:tc>
          <w:tcPr>
            <w:tcW w:w="8680" w:type="dxa"/>
            <w:vAlign w:val="bottom"/>
            <w:gridSpan w:val="10"/>
          </w:tcPr>
          <w:p>
            <w:pPr>
              <w:ind w:left="340"/>
              <w:spacing w:after="0"/>
              <w:rPr>
                <w:sz w:val="20"/>
                <w:szCs w:val="20"/>
                <w:color w:val="auto"/>
              </w:rPr>
            </w:pPr>
            <w:r>
              <w:rPr>
                <w:rFonts w:ascii="Arial" w:cs="Arial" w:eastAsia="Arial" w:hAnsi="Arial"/>
                <w:sz w:val="18"/>
                <w:szCs w:val="18"/>
                <w:color w:val="auto"/>
                <w:w w:val="90"/>
              </w:rPr>
              <w:t>The following table summarizes net related party (payable) receivable as of June 30, 2021 and December 31, 2020: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June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Bluezone</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4D Bios</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Valiant Americas, LLC.</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(4,246)</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Living Greens Farm</w:t>
            </w: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641"/>
        </w:trPr>
        <w:tc>
          <w:tcPr>
            <w:tcW w:w="36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The information contained in this Form 10-Q is intended to update the information contained in our Annual Report on Form 10-K for the year ended December 31, 2020 filed with the Securities and Exchange Commission on April 2, 2021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Form 10-Q.</w:t>
      </w:r>
    </w:p>
    <w:p>
      <w:pPr>
        <w:spacing w:after="0" w:line="18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factors described in our Form 10-K in the section entitled “Risk Factors”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6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Except as otherwise indicated herein or as the context otherwise requires, references in this quarterly report to “we,” “us,” “our,” “Company,” and “Agrify” refer to Agrify Corporation, a Nevada corporation.</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i w:val="1"/>
          <w:iCs w:val="1"/>
          <w:color w:val="auto"/>
        </w:rPr>
        <w:t>As described elsewhere in this report, all share and per share amounts set forth below have been presented on a retroactive basis to reflect a 1-for-1.581804 reverse stock split of our outstanding common stock implemented on January 12,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are a developer of highly advanced and proprietary precision hardware and software grow solutions for the indoor agriculture marketplace. We believe we are the only company with an automated and fully integrated grow solution in the industry. We believe our Agrify “Precision Elevated™”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sector.</w:t>
      </w:r>
    </w:p>
    <w:p>
      <w:pPr>
        <w:spacing w:after="0" w:line="164"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have five wholly-owned subsidiaries, AGM Service Corp LLC (formerly AGM Service Corp Inc.), TriGrow Systems, LLC (“TriGrow”, which acted as our exclusive distributor and which was acquired in January 2020 as TriGrow Systems, Inc. and converted to TriGrow Systems, LLC in May 2020), Harbor Mountain Holdings, LLC (“HMH”, which assembled and produced many of our products and which was acquired in July 2020), Ariafy Finance, LLC and Agxion, LLC. We also own 50% of Teejan Podponics International LLC (“TPI”) since December 2018; 60% of Agrify-Valiant, LLC, formed in December 2019; and 75% of Agrify Brands, LLC (formerly TriGrow Brands, LLC, which was acquired as part of the January 2020 acquisition of TriGrow). For further details about the January 2020 and July 2020 acquisitions please refer to our Annual Report on Form 10-K for the year ended December 31, 2020 filed with the U.S. Securities and Exchange Commission (“SEC”) on April 2,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Initial Public Offering</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February 1, 2021, we completed an initial public offering (“IPO”) for the sale of 5,400,000 shares of our common stock at a price of $10.00 per share. We also granted the underwriters: (a) a 45-day option to purchase up to 810,000 additional shares of common stock on the same terms and conditions for the purpose of covering any over-allotments in connection with the IPO, and (b) warrants to purchase 162,000 shares of common stock (equal to 3% of the aggregate number of shares of common stock issued in the IPO) at an exercise price of $12.50 per share (which is equal to 125% of the IPO price). Subsequently, the underwriters exercised the over-allotment option, and on February 4, 2021, we closed on the sale of an additional 810,000 shares of common stock for a price of $10.00 per share and granted to the underwriters warrants to purchase 24,300 additional shares of common stock (equal to 3% of the amount of shares issued as part of the exercise of the over-allotment option) at an exercise price of $12.50 per share. The exercise of the over-allotment option brought the total number of shares of common stock sold by us in connection with the IPO to 6,210,000 shares and the total net proceeds received in connection with the IPO to approximately $57 million, after deducting underwriting discounts and estimated offering expenses.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i w:val="1"/>
          <w:iCs w:val="1"/>
          <w:color w:val="auto"/>
        </w:rPr>
        <w:t>Subsequent Public Offering</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February 19, 2021, we consummated a secondary public offering (the “February Offering”) for the sale of 5,555,555 shares of our common stock for a price of $13.50 per share. We also granted the underwriters: (a) a 45-day option to purchase up to 833,333 additional shares of common stock on the same terms and conditions for the purpose of covering any over-allotments in connection with the February Offering, and (b) warrants to purchase 166,667 shares of common stock (equal to 3% of the aggregate number of shares of common stock issued in the February Offering) at an exercise price of $16.875 per share (which is equal to 125% of the February Offering). Subsequently, the underwriters exercised the over-allotment option, and on March 22, 2021, we closed on the sale of an additional 833,333 shares of common stock for a price of $13.50 per share and granted to the underwriters warrants to purchase 25,000 additional shares of common stock (equal to 3% of the amount of shares issued as part of the exercised of the over-allotment option) at an exercise price of $16.875 per share. The exercise of the over-allotment option brought the total number of shares of common stock sold by us in connection with the February Offering to 6,388,888 shares and the total net proceeds received in connection with the February Offering to approximately $80 million, after deducting underwriting discounts and estimated offering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Beginning in the first quarter of 2020, we issued an aggregate of 60,000 shares of our Series A Convertible Preferred Stock, or Series A Preferred Stock, for an aggregate purchase price of $6,000,000. In May 2020, we completed our offering of Series A Preferred with the issuance of an additional 40,000 shares of Series A Preferred for an aggregate purchase price of $4,000,000. All outstanding shares of Series A Preferred Stock automatically converted immediately prior to the closing of our IPO into 1,373,038 shares of common stock at a conversion price of $7.72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Coronavirus (“COVID-19”) Pandemic</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coronavirus (“COVID-19”) was first identified in people in late 2019. COVID-19 spread rapidly throughout the world and, in March 2020, the World Health Organization characterized COVID-19 as a pandemic. COVID-19 is a pandemic of respiratory disease spreading from person-to-person that poses a serious public health risk. It has significantly disrupted supply chains and businesses around the world. The extent and duration of the COVID-19 impact, on our operations and financial position and on the global economy, is uncertain. Uncertainty remains regarding the length of time it will take for the COVID-19 pandemic to subside, including the time it will take for vaccines to be broadly distributed and accepted in the United States and the rest of the world, and the effectiveness of such vaccines in slowing or stopping the spread of COVID-19 and mitigating the economic effects of the pandemic. We continue to service our customers amid uncertainty and disruption linked to COVID-19 and are actively managing our business to respond to the impact.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Financial Overview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13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 from the following sources: (1) equipment sales, (2) services sales and (3) construction contracts.</w:t>
      </w:r>
    </w:p>
    <w:p>
      <w:pPr>
        <w:spacing w:after="0" w:line="131"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We sell our equipment and services to customers under a combination of a contract and purchase order. Equipment revenue includes sales from proprietary products designed and engineered by us such as vertical farming units, container farms, integrated grow racks, and LED grow lights, and non-proprietary products designed, engineered, and manufactured by third parties such as air cleaning systems and pesticide-free surface protection.</w:t>
      </w:r>
    </w:p>
    <w:p>
      <w:pPr>
        <w:spacing w:after="0" w:line="5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two main sub-contractors to execute the construction contracts.</w:t>
      </w:r>
    </w:p>
    <w:p>
      <w:pPr>
        <w:spacing w:after="0" w:line="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generally provide a one-year warranty on its products for materials and workmanship but may provide multiple year warranties as negotiated, and will pass on the warranties from its vendors, if any, which generally covers this one-year period. In accordance with ASC 450-20-25, we accrue for product warranties when the loss is probable and can be reasonably estimated. At June 30, 2021, we had no product warranty accrual our de minimis historical financial warranty experience.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35"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54" w:lineRule="exact"/>
        <w:rPr>
          <w:sz w:val="20"/>
          <w:szCs w:val="20"/>
          <w:color w:val="auto"/>
        </w:rPr>
      </w:pPr>
    </w:p>
    <w:p>
      <w:pPr>
        <w:ind w:right="640" w:firstLine="324"/>
        <w:spacing w:after="0" w:line="263"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8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8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 is important that the discussion of our operating results that follows be read in conjunction with the critical accounting policies disclosed above.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Fair Value of Common Stock</w:t>
      </w:r>
    </w:p>
    <w:p>
      <w:pPr>
        <w:spacing w:after="0" w:line="13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Historically, for all periods prior to our IPO, the fair values of the shares of common stock underlying our share-based awards were determined on each grant date by our board of directors.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the rights, preferences and privileges of our convertible preferred stock relative to those of our common stock; our financial condition and operating results, including our levels of available capital resources; equity market conditions affecting comparable public companies; general U.S. market conditions; and the lack of marketability of our common stock. Valuations of our common stock were prepared by an unrelated third-party valuation firm in accordance with the guidance provided by the American Institute of Certified Public Accountants Practice Guide, Valuation of Privately-Held-Company Equity Securities Issued as Compensation.</w:t>
      </w:r>
    </w:p>
    <w:p>
      <w:pPr>
        <w:spacing w:after="0" w:line="84"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For our valuation performed on March 20, 2020 and September 14, 2020, we used the income and market methods to estimate our enterprise value under various financing scenarios based on the discounted cash flow approach and a market approach of comparable peer public companies. The estimated enterprise value under each method was then allocated to the common stock, discount for lack of marketability was applied, and the resulting value of common stock was probability-weighted across the various financing scenarios to determine the fair value of common stock.</w:t>
      </w:r>
    </w:p>
    <w:p>
      <w:pPr>
        <w:spacing w:after="0" w:line="77"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2021 and 2020</w:t>
      </w:r>
    </w:p>
    <w:p>
      <w:pPr>
        <w:spacing w:after="0" w:line="14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summarizes our results of operations for the three and six months ended June 30, 2021 as compared to the three and six months ended June 30,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21"/>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11,825,000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11,298,000</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2,890,000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18,846,000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3,862,000</w:t>
            </w:r>
          </w:p>
        </w:tc>
        <w:tc>
          <w:tcPr>
            <w:tcW w:w="0" w:type="dxa"/>
            <w:vAlign w:val="bottom"/>
          </w:tcPr>
          <w:p>
            <w:pPr>
              <w:spacing w:after="0"/>
              <w:rPr>
                <w:sz w:val="1"/>
                <w:szCs w:val="1"/>
                <w:color w:val="auto"/>
              </w:rPr>
            </w:pPr>
          </w:p>
        </w:tc>
      </w:tr>
      <w:tr>
        <w:trPr>
          <w:trHeight w:val="216"/>
        </w:trPr>
        <w:tc>
          <w:tcPr>
            <w:tcW w:w="54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Gross (loss) profit</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527,000</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1,018,000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(13,000)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1,059,000</w:t>
            </w:r>
          </w:p>
        </w:tc>
        <w:tc>
          <w:tcPr>
            <w:tcW w:w="0" w:type="dxa"/>
            <w:vAlign w:val="bottom"/>
          </w:tcPr>
          <w:p>
            <w:pPr>
              <w:spacing w:after="0"/>
              <w:rPr>
                <w:sz w:val="1"/>
                <w:szCs w:val="1"/>
                <w:color w:val="auto"/>
              </w:rPr>
            </w:pPr>
          </w:p>
        </w:tc>
      </w:tr>
      <w:tr>
        <w:trPr>
          <w:trHeight w:val="216"/>
        </w:trPr>
        <w:tc>
          <w:tcPr>
            <w:tcW w:w="54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774,000</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743,000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1,656,000</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1,943,000</w:t>
            </w:r>
          </w:p>
        </w:tc>
        <w:tc>
          <w:tcPr>
            <w:tcW w:w="0" w:type="dxa"/>
            <w:vAlign w:val="bottom"/>
          </w:tcPr>
          <w:p>
            <w:pPr>
              <w:spacing w:after="0"/>
              <w:rPr>
                <w:sz w:val="1"/>
                <w:szCs w:val="1"/>
                <w:color w:val="auto"/>
              </w:rPr>
            </w:pPr>
          </w:p>
        </w:tc>
      </w:tr>
      <w:tr>
        <w:trPr>
          <w:trHeight w:val="25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5,181,000</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2,713,000</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10,255,000</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5,003,000</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operating expenses</w:t>
            </w:r>
          </w:p>
        </w:tc>
        <w:tc>
          <w:tcPr>
            <w:tcW w:w="5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5,955,000</w:t>
            </w:r>
          </w:p>
        </w:tc>
        <w:tc>
          <w:tcPr>
            <w:tcW w:w="2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3,456,000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11,911,000</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6,946,000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Operating loss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(5,428,000)</w:t>
            </w:r>
          </w:p>
        </w:tc>
        <w:tc>
          <w:tcPr>
            <w:tcW w:w="26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(2,438,000)</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(11,924,000)</w:t>
            </w: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5"/>
              </w:rPr>
              <w:t>(5,887,000)</w:t>
            </w:r>
          </w:p>
        </w:tc>
        <w:tc>
          <w:tcPr>
            <w:tcW w:w="0" w:type="dxa"/>
            <w:vAlign w:val="bottom"/>
          </w:tcPr>
          <w:p>
            <w:pPr>
              <w:spacing w:after="0"/>
              <w:rPr>
                <w:sz w:val="1"/>
                <w:szCs w:val="1"/>
                <w:color w:val="auto"/>
              </w:rPr>
            </w:pPr>
          </w:p>
        </w:tc>
      </w:tr>
      <w:tr>
        <w:trPr>
          <w:trHeight w:val="216"/>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55,000</w:t>
            </w:r>
          </w:p>
        </w:tc>
        <w:tc>
          <w:tcPr>
            <w:tcW w:w="2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(41,000)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23,000</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(63,000)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(63,000)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460" w:type="dxa"/>
            <w:vAlign w:val="bottom"/>
          </w:tcPr>
          <w:p>
            <w:pPr>
              <w:spacing w:after="0"/>
              <w:rPr>
                <w:sz w:val="20"/>
                <w:szCs w:val="20"/>
                <w:color w:val="auto"/>
              </w:rPr>
            </w:pPr>
            <w:r>
              <w:rPr>
                <w:rFonts w:ascii="Arial" w:cs="Arial" w:eastAsia="Arial" w:hAnsi="Arial"/>
                <w:sz w:val="18"/>
                <w:szCs w:val="18"/>
                <w:color w:val="auto"/>
              </w:rPr>
              <w:t>Gain on extinguishment of notes payable</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2,685,000</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460" w:type="dxa"/>
            <w:vAlign w:val="bottom"/>
          </w:tcPr>
          <w:p>
            <w:pPr>
              <w:spacing w:after="0" w:line="203" w:lineRule="exact"/>
              <w:rPr>
                <w:sz w:val="20"/>
                <w:szCs w:val="20"/>
                <w:color w:val="auto"/>
              </w:rPr>
            </w:pPr>
            <w:r>
              <w:rPr>
                <w:rFonts w:ascii="Arial" w:cs="Arial" w:eastAsia="Arial" w:hAnsi="Arial"/>
                <w:sz w:val="18"/>
                <w:szCs w:val="18"/>
                <w:color w:val="auto"/>
              </w:rPr>
              <w:t>Net loss before non-controlling interest</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7"/>
              </w:rPr>
              <w:t>(5,436,000)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w w:val="91"/>
              </w:rPr>
              <w:t>(2,479,000)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w w:val="99"/>
              </w:rPr>
              <w:t>(9,279,000)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89"/>
              </w:rPr>
              <w:t>(5,923,000)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Gain (loss) attributable to non-controlling interest</w:t>
            </w: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200,000</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167,000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loss attributable to Agrify Corporation.</w:t>
            </w: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7"/>
        </w:trPr>
        <w:tc>
          <w:tcPr>
            <w:tcW w:w="5460" w:type="dxa"/>
            <w:vAlign w:val="bottom"/>
            <w:vMerge w:val="continue"/>
          </w:tcPr>
          <w:p>
            <w:pPr>
              <w:spacing w:after="0"/>
              <w:rPr>
                <w:sz w:val="24"/>
                <w:szCs w:val="24"/>
                <w:color w:val="auto"/>
              </w:rPr>
            </w:pPr>
          </w:p>
        </w:tc>
        <w:tc>
          <w:tcPr>
            <w:tcW w:w="7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(5,636,000</w:t>
            </w:r>
          </w:p>
        </w:tc>
        <w:tc>
          <w:tcPr>
            <w:tcW w:w="260" w:type="dxa"/>
            <w:vAlign w:val="bottom"/>
            <w:vMerge w:val="continue"/>
          </w:tcPr>
          <w:p>
            <w:pPr>
              <w:spacing w:after="0"/>
              <w:rPr>
                <w:sz w:val="24"/>
                <w:szCs w:val="24"/>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(2,444,000</w:t>
            </w:r>
          </w:p>
        </w:tc>
        <w:tc>
          <w:tcPr>
            <w:tcW w:w="22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(9,446,000</w:t>
            </w:r>
          </w:p>
        </w:tc>
        <w:tc>
          <w:tcPr>
            <w:tcW w:w="220" w:type="dxa"/>
            <w:vAlign w:val="bottom"/>
            <w:vMerge w:val="continue"/>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(5,857,000</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1"/>
              </w:rPr>
              <w:t>Net loss per share attributable to common stockholders – basic and diluted</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20,344,278</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4,211,677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16,661,948</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4,139,691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520" w:type="dxa"/>
            <w:vAlign w:val="bottom"/>
            <w:vMerge w:val="restart"/>
          </w:tcPr>
          <w:p>
            <w:pPr>
              <w:jc w:val="right"/>
              <w:ind w:right="170"/>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goal is to provide our customers with a variety of products to address their entire indoor agriculture needs. Our core product offering includes our Agrify Vertical Farming Units (or AVFUs) and Agrify Integrated Grow Racks with our Agrify Insights™ software, which in 2020 and 2021 are supplemented with environmental control products, grow lights, and facility build-out services.</w:t>
      </w:r>
    </w:p>
    <w:p>
      <w:pPr>
        <w:spacing w:after="0" w:line="184"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During the first quarter of 2020 and in parallel with the outbreak of the COVID-19 virus, we experienced a disruption in the supply chain that delay the delivery of several components necessary to the manufacturing of our AVFUs and, as a result, delivery of several AVFUs was delayed to April 2020.</w:t>
      </w:r>
    </w:p>
    <w:p>
      <w:pPr>
        <w:spacing w:after="0" w:line="124"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We generate revenue from sales of cultivation solutions, including ancillary products and services, Agrify Insights™ software and facility build-outs. We believe that our product mix form an integrated ecosystem which allows us to be engaged with our potential customers from early stages of the grow cycle — first during the facility build-out, to the choice of cultivation solutions and then running the grow business with our Agrify Insights software. We believe that delivery of each solution in the grow cycle will generate sales of additional solutions and services.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breakdown of our revenue for the three and six months ended June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1,266,000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4,495,000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Agrify Insights software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Facility build-outs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10,701,000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17,472,000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422,000</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87,000</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87,000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11,825,000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3,908,000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18,833,000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4,921,000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Revenue for the three months ended June 30, 2021 and 2020 was generated mainly from facility build outs and cultivation solutions, respectively. For the three months ended June 30, 2021 and 2020, we sold 18 and 129 AVFUs, respectively.</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Revenue for the six months ended June 30, 2021 and 2020 was generated mainly from facility build outs and cultivation solutions, respectively. For the six months ended June 30, 2021 and 2020, we sold 22 and 179 AVFUs, respectively.</w:t>
      </w:r>
    </w:p>
    <w:p>
      <w:pPr>
        <w:spacing w:after="0" w:line="170"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believe that the addition of the facility build-outs to our products and services offering will enhance our customer relationship and will increase the productivity of our AVFUs which will benefit our customers. We expect that during the second half of 2021 the majority of our revenue will continue to be generated from facility build-outs.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Cost of goods sold include direct cost of parts and outsourced assembly and installation services that are necessary for delivery of our products.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breakdown of our cost of revenue for the three and six months ended June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3,440,000</w:t>
            </w: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Facility build-outs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10,181,000</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422,000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16,960,000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422,000</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11,298,000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18,846,000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3,862,000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During the first six months of 2020, we outsourced the manufacturing of our AVFUs to HMH, which we acquired in July 2020. Although the primary reason we acquired HMH was to expand our research, development and testing capabilities, the acquisition will also provide us with internal capabilities to manufacture small quantities of AVFUs and to reduce our cost of manufacturing. In addition, in December 2020, we entered into a five year supply agreement with Mack Molding Co. (“Mack”) pursuant to which Mack will become a key supplier of our AVFUs. In February 2021, we placed a purchase order with Mack amounting to approximately $5,200,000 towards initial production of AVFUs during 2021. In June 2021, the Company increased the purchase order with Mack to approximately $11,500,000 towards production of AVFUs during 2021 and 2022. We believe the supply agreement with Mack will provide us with increased scaling capabilities and the ability to meet the potential future demand of our customers more efficiently.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gross profit (loss) represents total revenue less the cost of goods sold, and gross margin percentage is gross profit (loss) expressed as a percentage of total revenue. For the three months ended June 30, 2021, our gross profit was $527,000 compared to a gross profit of $1,018,000 for the three months ended June 30, 2020. For the six months ended June 30, 2021, our gross loss was $13,000 compared to a gross profit of $1,059,000 for the six months ended June 30, 2020.</w:t>
      </w:r>
    </w:p>
    <w:p>
      <w:pPr>
        <w:spacing w:after="0" w:line="187"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Our gross profit (loss) margin percentage decreased to 4.5% for the three months ended June 30, 2021 compared to 26.0% in the same period in 2020. The decrease in gross profit was primarily related to (i) employee-related expenses, including salaries, benefits, and stock-based compensation of $300,000 related to production and assembling operation in HMH which was acquired in the third quarter of 2020, and (ii) revenue mix that included higher revenue from facility build-outs, which contributes lower gross profit margin compared to sale of our AVFUs.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gross profit (loss) margin percentage decreased to less than (1%) for the six months ended June 30, 2021 compared to 21.5% in the same period in 2020. The decrease (increase) in gross profit (loss) was primarily related to (i) inventory obsolescence reserve during the six months ended June 30, 2021 in the amount of $113,000 due to change in design as we transition to our more advanced AVFUs model, (ii) employee-related expenses, including salaries, benefits, and stock-based compensation of $644,000 related to production and assembling operation in HMH which was acquired in the third quarter of 2020, and (ii) revenue mix that included higher revenue from facility build-outs, which contributes lower gross profit margin compared to sale of our AVFUs.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Research and development expenses consisted primarily of costs incurred for the development of our Agrify Insights software and next generation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AVFUs, which includes:</w:t>
      </w:r>
    </w:p>
    <w:p>
      <w:pPr>
        <w:spacing w:after="0" w:line="21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expenses incurred by subcontractor under agreements to provide engineering work related to the development of our next generation AVFUs;</w:t>
      </w:r>
    </w:p>
    <w:p>
      <w:pPr>
        <w:spacing w:after="0" w:line="248"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related to our facilities, depreciation, and other expenses, which include direct and allocated expenses for rent and maintenance of facilities, insurance and other supplies.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ind w:right="160" w:firstLine="324"/>
        <w:spacing w:after="0" w:line="301" w:lineRule="auto"/>
        <w:rPr>
          <w:sz w:val="20"/>
          <w:szCs w:val="20"/>
          <w:color w:val="auto"/>
        </w:rPr>
      </w:pPr>
      <w:r>
        <w:rPr>
          <w:rFonts w:ascii="Arial" w:cs="Arial" w:eastAsia="Arial" w:hAnsi="Arial"/>
          <w:sz w:val="16"/>
          <w:szCs w:val="16"/>
          <w:color w:val="auto"/>
        </w:rPr>
        <w:t>For the three months ended June 30, 2021 and 2020, research and development expenses were $774,000 and $743,000, respectively. The increase of $31,000 is primarily attributable to increase in employee-related expenses, including salaries, benefits, and stock-based compensation of $151,000, and increase in other costs amounting to $143,000. The increase in expenses was offset by decrease in consulting fees of $111,000 and a decrease in expenses attributable to halted development of hardware solution for deployment of rapid grow solution of $151,000 in the second quarter of fiscal 2020.</w:t>
      </w:r>
    </w:p>
    <w:p>
      <w:pPr>
        <w:spacing w:after="0" w:line="157"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For the six months ended June 30, 2021 and 2020, research and development expenses were $1,656,000 and $1,943,000, respectively. The decrease of $287,000 is primarily attributable to halted development of hardware solution for deployment of rapid grow solution of $813,000 in the first quarter of fiscal 2020 and decrease in consulting fees of $245,000. The decrease in expenses was offset by an increase in payroll and related expenses in the amount of approximately $374,000, increase in other costs amounting to $197,000 and an increase in stock-based compensation in the amount of $201,000, including a non-recurring expense of $176,000 related to vesting acceleration of options upon the consummation of our IPO.</w:t>
      </w:r>
    </w:p>
    <w:p>
      <w:pPr>
        <w:spacing w:after="0" w:line="161"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As a percentage of net revenue, research and development expenses were 6.5% and 19%, respectively, from total revenue for the three months ended June 30, 2021 and 2020 (or 6.5% and 15% when excluding the one-time halted cost). As a percentage of net revenue, research and development expenses were 8.8% and 39%, respectively, from total revenue for the six months ended June 30, 2021 and 2020 (or 8.8% and 23% when excluding the one-time halted cost). We expect to continue to invest in future developments of our AVFUs and Agrify Insights™ software. In the coming years, we believe that research and development expenses measured as percentage of revenue will decrease due to an increase in our total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include professional fees for legal, consulting and accounting services as well as facility related costs.</w:t>
      </w:r>
    </w:p>
    <w:p>
      <w:pPr>
        <w:spacing w:after="0" w:line="18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the three months ended June 30, 2021 and 2020, general and administrative expenses were $5,181,000 and $2,713,000, respectively. The increase is attributable mainly to payroll and related expenses of approximately $884,000, stock-based compensation in the amount of $411,000, insurance expenses of approximately $663,000 and depreciation and amortization expenses of approximately $115,000. The increase in expenses was offset by a decrease of $232,000 in professional fees.</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For the six months ended June 30, 2021 and 2020, general and administrative expenses were $10,255,000 and $5,003,000, respectively. The increase is attributable mainly to payroll and related expenses of approximately $1,244,000, stock-based compensation in the amount of $2,143,000, insurance expenses of approximately $1,108,000, legal expenses of approximately $133,000 and depreciation and amortization expenses of approximately $244,000. To support our long-term growth plan and our initial public offering, we have granted stock options to officers, directors and employees with several vesting conditions, including an event-based vesting acceleration (defined as a change in control, including an initial public offering). As a result of the consummation of our IPO, our selling, general and administrative expenses included a non-recurring expense of $1,248,000.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Interest income was $55,000 for the three months ended June 30, 2021, compared to interest expense of $41,000 for the three months ended June 30, 2020, reflecting a change of $96,000. Interest income was $23,000 for the six months ended June 30, 2021, compared to interest expense of $36,000 for the six months ended June 30, 2020, reflecting a change of $59,000. The increase in interest income is attributable mainly to interest from held to maturity securities.</w:t>
      </w:r>
    </w:p>
    <w:p>
      <w:pPr>
        <w:spacing w:after="0" w:line="18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Other expenses of $63,000 for the three and six months ended June 30, 2021, compared to null for the three and six months ended June 30, 2020 are attributable to amortization of premiums related to the held to maturity securities.</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Gain on extinguishment of notes payable was null and $2,685,000 for the three and six months ended June 30, 2021, respectively, compared to null for the three and six months ended June 30,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Loss Attributable to Non-Controlling Interest</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consolidate the results of operations of two less than wholly-owned entities into our consolidated results of operations. On December 8, 2019, we formed Agrify-Valiant, LLC, a joint-venture limited liability company in which we are 60% majority owner and Valiant-America, LLC owns 40%. Agrify-Valiant,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7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Upon the closing of the February Offering, we had approximately $139 million in cash and cash equivalents. We believe such amount, together with cash flows from operations, will be sufficient to support our planned operations for at least the next 12 months. Our current working capital needs are to support accounts receivable growth, manage inventory to meet demand forecasts and support operational growth. Our long-term financial needs primarily include working capital requirements and capital expenditures.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6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entered into two Loan Agreements and Promissory Notes (collectively the “PPP Loan”) with Bank of America pursuant to the Paycheck Protection Program (the “PPP”) under the Coronavirus Aid, Relief, and Economic Security Act (“CARES Act”) administered by the U.S. Small Business Administration. We received total proceeds of $823,410 from the unsecured PPP Loans which are scheduled to mature during 2022 and 2025. Subject to certain conditions, the PPP Loan may be forgiven in whole or in part by applying for forgiveness pursuant to the CARES Act and the PPP. We have not yet applied for forgiveness of the PPP Loan and although we believe that we will be eligible for full forgiveness under the PPP, there is no assurance that the full PPP Loan amount will be forgiven and we cannot anticipate the timing of any such forgiveness. If the principal amount is not forgiven in full, we would be obligated to repay any principal amount not forgiven and interest accrued thereon.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presents the major components of net cash flows (used in) and provided by operating, investing and financing activities for the three and six months ended June 30,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3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3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Cash (used in) provided by:</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(6,558,000)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(3,978,000)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(13,837,000)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(7,898,000)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Investing Activities</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(51,723,000)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(51,865,000)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(1,173,000)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4,779,000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137,432,000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10,859,000</w:t>
            </w:r>
          </w:p>
        </w:tc>
      </w:tr>
      <w:tr>
        <w:trPr>
          <w:trHeight w:val="655"/>
        </w:trPr>
        <w:tc>
          <w:tcPr>
            <w:tcW w:w="3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the three months ended June 30, 2021, we incurred a net loss of $5,636,000, which included non-cash expenses of $166,000 related to depreciation and amortization, $931,000 in connection with the issuance and acceleration of stock options, non-cash interest expenses of $13,000 related to leases, and gain attributed to non-controlling interest in the amount of $200,000. Net cash was reduced by a $5,904,000 increase in accounts receivable, a $1,147,000 increase in prepaid inventory due to demand forecast and a $568,000 increase in prepaid expenses, partially offset by a $5,481,000 increase in accrued expenses ($5,024,000 related to construction costs).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the six months ended June 30, 2021, we incurred a net loss of $9,446,000, which included non-cash expenses of $313,000 related to depreciation and amortization, $3,066,000 in connection with the issuance and acceleration of stock options, non-cash interest expenses of $46,000 related to leases, and gain attributed to non-controlling interest in the amount of $167,000. Net cash was reduced by a $11,122,000 increase in accounts receivable, a $4,477,000 increase in prepaid inventory due to demand forecast and a $2,723,000 increase in prepaid expenses, partially offset by a $12,841,000 increase in accrued expenses ($11,104,000 related to construction costs).</w:t>
      </w:r>
    </w:p>
    <w:p>
      <w:pPr>
        <w:spacing w:after="0" w:line="18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For the three months ended June 30, 2020, we reported a net loss of $2,444,000, which included non-cash expenses of $81,000 related to depreciation and amortization, loss from disposal of fixed assets of $111,000 and $542,000 in connection with issuance of stock options. Net cash was reduced by a $130,000 increase in accounts receivable and a $3,036,000 decrease in deferred revenue, partially offset by a $597,000 increase in accrued expenses, a $254,000 increase in accounts payable and a $159,000 decrease in prepaid and other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six months ended June 30, 2020, we reported a net loss of $5,857,000, which included non-cash expenses of $147,000 related to depreciation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amortization, loss from disposal of fixed assets of $113,000 and $603,000 in connection with issuance of stock options. Net cash was reduced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$1,328,000 increase in inventory due to demand forecast and a $2,145,000 decrease in deferred revenue, partially offset by a $505,000 increase in accrued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a $61,000 increase in accounts payable and a $79,000 decrease in prepaid and other expenses.</w:t>
      </w:r>
    </w:p>
    <w:p>
      <w:pPr>
        <w:spacing w:after="0" w:line="21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For the three months ended June 30, 2021 and 2020, depreciation and amortization expense was $166,000 and $81,000, respectively. For the six months ended June 30, 2021 and 2020, depreciation and amortization expense was $313,000 and $147,000, respectively. The increase in depreciation and amortization expenses mainly related to assets acquired from HMH. We anticipate that our depreciation and amortization expense will increase in fiscal 2021 due to investment in capital expenditures in fiscal 2021 on property and equipment to expand research, development and testing capabilities.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months ended June 30, 2021 and 2020, compensation expenses in connection with issuance of stock options were $931,000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$542,000, respectively. For the six months ended June 30, 2021 and 2020, compensation expenses in connection with issuance of stock options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$3,066,000 (of which $1,502,000 related to the acceleration of stock option vesting due to our IPO) and $603,000, respectively. As of June 30, 2021, there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$10,125,000 of total unrecognized compensation expenses related to unvested options granted under our options plans, which will be recognized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periodically through fiscal 2025.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Net cash used in investing activities relates to capital expenditures and purchase of held to maturity securities. The capital expenditures support growth and investment in property and equipment, to expand research, development and testing capabilities and, to a lesser extent, the replacement of existing equipment.</w:t>
      </w:r>
    </w:p>
    <w:p>
      <w:pPr>
        <w:spacing w:after="0" w:line="18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the three months ended June 30, 2021, net cash used in investing activities was $960,000 for leased equipment, leasehold improvements, purchasing computer equipment and small machinery, a $483,000 issuance of loan receivable and $50,280,000 purchases of held to maturity securities. For the six months ended June 30, 2021, net cash used in investing activities was $1,102,000 for leasehold improvements, purchasing computer equipment and small machinery, a $483,000 issuance of loan receivable and $50,280,000 purchases of held to maturity securities.</w:t>
      </w:r>
    </w:p>
    <w:p>
      <w:pPr>
        <w:spacing w:after="0" w:line="17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For the three months ended June 30, 2020, net cash used in investing activities was $18,000, mainly related to purchasing of computer equipment and small machinery. For the six months ended June 30, 2020, net cash used in investing activities was $1,173,000, which included $1,096,000 paid in connection with the acquisition of TriGrow and a $77,000 cash outflow for purchasing computer equipment and small machinery.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22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For the three months ended June 30, 2021, net cash provided by financing activities was $282,000 related to proceeds from the exercise of options, which were offset by payments of financing leases in the amount of $47,000. For the six months ended June 30, 2021, net cash provided by financing activities was $137,432,000, attributable to $57,000,000 proceeds from our initial IPO, $80,000,000 from our secondary public offering, both net of fees, and proceeds from the exercise of options and warrants of $726,000, offset by $94,000 payments of financing leases.</w:t>
      </w:r>
    </w:p>
    <w:p>
      <w:pPr>
        <w:spacing w:after="0" w:line="171"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For the three months ended June 30, 2020, net cash provided by financing activities was $4,779,000, consisting of $4,000,000 proceeds from the issuance of our series A Preferred Stock and $779,000 from proceeds from a PPP loan. For the six months ended June 30, 2020, net cash provided by financing activities was $10,859,000, consisting mainly $10,000,000 proceeds from the issuance of our series A Preferred Stock and $779,000 from proceeds from a PPP loan.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“smaller reporting company” as defined by Item 10 of Regulation S-K, the Company is not required to provide information required by this Item.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maintain disclosure controls and procedures (as defined in paragraph (e) of Rules 13a-15 and 15d-15 under the Exchange Act) designed to ensure that the information we are required to disclose in reports that we file or submit under the Exchange Act is recorded, processed, summarized and reported within the time periods specified under the rules and forms of the SEC. Disclosure controls and procedures include, without limitation, controls and procedures designed to ensure that such information is accumulated and communicated to our management, including our Chief Executive Officer and our Chief Financial Officer, as appropriate to allow timely decisions regarding required disclosures. As required by paragraph (b) of Rules 13a-15 and 15d-15 under the Exchange Act, our Chief Executive Officer and our Chief Financial Officer carried out an evaluation of the effectiveness of the design and operation of our disclosure controls and procedures as of June 30, 2021. Based on this evaluation, our Chief Executive Officer and our Chief Financial Officer concluded that our disclosure controls and procedures were not effective at the reasonable assurance level as of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discussed above, we are implementing certain measures to remediate the material weaknesses identified in the design and operation of our internal control over financial reporting. Other than those measures, there have been no changes in our internal control over financial reporting (as such term is defined in Rules 13a-15(f) and 15d-15(f) under the Exchange Act)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From time to time, we may be subject to various claims, legal actions and regulatory proceedings arising in the ordinary course of business. On January 5, 2021, we received a demand letter from Nicholas Cooper and Richard Weinstein (two of our former employees) and one of Mr. Cooper’s affiliated entities, asserting that Messrs. Cooper and Weinstein were entitled to compensation arising out of their employment by us, and their partial ownership of TriGrow Systems, Inc. The demand letter asserts that the former employees are due certain sales commissions under their applicable bonus plan, equity earn-outs based on certain sales targets, and various equity purchases through our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January 19, 2021, Messrs. Cooper and Weinstein filed a lawsuit against us in the United States District Court for the Western District of Washington, alleging the same claims made in their demand letter based on the facts disclosed above. The plaintiffs are seeking relief in the form of monetary damages in an amount to be determined. Messrs. Cooper and Weinstein are also seeking relief in the form of reinstatement and Mr. Weinstein is seeking rescission of his Release of Claims Agreement. On March 10, 2021, we moved to dismiss all Cooper and Weinstein’s claims, asserting that the claims failed to allege legal grounds for relief. On May 12, 2021, a Magistrate issued a preliminary Report and Recommendation, which recommended dismissal of certain of Cooper and Weinstein’s claims, and recommended others for additional factual discovery. On July 27, 2021, a District Judge entered an order partially adopting the Report and Recommendation, dismissing one claim with prejudice, dismissing a second claim with leave to amend, and permitting the remaining claims to proceed. We do not believe these claims have any merit and intend to vigorously defend against them (see Note 16, Commitments and Contingencies).</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Additionally, on July 29, 2021, we filed a separate arbitration in Boston, Massachusetts against Cooper and Weinstein, in which we allege that Cooper and Weinstein were liable for certain conduct during the time they were TriGrow employees, including breach of fiduciary duty, unjust enrichment, usurpation of corporate opportunity, conversion, fraudulent concealment, and false representation. Also on July 29, 2021, we submitted a claim for indemnification to certain legacy TriGrow Systems, Inc. shareholders (the “Indemnifying Stockholders”). The claim for indemnification relates to conduct by Cooper and Weinstein during the time they were TriGrow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and are not required to provide the information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sales of our equity securities during the period covered by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180" w:type="dxa"/>
            <w:vAlign w:val="bottom"/>
            <w:tcBorders>
              <w:top w:val="single" w:sz="8" w:color="auto"/>
              <w:bottom w:val="single" w:sz="8" w:color="0000EE"/>
            </w:tcBorders>
            <w:gridSpan w:val="3"/>
            <w:shd w:val="clear" w:color="auto" w:fill="CCEEFF"/>
          </w:tcPr>
          <w:p>
            <w:pPr>
              <w:spacing w:after="0" w:line="17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Rule 13(a)-14(a)/15(d)-14(a) Certification of principal executive officer</w:t>
              </w:r>
            </w:hyperlink>
          </w:p>
        </w:tc>
        <w:tc>
          <w:tcPr>
            <w:tcW w:w="4920" w:type="dxa"/>
            <w:vAlign w:val="bottom"/>
            <w:tcBorders>
              <w:top w:val="single" w:sz="8" w:color="auto"/>
              <w:bottom w:val="single" w:sz="8" w:color="CCEEFF"/>
            </w:tcBorders>
            <w:gridSpan w:val="2"/>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Rule 13(a)-14(a)/15(d)-14(a) Certification of principal financial and accounting officer</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Section 1350 Certification of principal executive officer</w:t>
              </w:r>
            </w:hyperlink>
          </w:p>
        </w:tc>
        <w:tc>
          <w:tcPr>
            <w:tcW w:w="606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Section 1350 Certification of principal financial and accounting officer</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8"/>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40" w:right="3520" w:hanging="5532"/>
        <w:spacing w:after="0" w:line="759" w:lineRule="auto"/>
        <w:tabs>
          <w:tab w:leader="none" w:pos="1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Niv Krikov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Niv Krikov</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Raymond Chang,</w:t>
      </w:r>
      <w:r>
        <w:rPr>
          <w:rFonts w:ascii="Arial" w:cs="Arial" w:eastAsia="Arial" w:hAnsi="Arial"/>
          <w:sz w:val="18"/>
          <w:szCs w:val="18"/>
          <w:color w:val="auto"/>
        </w:rPr>
        <w:t xml:space="preserve"> certify that:</w:t>
      </w:r>
    </w:p>
    <w:p>
      <w:pPr>
        <w:spacing w:after="0" w:line="22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Agrify Corporation (the “Company”) for the quarter ended June 30, 2021;</w:t>
      </w:r>
    </w:p>
    <w:p>
      <w:pPr>
        <w:spacing w:after="0" w:line="225"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tcPr>
          <w:p>
            <w:pPr>
              <w:spacing w:after="0"/>
              <w:rPr>
                <w:sz w:val="20"/>
                <w:szCs w:val="20"/>
                <w:color w:val="auto"/>
              </w:rPr>
            </w:pPr>
            <w:r>
              <w:rPr>
                <w:rFonts w:ascii="Arial" w:cs="Arial" w:eastAsia="Arial" w:hAnsi="Arial"/>
                <w:sz w:val="18"/>
                <w:szCs w:val="18"/>
                <w:color w:val="auto"/>
              </w:rPr>
              <w:t>Date: August 12, 2021</w:t>
            </w:r>
          </w:p>
        </w:tc>
        <w:tc>
          <w:tcPr>
            <w:tcW w:w="3140" w:type="dxa"/>
            <w:vAlign w:val="bottom"/>
          </w:tcPr>
          <w:p>
            <w:pPr>
              <w:ind w:left="25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r>
      <w:tr>
        <w:trPr>
          <w:trHeight w:val="202"/>
        </w:trPr>
        <w:tc>
          <w:tcPr>
            <w:tcW w:w="4180" w:type="dxa"/>
            <w:vAlign w:val="bottom"/>
          </w:tcPr>
          <w:p>
            <w:pPr>
              <w:spacing w:after="0"/>
              <w:rPr>
                <w:sz w:val="17"/>
                <w:szCs w:val="17"/>
                <w:color w:val="auto"/>
              </w:rPr>
            </w:pPr>
          </w:p>
        </w:tc>
        <w:tc>
          <w:tcPr>
            <w:tcW w:w="3140" w:type="dxa"/>
            <w:vAlign w:val="bottom"/>
          </w:tcPr>
          <w:p>
            <w:pPr>
              <w:ind w:left="25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Chang</w:t>
            </w:r>
          </w:p>
        </w:tc>
      </w:tr>
      <w:tr>
        <w:trPr>
          <w:trHeight w:val="216"/>
        </w:trPr>
        <w:tc>
          <w:tcPr>
            <w:tcW w:w="4180" w:type="dxa"/>
            <w:vAlign w:val="bottom"/>
          </w:tcPr>
          <w:p>
            <w:pPr>
              <w:spacing w:after="0"/>
              <w:rPr>
                <w:sz w:val="18"/>
                <w:szCs w:val="18"/>
                <w:color w:val="auto"/>
              </w:rPr>
            </w:pPr>
          </w:p>
        </w:tc>
        <w:tc>
          <w:tcPr>
            <w:tcW w:w="3140" w:type="dxa"/>
            <w:vAlign w:val="bottom"/>
          </w:tcPr>
          <w:p>
            <w:pPr>
              <w:ind w:left="25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Niv Krikov</w:t>
      </w:r>
      <w:r>
        <w:rPr>
          <w:rFonts w:ascii="Arial" w:cs="Arial" w:eastAsia="Arial" w:hAnsi="Arial"/>
          <w:sz w:val="18"/>
          <w:szCs w:val="18"/>
          <w:color w:val="auto"/>
        </w:rPr>
        <w:t>, certify that:</w:t>
      </w:r>
    </w:p>
    <w:p>
      <w:pPr>
        <w:spacing w:after="0" w:line="22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Agrify Corporation (the “Company”) for the quarter ended June 30, 2021;</w:t>
      </w:r>
    </w:p>
    <w:p>
      <w:pPr>
        <w:spacing w:after="0" w:line="225"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tcPr>
          <w:p>
            <w:pPr>
              <w:spacing w:after="0"/>
              <w:rPr>
                <w:sz w:val="20"/>
                <w:szCs w:val="20"/>
                <w:color w:val="auto"/>
              </w:rPr>
            </w:pPr>
            <w:r>
              <w:rPr>
                <w:rFonts w:ascii="Arial" w:cs="Arial" w:eastAsia="Arial" w:hAnsi="Arial"/>
                <w:sz w:val="18"/>
                <w:szCs w:val="18"/>
                <w:color w:val="auto"/>
              </w:rPr>
              <w:t>Date: August 12, 2021</w:t>
            </w:r>
          </w:p>
        </w:tc>
        <w:tc>
          <w:tcPr>
            <w:tcW w:w="3140" w:type="dxa"/>
            <w:vAlign w:val="bottom"/>
          </w:tcPr>
          <w:p>
            <w:pPr>
              <w:ind w:left="25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Niv Krikov</w:t>
            </w:r>
          </w:p>
        </w:tc>
      </w:tr>
      <w:tr>
        <w:trPr>
          <w:trHeight w:val="202"/>
        </w:trPr>
        <w:tc>
          <w:tcPr>
            <w:tcW w:w="4180" w:type="dxa"/>
            <w:vAlign w:val="bottom"/>
          </w:tcPr>
          <w:p>
            <w:pPr>
              <w:spacing w:after="0"/>
              <w:rPr>
                <w:sz w:val="17"/>
                <w:szCs w:val="17"/>
                <w:color w:val="auto"/>
              </w:rPr>
            </w:pPr>
          </w:p>
        </w:tc>
        <w:tc>
          <w:tcPr>
            <w:tcW w:w="3140" w:type="dxa"/>
            <w:vAlign w:val="bottom"/>
          </w:tcPr>
          <w:p>
            <w:pPr>
              <w:ind w:left="25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Niv Krikov</w:t>
            </w:r>
          </w:p>
        </w:tc>
      </w:tr>
      <w:tr>
        <w:trPr>
          <w:trHeight w:val="216"/>
        </w:trPr>
        <w:tc>
          <w:tcPr>
            <w:tcW w:w="4180" w:type="dxa"/>
            <w:vAlign w:val="bottom"/>
          </w:tcPr>
          <w:p>
            <w:pPr>
              <w:spacing w:after="0"/>
              <w:rPr>
                <w:sz w:val="18"/>
                <w:szCs w:val="18"/>
                <w:color w:val="auto"/>
              </w:rPr>
            </w:pPr>
          </w:p>
        </w:tc>
        <w:tc>
          <w:tcPr>
            <w:tcW w:w="3140" w:type="dxa"/>
            <w:vAlign w:val="bottom"/>
          </w:tcPr>
          <w:p>
            <w:pPr>
              <w:ind w:left="25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Quarterly Report of Agrify Corporation (the “Company”) on Form 10-Q for the period ending June 30, 2021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tcPr>
          <w:p>
            <w:pPr>
              <w:spacing w:after="0"/>
              <w:rPr>
                <w:sz w:val="20"/>
                <w:szCs w:val="20"/>
                <w:color w:val="auto"/>
              </w:rPr>
            </w:pPr>
            <w:r>
              <w:rPr>
                <w:rFonts w:ascii="Arial" w:cs="Arial" w:eastAsia="Arial" w:hAnsi="Arial"/>
                <w:sz w:val="18"/>
                <w:szCs w:val="18"/>
                <w:color w:val="auto"/>
              </w:rPr>
              <w:t>Date: August 12, 2021</w:t>
            </w:r>
          </w:p>
        </w:tc>
        <w:tc>
          <w:tcPr>
            <w:tcW w:w="3140" w:type="dxa"/>
            <w:vAlign w:val="bottom"/>
          </w:tcPr>
          <w:p>
            <w:pPr>
              <w:ind w:left="25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r>
      <w:tr>
        <w:trPr>
          <w:trHeight w:val="202"/>
        </w:trPr>
        <w:tc>
          <w:tcPr>
            <w:tcW w:w="4180" w:type="dxa"/>
            <w:vAlign w:val="bottom"/>
          </w:tcPr>
          <w:p>
            <w:pPr>
              <w:spacing w:after="0"/>
              <w:rPr>
                <w:sz w:val="17"/>
                <w:szCs w:val="17"/>
                <w:color w:val="auto"/>
              </w:rPr>
            </w:pPr>
          </w:p>
        </w:tc>
        <w:tc>
          <w:tcPr>
            <w:tcW w:w="3140" w:type="dxa"/>
            <w:vAlign w:val="bottom"/>
          </w:tcPr>
          <w:p>
            <w:pPr>
              <w:ind w:left="25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Chang</w:t>
            </w:r>
          </w:p>
        </w:tc>
      </w:tr>
      <w:tr>
        <w:trPr>
          <w:trHeight w:val="216"/>
        </w:trPr>
        <w:tc>
          <w:tcPr>
            <w:tcW w:w="4180" w:type="dxa"/>
            <w:vAlign w:val="bottom"/>
          </w:tcPr>
          <w:p>
            <w:pPr>
              <w:spacing w:after="0"/>
              <w:rPr>
                <w:sz w:val="18"/>
                <w:szCs w:val="18"/>
                <w:color w:val="auto"/>
              </w:rPr>
            </w:pPr>
          </w:p>
        </w:tc>
        <w:tc>
          <w:tcPr>
            <w:tcW w:w="3140" w:type="dxa"/>
            <w:vAlign w:val="bottom"/>
          </w:tcPr>
          <w:p>
            <w:pPr>
              <w:ind w:left="25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Quarterly Report of Agrify Corporation (the “Company”) on Form 10-Q for the period ending June 30, 2021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tcPr>
          <w:p>
            <w:pPr>
              <w:spacing w:after="0"/>
              <w:rPr>
                <w:sz w:val="20"/>
                <w:szCs w:val="20"/>
                <w:color w:val="auto"/>
              </w:rPr>
            </w:pPr>
            <w:r>
              <w:rPr>
                <w:rFonts w:ascii="Arial" w:cs="Arial" w:eastAsia="Arial" w:hAnsi="Arial"/>
                <w:sz w:val="18"/>
                <w:szCs w:val="18"/>
                <w:color w:val="auto"/>
              </w:rPr>
              <w:t>Date: August 12, 2021</w:t>
            </w:r>
          </w:p>
        </w:tc>
        <w:tc>
          <w:tcPr>
            <w:tcW w:w="3140" w:type="dxa"/>
            <w:vAlign w:val="bottom"/>
          </w:tcPr>
          <w:p>
            <w:pPr>
              <w:ind w:left="25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Niv Krikov</w:t>
            </w:r>
          </w:p>
        </w:tc>
      </w:tr>
      <w:tr>
        <w:trPr>
          <w:trHeight w:val="202"/>
        </w:trPr>
        <w:tc>
          <w:tcPr>
            <w:tcW w:w="4180" w:type="dxa"/>
            <w:vAlign w:val="bottom"/>
          </w:tcPr>
          <w:p>
            <w:pPr>
              <w:spacing w:after="0"/>
              <w:rPr>
                <w:sz w:val="17"/>
                <w:szCs w:val="17"/>
                <w:color w:val="auto"/>
              </w:rPr>
            </w:pPr>
          </w:p>
        </w:tc>
        <w:tc>
          <w:tcPr>
            <w:tcW w:w="3140" w:type="dxa"/>
            <w:vAlign w:val="bottom"/>
          </w:tcPr>
          <w:p>
            <w:pPr>
              <w:ind w:left="25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Niv Krikov</w:t>
            </w:r>
          </w:p>
        </w:tc>
      </w:tr>
      <w:tr>
        <w:trPr>
          <w:trHeight w:val="216"/>
        </w:trPr>
        <w:tc>
          <w:tcPr>
            <w:tcW w:w="4180" w:type="dxa"/>
            <w:vAlign w:val="bottom"/>
          </w:tcPr>
          <w:p>
            <w:pPr>
              <w:spacing w:after="0"/>
              <w:rPr>
                <w:sz w:val="18"/>
                <w:szCs w:val="18"/>
                <w:color w:val="auto"/>
              </w:rPr>
            </w:pPr>
          </w:p>
        </w:tc>
        <w:tc>
          <w:tcPr>
            <w:tcW w:w="3140" w:type="dxa"/>
            <w:vAlign w:val="bottom"/>
          </w:tcPr>
          <w:p>
            <w:pPr>
              <w:ind w:left="25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04"/>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2021-08-13T05:23:34Z</dcterms:created>
  <dcterms:modified xsi:type="dcterms:W3CDTF">2021-08-13T05:23:34Z</dcterms:modified>
</cp:coreProperties>
</file>